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SDMDocRef"/>
    <w:p w14:paraId="0C8D5946" w14:textId="0532DEDA" w:rsidR="00A12E1C" w:rsidRPr="005B1E09" w:rsidRDefault="00000000" w:rsidP="1B9B8B3D">
      <w:pPr>
        <w:pStyle w:val="SDMDocRef"/>
        <w:rPr>
          <w:highlight w:val="yellow"/>
        </w:rPr>
      </w:pPr>
      <w:sdt>
        <w:sdtPr>
          <w:alias w:val="SDMDocRef"/>
          <w:tag w:val="SDMDocRef"/>
          <w:id w:val="-136729641"/>
          <w:lock w:val="sdtLocked"/>
          <w:placeholder>
            <w:docPart w:val="734F7489B6C645BE8C2B7D9415DD2522"/>
          </w:placeholder>
        </w:sdtPr>
        <w:sdtContent>
          <w:bookmarkStart w:id="1" w:name="_Ref219921815"/>
          <w:bookmarkEnd w:id="0"/>
          <w:bookmarkEnd w:id="1"/>
          <w:r w:rsidR="008B17B5">
            <w:t>A6.4-</w:t>
          </w:r>
          <w:r w:rsidR="00A87D70">
            <w:t>AMT</w:t>
          </w:r>
          <w:r w:rsidR="008B17B5">
            <w:t>-</w:t>
          </w:r>
          <w:r w:rsidR="00A87D70">
            <w:t>0</w:t>
          </w:r>
          <w:r w:rsidR="008B17B5">
            <w:t>07</w:t>
          </w:r>
        </w:sdtContent>
      </w:sdt>
    </w:p>
    <w:bookmarkStart w:id="2" w:name="SDMConfidentialMark" w:displacedByCustomXml="next"/>
    <w:sdt>
      <w:sdtPr>
        <w:alias w:val="SDMConfidentialMark"/>
        <w:tag w:val="SDMConfidentialMark"/>
        <w:id w:val="174698408"/>
        <w:lock w:val="sdtLocked"/>
        <w:placeholder>
          <w:docPart w:val="4D08D16AF5F140AAB73A0F79BF2C8F3E"/>
        </w:placeholder>
        <w:dropDownList>
          <w:listItem w:displayText="Confidential" w:value="Confidential"/>
          <w:listItem w:displayText=" " w:value="  "/>
        </w:dropDownList>
      </w:sdtPr>
      <w:sdtContent>
        <w:p w14:paraId="25A685E8" w14:textId="11D7B694" w:rsidR="00B527EA" w:rsidRPr="00312CAA" w:rsidRDefault="00F37884" w:rsidP="00802CB9">
          <w:pPr>
            <w:pStyle w:val="SDMConfidentialMark"/>
            <w:tabs>
              <w:tab w:val="left" w:pos="1843"/>
            </w:tabs>
          </w:pPr>
          <w:r>
            <w:t>.</w:t>
          </w:r>
        </w:p>
      </w:sdtContent>
    </w:sdt>
    <w:bookmarkEnd w:id="2" w:displacedByCustomXml="prev"/>
    <w:bookmarkStart w:id="3" w:name="SDMDocType" w:displacedByCustomXml="prev"/>
    <w:bookmarkStart w:id="4" w:name="SDMTitle1" w:displacedByCustomXml="next"/>
    <w:sdt>
      <w:sdtPr>
        <w:alias w:val="SDMTitle1"/>
        <w:tag w:val="SDMTitle1"/>
        <w:id w:val="-2079670800"/>
        <w:lock w:val="sdtLocked"/>
        <w:placeholder>
          <w:docPart w:val="4749300D354F4E5B89482C4B3694DD2E"/>
        </w:placeholder>
      </w:sdtPr>
      <w:sdtContent>
        <w:p w14:paraId="006BE6F5" w14:textId="468F5485" w:rsidR="001A1BDD" w:rsidRPr="002C4666" w:rsidRDefault="00000000" w:rsidP="00705EF6">
          <w:pPr>
            <w:pStyle w:val="SDMTitle1"/>
          </w:pPr>
          <w:sdt>
            <w:sdtPr>
              <w:alias w:val="SDMDocType"/>
              <w:tag w:val="SDMDocType"/>
              <w:id w:val="-1347470451"/>
              <w:lock w:val="sdtContentLocked"/>
              <w:placeholder>
                <w:docPart w:val="E4B7961FB81D4C16B97D6D21FF0D7795"/>
              </w:placeholder>
              <w:dropDownList>
                <w:listItem w:displayText="Standard" w:value="Standard"/>
                <w:listItem w:displayText="Guideline" w:value="Guideline"/>
                <w:listItem w:displayText="Procedure" w:value="Procedure"/>
                <w:listItem w:displayText="Information note" w:value="Information note"/>
                <w:listItem w:displayText="Methodology" w:value="Methodology"/>
                <w:listItem w:displayText="Methodological tool" w:value="Methodological tool"/>
                <w:listItem w:displayText="Meeting report" w:value="Meeting report"/>
              </w:dropDownList>
            </w:sdtPr>
            <w:sdtContent>
              <w:r w:rsidR="00D77CC3">
                <w:t>Methodological tool</w:t>
              </w:r>
            </w:sdtContent>
          </w:sdt>
        </w:p>
      </w:sdtContent>
    </w:sdt>
    <w:bookmarkEnd w:id="4" w:displacedByCustomXml="prev"/>
    <w:bookmarkEnd w:id="3" w:displacedByCustomXml="next"/>
    <w:bookmarkStart w:id="5" w:name="SDMTitle2" w:displacedByCustomXml="next"/>
    <w:sdt>
      <w:sdtPr>
        <w:rPr>
          <w:lang w:val="de-DE"/>
        </w:rPr>
        <w:alias w:val="SDMTitle2"/>
        <w:tag w:val="SDMTitle2"/>
        <w:id w:val="1664893790"/>
        <w:lock w:val="sdtLocked"/>
        <w:placeholder>
          <w:docPart w:val="62597BBFFFC64953A66E570A71B93527"/>
        </w:placeholder>
      </w:sdtPr>
      <w:sdtContent>
        <w:sdt>
          <w:sdtPr>
            <w:rPr>
              <w:lang w:val="de-DE"/>
            </w:rPr>
            <w:alias w:val="SDMTitle2"/>
            <w:tag w:val="SDMTitle2"/>
            <w:id w:val="939257648"/>
            <w:lock w:val="sdtLocked"/>
            <w:placeholder>
              <w:docPart w:val="317B7105C08742AB9C545C33D8AB4CC3"/>
            </w:placeholder>
          </w:sdtPr>
          <w:sdtContent>
            <w:p w14:paraId="30E834D9" w14:textId="37208A56" w:rsidR="00D344DB" w:rsidRPr="00D9066E" w:rsidRDefault="00335746" w:rsidP="001A1BDD">
              <w:pPr>
                <w:pStyle w:val="SDMTitle2"/>
                <w:rPr>
                  <w:rFonts w:cs="Times New Roman"/>
                  <w:sz w:val="22"/>
                  <w:szCs w:val="22"/>
                  <w:lang w:val="en-US"/>
                </w:rPr>
              </w:pPr>
              <w:r w:rsidRPr="00335746">
                <w:rPr>
                  <w:lang w:val="en-US"/>
                </w:rPr>
                <w:t>Emissions from electricity generation and consumption</w:t>
              </w:r>
            </w:p>
          </w:sdtContent>
        </w:sdt>
      </w:sdtContent>
    </w:sdt>
    <w:bookmarkStart w:id="6" w:name="SDMDocVerLab"/>
    <w:bookmarkEnd w:id="5"/>
    <w:p w14:paraId="4E280491" w14:textId="55ADDD57" w:rsidR="006F5B88" w:rsidRPr="00260651" w:rsidRDefault="00000000" w:rsidP="00F74E46">
      <w:pPr>
        <w:pStyle w:val="SDMTiInfo"/>
        <w:rPr>
          <w:vanish/>
          <w:specVanish/>
        </w:rPr>
      </w:pPr>
      <w:sdt>
        <w:sdtPr>
          <w:alias w:val="SDMDocVersionLabel"/>
          <w:tag w:val="SDMDocVersionLabel"/>
          <w:id w:val="-334845484"/>
          <w:lock w:val="sdtLocked"/>
          <w:placeholder>
            <w:docPart w:val="5A3100E1B7214021BB4C4D0BE6428D77"/>
          </w:placeholder>
        </w:sdtPr>
        <w:sdtContent>
          <w:r w:rsidR="00787CC6" w:rsidRPr="00152FB5">
            <w:t>Version</w:t>
          </w:r>
          <w:r w:rsidR="007B03AF">
            <w:t xml:space="preserve"> </w:t>
          </w:r>
        </w:sdtContent>
      </w:sdt>
      <w:bookmarkStart w:id="7" w:name="SDMDocVer"/>
      <w:bookmarkEnd w:id="6"/>
      <w:sdt>
        <w:sdtPr>
          <w:alias w:val="SDMDocVer"/>
          <w:tag w:val="SDMDocVer"/>
          <w:id w:val="-2119430389"/>
          <w:lock w:val="sdtLocked"/>
          <w:placeholder>
            <w:docPart w:val="C249ADBE03F04533AA34C8A8C9A0D93F"/>
          </w:placeholder>
        </w:sdtPr>
        <w:sdtContent>
          <w:r w:rsidR="00D15794">
            <w:t>01.0</w:t>
          </w:r>
        </w:sdtContent>
      </w:sdt>
      <w:bookmarkEnd w:id="7"/>
    </w:p>
    <w:p w14:paraId="704418FF" w14:textId="77777777" w:rsidR="006F5B88" w:rsidRPr="00260651" w:rsidRDefault="006F5B88" w:rsidP="001E266E">
      <w:pPr>
        <w:sectPr w:rsidR="006F5B88" w:rsidRPr="00260651" w:rsidSect="005307EB">
          <w:headerReference w:type="even" r:id="rId12"/>
          <w:headerReference w:type="default" r:id="rId13"/>
          <w:footnotePr>
            <w:numRestart w:val="eachSect"/>
          </w:footnotePr>
          <w:pgSz w:w="11907" w:h="16840" w:code="9"/>
          <w:pgMar w:top="1985" w:right="1134" w:bottom="1418" w:left="1418" w:header="1418" w:footer="1418" w:gutter="0"/>
          <w:cols w:space="720"/>
          <w:docGrid w:linePitch="299"/>
        </w:sectPr>
      </w:pPr>
    </w:p>
    <w:p w14:paraId="0B6A6894" w14:textId="55518B19" w:rsidR="00235FD4" w:rsidRPr="00216E5B" w:rsidRDefault="009F4007" w:rsidP="00B86493">
      <w:pPr>
        <w:pStyle w:val="SDMTOCHeading"/>
      </w:pPr>
      <w:r w:rsidRPr="000E63FD">
        <w:lastRenderedPageBreak/>
        <w:t>TABLE OF CONTENTS</w:t>
      </w:r>
      <w:r w:rsidR="007344BA" w:rsidRPr="00216E5B">
        <w:tab/>
      </w:r>
      <w:r w:rsidR="00A37ABA" w:rsidRPr="00216E5B">
        <w:t>Page</w:t>
      </w:r>
    </w:p>
    <w:p w14:paraId="475D5B1B" w14:textId="163A50C8" w:rsidR="001B3DB5" w:rsidRDefault="001B3DB5" w:rsidP="001B3DB5">
      <w:pPr>
        <w:pStyle w:val="TOC1"/>
        <w:rPr>
          <w:rFonts w:asciiTheme="minorHAnsi" w:eastAsiaTheme="minorEastAsia" w:hAnsiTheme="minorHAnsi" w:cstheme="minorBidi"/>
          <w:b w:val="0"/>
          <w:caps w:val="0"/>
          <w:noProof/>
          <w:sz w:val="22"/>
          <w:szCs w:val="22"/>
          <w:lang w:val="en-US" w:eastAsia="zh-CN"/>
        </w:rPr>
      </w:pPr>
      <w:r>
        <w:fldChar w:fldCharType="begin"/>
      </w:r>
      <w:r>
        <w:instrText xml:space="preserve"> TOC \o "1-3" \h \z \t "Heading 1,1, SDMHead1,1,SDMHead2,2,SDMHead3,3,SDMAppTitle,6" </w:instrText>
      </w:r>
      <w:r>
        <w:fldChar w:fldCharType="separate"/>
      </w:r>
      <w:hyperlink w:anchor="_Toc222741742" w:history="1">
        <w:r w:rsidRPr="004F3F03">
          <w:rPr>
            <w:rStyle w:val="Hyperlink"/>
            <w:noProof/>
          </w:rPr>
          <w:t>1.</w:t>
        </w:r>
        <w:r>
          <w:rPr>
            <w:rFonts w:asciiTheme="minorHAnsi" w:eastAsiaTheme="minorEastAsia" w:hAnsiTheme="minorHAnsi" w:cstheme="minorBidi"/>
            <w:b w:val="0"/>
            <w:caps w:val="0"/>
            <w:noProof/>
            <w:sz w:val="22"/>
            <w:szCs w:val="22"/>
            <w:lang w:val="en-US" w:eastAsia="zh-CN"/>
          </w:rPr>
          <w:tab/>
        </w:r>
        <w:r w:rsidRPr="004F3F03">
          <w:rPr>
            <w:rStyle w:val="Hyperlink"/>
            <w:noProof/>
          </w:rPr>
          <w:t>Introduction</w:t>
        </w:r>
        <w:r>
          <w:rPr>
            <w:noProof/>
            <w:webHidden/>
          </w:rPr>
          <w:tab/>
        </w:r>
        <w:r>
          <w:rPr>
            <w:rStyle w:val="Hyperlink"/>
            <w:noProof/>
          </w:rPr>
          <w:tab/>
        </w:r>
        <w:r>
          <w:rPr>
            <w:noProof/>
            <w:webHidden/>
          </w:rPr>
          <w:fldChar w:fldCharType="begin"/>
        </w:r>
        <w:r>
          <w:rPr>
            <w:noProof/>
            <w:webHidden/>
          </w:rPr>
          <w:instrText xml:space="preserve"> PAGEREF _Toc222741742 \h </w:instrText>
        </w:r>
        <w:r>
          <w:rPr>
            <w:noProof/>
            <w:webHidden/>
          </w:rPr>
        </w:r>
        <w:r>
          <w:rPr>
            <w:noProof/>
            <w:webHidden/>
          </w:rPr>
          <w:fldChar w:fldCharType="separate"/>
        </w:r>
        <w:r w:rsidR="00D811A8">
          <w:rPr>
            <w:noProof/>
            <w:webHidden/>
          </w:rPr>
          <w:t>4</w:t>
        </w:r>
        <w:r>
          <w:rPr>
            <w:noProof/>
            <w:webHidden/>
          </w:rPr>
          <w:fldChar w:fldCharType="end"/>
        </w:r>
      </w:hyperlink>
    </w:p>
    <w:p w14:paraId="637D0009" w14:textId="7FA2B9A4" w:rsidR="001B3DB5" w:rsidRDefault="00000000" w:rsidP="001B3DB5">
      <w:pPr>
        <w:pStyle w:val="TOC2"/>
        <w:rPr>
          <w:rFonts w:asciiTheme="minorHAnsi" w:eastAsiaTheme="minorEastAsia" w:hAnsiTheme="minorHAnsi" w:cstheme="minorBidi"/>
          <w:noProof/>
          <w:sz w:val="22"/>
          <w:szCs w:val="22"/>
          <w:lang w:val="en-US" w:eastAsia="zh-CN"/>
        </w:rPr>
      </w:pPr>
      <w:hyperlink w:anchor="_Toc222741743" w:history="1">
        <w:r w:rsidR="001B3DB5" w:rsidRPr="004F3F03">
          <w:rPr>
            <w:rStyle w:val="Hyperlink"/>
            <w:noProof/>
          </w:rPr>
          <w:t>1.1.</w:t>
        </w:r>
        <w:r w:rsidR="001B3DB5">
          <w:rPr>
            <w:rFonts w:asciiTheme="minorHAnsi" w:eastAsiaTheme="minorEastAsia" w:hAnsiTheme="minorHAnsi" w:cstheme="minorBidi"/>
            <w:noProof/>
            <w:sz w:val="22"/>
            <w:szCs w:val="22"/>
            <w:lang w:val="en-US" w:eastAsia="zh-CN"/>
          </w:rPr>
          <w:tab/>
        </w:r>
        <w:r w:rsidR="001B3DB5" w:rsidRPr="004F3F03">
          <w:rPr>
            <w:rStyle w:val="Hyperlink"/>
            <w:noProof/>
          </w:rPr>
          <w:t>Scope</w:t>
        </w:r>
        <w:r w:rsidR="001B3DB5">
          <w:rPr>
            <w:noProof/>
            <w:webHidden/>
          </w:rPr>
          <w:tab/>
        </w:r>
        <w:r w:rsidR="001B3DB5">
          <w:rPr>
            <w:rStyle w:val="Hyperlink"/>
            <w:noProof/>
          </w:rPr>
          <w:tab/>
        </w:r>
        <w:r w:rsidR="001B3DB5">
          <w:rPr>
            <w:noProof/>
            <w:webHidden/>
          </w:rPr>
          <w:fldChar w:fldCharType="begin"/>
        </w:r>
        <w:r w:rsidR="001B3DB5">
          <w:rPr>
            <w:noProof/>
            <w:webHidden/>
          </w:rPr>
          <w:instrText xml:space="preserve"> PAGEREF _Toc222741743 \h </w:instrText>
        </w:r>
        <w:r w:rsidR="001B3DB5">
          <w:rPr>
            <w:noProof/>
            <w:webHidden/>
          </w:rPr>
        </w:r>
        <w:r w:rsidR="001B3DB5">
          <w:rPr>
            <w:noProof/>
            <w:webHidden/>
          </w:rPr>
          <w:fldChar w:fldCharType="separate"/>
        </w:r>
        <w:r w:rsidR="00D811A8">
          <w:rPr>
            <w:noProof/>
            <w:webHidden/>
          </w:rPr>
          <w:t>4</w:t>
        </w:r>
        <w:r w:rsidR="001B3DB5">
          <w:rPr>
            <w:noProof/>
            <w:webHidden/>
          </w:rPr>
          <w:fldChar w:fldCharType="end"/>
        </w:r>
      </w:hyperlink>
    </w:p>
    <w:p w14:paraId="4D774252" w14:textId="6BF5B2A9" w:rsidR="001B3DB5" w:rsidRDefault="00000000" w:rsidP="001B3DB5">
      <w:pPr>
        <w:pStyle w:val="TOC2"/>
        <w:rPr>
          <w:rFonts w:asciiTheme="minorHAnsi" w:eastAsiaTheme="minorEastAsia" w:hAnsiTheme="minorHAnsi" w:cstheme="minorBidi"/>
          <w:noProof/>
          <w:sz w:val="22"/>
          <w:szCs w:val="22"/>
          <w:lang w:val="en-US" w:eastAsia="zh-CN"/>
        </w:rPr>
      </w:pPr>
      <w:hyperlink w:anchor="_Toc222741744" w:history="1">
        <w:r w:rsidR="001B3DB5" w:rsidRPr="004F3F03">
          <w:rPr>
            <w:rStyle w:val="Hyperlink"/>
            <w:noProof/>
          </w:rPr>
          <w:t>1.2.</w:t>
        </w:r>
        <w:r w:rsidR="001B3DB5">
          <w:rPr>
            <w:rFonts w:asciiTheme="minorHAnsi" w:eastAsiaTheme="minorEastAsia" w:hAnsiTheme="minorHAnsi" w:cstheme="minorBidi"/>
            <w:noProof/>
            <w:sz w:val="22"/>
            <w:szCs w:val="22"/>
            <w:lang w:val="en-US" w:eastAsia="zh-CN"/>
          </w:rPr>
          <w:tab/>
        </w:r>
        <w:r w:rsidR="001B3DB5" w:rsidRPr="004F3F03">
          <w:rPr>
            <w:rStyle w:val="Hyperlink"/>
            <w:noProof/>
          </w:rPr>
          <w:t>Entry into force and validity</w:t>
        </w:r>
        <w:r w:rsidR="001B3DB5">
          <w:rPr>
            <w:noProof/>
            <w:webHidden/>
          </w:rPr>
          <w:tab/>
        </w:r>
        <w:r w:rsidR="001B3DB5">
          <w:rPr>
            <w:rStyle w:val="Hyperlink"/>
            <w:noProof/>
          </w:rPr>
          <w:tab/>
        </w:r>
        <w:r w:rsidR="001B3DB5">
          <w:rPr>
            <w:noProof/>
            <w:webHidden/>
          </w:rPr>
          <w:fldChar w:fldCharType="begin"/>
        </w:r>
        <w:r w:rsidR="001B3DB5">
          <w:rPr>
            <w:noProof/>
            <w:webHidden/>
          </w:rPr>
          <w:instrText xml:space="preserve"> PAGEREF _Toc222741744 \h </w:instrText>
        </w:r>
        <w:r w:rsidR="001B3DB5">
          <w:rPr>
            <w:noProof/>
            <w:webHidden/>
          </w:rPr>
        </w:r>
        <w:r w:rsidR="001B3DB5">
          <w:rPr>
            <w:noProof/>
            <w:webHidden/>
          </w:rPr>
          <w:fldChar w:fldCharType="separate"/>
        </w:r>
        <w:r w:rsidR="00D811A8">
          <w:rPr>
            <w:noProof/>
            <w:webHidden/>
          </w:rPr>
          <w:t>5</w:t>
        </w:r>
        <w:r w:rsidR="001B3DB5">
          <w:rPr>
            <w:noProof/>
            <w:webHidden/>
          </w:rPr>
          <w:fldChar w:fldCharType="end"/>
        </w:r>
      </w:hyperlink>
    </w:p>
    <w:p w14:paraId="73381096" w14:textId="1B2B30FE" w:rsidR="001B3DB5" w:rsidRDefault="00000000" w:rsidP="001B3DB5">
      <w:pPr>
        <w:pStyle w:val="TOC1"/>
        <w:rPr>
          <w:rFonts w:asciiTheme="minorHAnsi" w:eastAsiaTheme="minorEastAsia" w:hAnsiTheme="minorHAnsi" w:cstheme="minorBidi"/>
          <w:b w:val="0"/>
          <w:caps w:val="0"/>
          <w:noProof/>
          <w:sz w:val="22"/>
          <w:szCs w:val="22"/>
          <w:lang w:val="en-US" w:eastAsia="zh-CN"/>
        </w:rPr>
      </w:pPr>
      <w:hyperlink w:anchor="_Toc222741745" w:history="1">
        <w:r w:rsidR="001B3DB5" w:rsidRPr="004F3F03">
          <w:rPr>
            <w:rStyle w:val="Hyperlink"/>
            <w:noProof/>
          </w:rPr>
          <w:t>2.</w:t>
        </w:r>
        <w:r w:rsidR="001B3DB5">
          <w:rPr>
            <w:rFonts w:asciiTheme="minorHAnsi" w:eastAsiaTheme="minorEastAsia" w:hAnsiTheme="minorHAnsi" w:cstheme="minorBidi"/>
            <w:b w:val="0"/>
            <w:caps w:val="0"/>
            <w:noProof/>
            <w:sz w:val="22"/>
            <w:szCs w:val="22"/>
            <w:lang w:val="en-US" w:eastAsia="zh-CN"/>
          </w:rPr>
          <w:tab/>
        </w:r>
        <w:r w:rsidR="001B3DB5" w:rsidRPr="004F3F03">
          <w:rPr>
            <w:rStyle w:val="Hyperlink"/>
            <w:noProof/>
          </w:rPr>
          <w:t>Definitions</w:t>
        </w:r>
        <w:r w:rsidR="001B3DB5">
          <w:rPr>
            <w:noProof/>
            <w:webHidden/>
          </w:rPr>
          <w:tab/>
        </w:r>
        <w:r w:rsidR="001B3DB5">
          <w:rPr>
            <w:rStyle w:val="Hyperlink"/>
            <w:noProof/>
          </w:rPr>
          <w:tab/>
        </w:r>
        <w:r w:rsidR="001B3DB5">
          <w:rPr>
            <w:noProof/>
            <w:webHidden/>
          </w:rPr>
          <w:fldChar w:fldCharType="begin"/>
        </w:r>
        <w:r w:rsidR="001B3DB5">
          <w:rPr>
            <w:noProof/>
            <w:webHidden/>
          </w:rPr>
          <w:instrText xml:space="preserve"> PAGEREF _Toc222741745 \h </w:instrText>
        </w:r>
        <w:r w:rsidR="001B3DB5">
          <w:rPr>
            <w:noProof/>
            <w:webHidden/>
          </w:rPr>
        </w:r>
        <w:r w:rsidR="001B3DB5">
          <w:rPr>
            <w:noProof/>
            <w:webHidden/>
          </w:rPr>
          <w:fldChar w:fldCharType="separate"/>
        </w:r>
        <w:r w:rsidR="00D811A8">
          <w:rPr>
            <w:noProof/>
            <w:webHidden/>
          </w:rPr>
          <w:t>5</w:t>
        </w:r>
        <w:r w:rsidR="001B3DB5">
          <w:rPr>
            <w:noProof/>
            <w:webHidden/>
          </w:rPr>
          <w:fldChar w:fldCharType="end"/>
        </w:r>
      </w:hyperlink>
    </w:p>
    <w:p w14:paraId="48E151AA" w14:textId="11A507B8" w:rsidR="001B3DB5" w:rsidRDefault="00000000" w:rsidP="001B3DB5">
      <w:pPr>
        <w:pStyle w:val="TOC2"/>
        <w:rPr>
          <w:rFonts w:asciiTheme="minorHAnsi" w:eastAsiaTheme="minorEastAsia" w:hAnsiTheme="minorHAnsi" w:cstheme="minorBidi"/>
          <w:noProof/>
          <w:sz w:val="22"/>
          <w:szCs w:val="22"/>
          <w:lang w:val="en-US" w:eastAsia="zh-CN"/>
        </w:rPr>
      </w:pPr>
      <w:hyperlink w:anchor="_Toc222741746" w:history="1">
        <w:r w:rsidR="001B3DB5" w:rsidRPr="004F3F03">
          <w:rPr>
            <w:rStyle w:val="Hyperlink"/>
            <w:noProof/>
          </w:rPr>
          <w:t>2.1.</w:t>
        </w:r>
        <w:r w:rsidR="001B3DB5">
          <w:rPr>
            <w:rFonts w:asciiTheme="minorHAnsi" w:eastAsiaTheme="minorEastAsia" w:hAnsiTheme="minorHAnsi" w:cstheme="minorBidi"/>
            <w:noProof/>
            <w:sz w:val="22"/>
            <w:szCs w:val="22"/>
            <w:lang w:val="en-US" w:eastAsia="zh-CN"/>
          </w:rPr>
          <w:tab/>
        </w:r>
        <w:r w:rsidR="001B3DB5" w:rsidRPr="004F3F03">
          <w:rPr>
            <w:rStyle w:val="Hyperlink"/>
            <w:noProof/>
          </w:rPr>
          <w:t>General terms</w:t>
        </w:r>
        <w:r w:rsidR="001B3DB5">
          <w:rPr>
            <w:noProof/>
            <w:webHidden/>
          </w:rPr>
          <w:tab/>
        </w:r>
        <w:r w:rsidR="001B3DB5">
          <w:rPr>
            <w:rStyle w:val="Hyperlink"/>
            <w:noProof/>
          </w:rPr>
          <w:tab/>
        </w:r>
        <w:r w:rsidR="001B3DB5">
          <w:rPr>
            <w:noProof/>
            <w:webHidden/>
          </w:rPr>
          <w:fldChar w:fldCharType="begin"/>
        </w:r>
        <w:r w:rsidR="001B3DB5">
          <w:rPr>
            <w:noProof/>
            <w:webHidden/>
          </w:rPr>
          <w:instrText xml:space="preserve"> PAGEREF _Toc222741746 \h </w:instrText>
        </w:r>
        <w:r w:rsidR="001B3DB5">
          <w:rPr>
            <w:noProof/>
            <w:webHidden/>
          </w:rPr>
        </w:r>
        <w:r w:rsidR="001B3DB5">
          <w:rPr>
            <w:noProof/>
            <w:webHidden/>
          </w:rPr>
          <w:fldChar w:fldCharType="separate"/>
        </w:r>
        <w:r w:rsidR="00D811A8">
          <w:rPr>
            <w:noProof/>
            <w:webHidden/>
          </w:rPr>
          <w:t>5</w:t>
        </w:r>
        <w:r w:rsidR="001B3DB5">
          <w:rPr>
            <w:noProof/>
            <w:webHidden/>
          </w:rPr>
          <w:fldChar w:fldCharType="end"/>
        </w:r>
      </w:hyperlink>
    </w:p>
    <w:p w14:paraId="0706B450" w14:textId="6003C41E" w:rsidR="001B3DB5" w:rsidRDefault="00000000" w:rsidP="001B3DB5">
      <w:pPr>
        <w:pStyle w:val="TOC2"/>
        <w:rPr>
          <w:rFonts w:asciiTheme="minorHAnsi" w:eastAsiaTheme="minorEastAsia" w:hAnsiTheme="minorHAnsi" w:cstheme="minorBidi"/>
          <w:noProof/>
          <w:sz w:val="22"/>
          <w:szCs w:val="22"/>
          <w:lang w:val="en-US" w:eastAsia="zh-CN"/>
        </w:rPr>
      </w:pPr>
      <w:hyperlink w:anchor="_Toc222741747" w:history="1">
        <w:r w:rsidR="001B3DB5" w:rsidRPr="004F3F03">
          <w:rPr>
            <w:rStyle w:val="Hyperlink"/>
            <w:noProof/>
          </w:rPr>
          <w:t>2.2.</w:t>
        </w:r>
        <w:r w:rsidR="001B3DB5">
          <w:rPr>
            <w:rFonts w:asciiTheme="minorHAnsi" w:eastAsiaTheme="minorEastAsia" w:hAnsiTheme="minorHAnsi" w:cstheme="minorBidi"/>
            <w:noProof/>
            <w:sz w:val="22"/>
            <w:szCs w:val="22"/>
            <w:lang w:val="en-US" w:eastAsia="zh-CN"/>
          </w:rPr>
          <w:tab/>
        </w:r>
        <w:r w:rsidR="001B3DB5" w:rsidRPr="004F3F03">
          <w:rPr>
            <w:rStyle w:val="Hyperlink"/>
            <w:noProof/>
          </w:rPr>
          <w:t>Methodological terms and definitions</w:t>
        </w:r>
        <w:r w:rsidR="001B3DB5">
          <w:rPr>
            <w:noProof/>
            <w:webHidden/>
          </w:rPr>
          <w:tab/>
        </w:r>
        <w:r w:rsidR="001B3DB5">
          <w:rPr>
            <w:rStyle w:val="Hyperlink"/>
            <w:noProof/>
          </w:rPr>
          <w:tab/>
        </w:r>
        <w:r w:rsidR="001B3DB5">
          <w:rPr>
            <w:noProof/>
            <w:webHidden/>
          </w:rPr>
          <w:fldChar w:fldCharType="begin"/>
        </w:r>
        <w:r w:rsidR="001B3DB5">
          <w:rPr>
            <w:noProof/>
            <w:webHidden/>
          </w:rPr>
          <w:instrText xml:space="preserve"> PAGEREF _Toc222741747 \h </w:instrText>
        </w:r>
        <w:r w:rsidR="001B3DB5">
          <w:rPr>
            <w:noProof/>
            <w:webHidden/>
          </w:rPr>
        </w:r>
        <w:r w:rsidR="001B3DB5">
          <w:rPr>
            <w:noProof/>
            <w:webHidden/>
          </w:rPr>
          <w:fldChar w:fldCharType="separate"/>
        </w:r>
        <w:r w:rsidR="00D811A8">
          <w:rPr>
            <w:noProof/>
            <w:webHidden/>
          </w:rPr>
          <w:t>5</w:t>
        </w:r>
        <w:r w:rsidR="001B3DB5">
          <w:rPr>
            <w:noProof/>
            <w:webHidden/>
          </w:rPr>
          <w:fldChar w:fldCharType="end"/>
        </w:r>
      </w:hyperlink>
    </w:p>
    <w:p w14:paraId="27401477" w14:textId="6ECC822E" w:rsidR="001B3DB5" w:rsidRDefault="00000000" w:rsidP="001B3DB5">
      <w:pPr>
        <w:pStyle w:val="TOC1"/>
        <w:rPr>
          <w:rFonts w:asciiTheme="minorHAnsi" w:eastAsiaTheme="minorEastAsia" w:hAnsiTheme="minorHAnsi" w:cstheme="minorBidi"/>
          <w:b w:val="0"/>
          <w:caps w:val="0"/>
          <w:noProof/>
          <w:sz w:val="22"/>
          <w:szCs w:val="22"/>
          <w:lang w:val="en-US" w:eastAsia="zh-CN"/>
        </w:rPr>
      </w:pPr>
      <w:hyperlink w:anchor="_Toc222741748" w:history="1">
        <w:r w:rsidR="001B3DB5" w:rsidRPr="004F3F03">
          <w:rPr>
            <w:rStyle w:val="Hyperlink"/>
            <w:noProof/>
          </w:rPr>
          <w:t>3.</w:t>
        </w:r>
        <w:r w:rsidR="001B3DB5">
          <w:rPr>
            <w:rFonts w:asciiTheme="minorHAnsi" w:eastAsiaTheme="minorEastAsia" w:hAnsiTheme="minorHAnsi" w:cstheme="minorBidi"/>
            <w:b w:val="0"/>
            <w:caps w:val="0"/>
            <w:noProof/>
            <w:sz w:val="22"/>
            <w:szCs w:val="22"/>
            <w:lang w:val="en-US" w:eastAsia="zh-CN"/>
          </w:rPr>
          <w:tab/>
        </w:r>
        <w:r w:rsidR="001B3DB5" w:rsidRPr="004F3F03">
          <w:rPr>
            <w:rStyle w:val="Hyperlink"/>
            <w:noProof/>
          </w:rPr>
          <w:t>Applicability</w:t>
        </w:r>
        <w:r w:rsidR="001B3DB5">
          <w:rPr>
            <w:noProof/>
            <w:webHidden/>
          </w:rPr>
          <w:tab/>
        </w:r>
        <w:r w:rsidR="001B3DB5">
          <w:rPr>
            <w:rStyle w:val="Hyperlink"/>
            <w:noProof/>
          </w:rPr>
          <w:tab/>
        </w:r>
        <w:r w:rsidR="001B3DB5">
          <w:rPr>
            <w:noProof/>
            <w:webHidden/>
          </w:rPr>
          <w:fldChar w:fldCharType="begin"/>
        </w:r>
        <w:r w:rsidR="001B3DB5">
          <w:rPr>
            <w:noProof/>
            <w:webHidden/>
          </w:rPr>
          <w:instrText xml:space="preserve"> PAGEREF _Toc222741748 \h </w:instrText>
        </w:r>
        <w:r w:rsidR="001B3DB5">
          <w:rPr>
            <w:noProof/>
            <w:webHidden/>
          </w:rPr>
        </w:r>
        <w:r w:rsidR="001B3DB5">
          <w:rPr>
            <w:noProof/>
            <w:webHidden/>
          </w:rPr>
          <w:fldChar w:fldCharType="separate"/>
        </w:r>
        <w:r w:rsidR="00D811A8">
          <w:rPr>
            <w:noProof/>
            <w:webHidden/>
          </w:rPr>
          <w:t>7</w:t>
        </w:r>
        <w:r w:rsidR="001B3DB5">
          <w:rPr>
            <w:noProof/>
            <w:webHidden/>
          </w:rPr>
          <w:fldChar w:fldCharType="end"/>
        </w:r>
      </w:hyperlink>
    </w:p>
    <w:p w14:paraId="605DE3EF" w14:textId="5B836323" w:rsidR="001B3DB5" w:rsidRDefault="00000000" w:rsidP="001B3DB5">
      <w:pPr>
        <w:pStyle w:val="TOC1"/>
        <w:rPr>
          <w:rFonts w:asciiTheme="minorHAnsi" w:eastAsiaTheme="minorEastAsia" w:hAnsiTheme="minorHAnsi" w:cstheme="minorBidi"/>
          <w:b w:val="0"/>
          <w:caps w:val="0"/>
          <w:noProof/>
          <w:sz w:val="22"/>
          <w:szCs w:val="22"/>
          <w:lang w:val="en-US" w:eastAsia="zh-CN"/>
        </w:rPr>
      </w:pPr>
      <w:hyperlink w:anchor="_Toc222741749" w:history="1">
        <w:r w:rsidR="001B3DB5" w:rsidRPr="004F3F03">
          <w:rPr>
            <w:rStyle w:val="Hyperlink"/>
            <w:noProof/>
          </w:rPr>
          <w:t>4.</w:t>
        </w:r>
        <w:r w:rsidR="001B3DB5">
          <w:rPr>
            <w:rFonts w:asciiTheme="minorHAnsi" w:eastAsiaTheme="minorEastAsia" w:hAnsiTheme="minorHAnsi" w:cstheme="minorBidi"/>
            <w:b w:val="0"/>
            <w:caps w:val="0"/>
            <w:noProof/>
            <w:sz w:val="22"/>
            <w:szCs w:val="22"/>
            <w:lang w:val="en-US" w:eastAsia="zh-CN"/>
          </w:rPr>
          <w:tab/>
        </w:r>
        <w:r w:rsidR="001B3DB5" w:rsidRPr="004F3F03">
          <w:rPr>
            <w:rStyle w:val="Hyperlink"/>
            <w:noProof/>
          </w:rPr>
          <w:t>Normative and informative references</w:t>
        </w:r>
        <w:r w:rsidR="001B3DB5">
          <w:rPr>
            <w:noProof/>
            <w:webHidden/>
          </w:rPr>
          <w:tab/>
        </w:r>
        <w:r w:rsidR="001B3DB5">
          <w:rPr>
            <w:rStyle w:val="Hyperlink"/>
            <w:noProof/>
          </w:rPr>
          <w:tab/>
        </w:r>
        <w:r w:rsidR="001B3DB5">
          <w:rPr>
            <w:noProof/>
            <w:webHidden/>
          </w:rPr>
          <w:fldChar w:fldCharType="begin"/>
        </w:r>
        <w:r w:rsidR="001B3DB5">
          <w:rPr>
            <w:noProof/>
            <w:webHidden/>
          </w:rPr>
          <w:instrText xml:space="preserve"> PAGEREF _Toc222741749 \h </w:instrText>
        </w:r>
        <w:r w:rsidR="001B3DB5">
          <w:rPr>
            <w:noProof/>
            <w:webHidden/>
          </w:rPr>
        </w:r>
        <w:r w:rsidR="001B3DB5">
          <w:rPr>
            <w:noProof/>
            <w:webHidden/>
          </w:rPr>
          <w:fldChar w:fldCharType="separate"/>
        </w:r>
        <w:r w:rsidR="00D811A8">
          <w:rPr>
            <w:noProof/>
            <w:webHidden/>
          </w:rPr>
          <w:t>8</w:t>
        </w:r>
        <w:r w:rsidR="001B3DB5">
          <w:rPr>
            <w:noProof/>
            <w:webHidden/>
          </w:rPr>
          <w:fldChar w:fldCharType="end"/>
        </w:r>
      </w:hyperlink>
    </w:p>
    <w:p w14:paraId="0CFE2557" w14:textId="580026B2" w:rsidR="001B3DB5" w:rsidRDefault="00000000" w:rsidP="001B3DB5">
      <w:pPr>
        <w:pStyle w:val="TOC1"/>
        <w:rPr>
          <w:rFonts w:asciiTheme="minorHAnsi" w:eastAsiaTheme="minorEastAsia" w:hAnsiTheme="minorHAnsi" w:cstheme="minorBidi"/>
          <w:b w:val="0"/>
          <w:caps w:val="0"/>
          <w:noProof/>
          <w:sz w:val="22"/>
          <w:szCs w:val="22"/>
          <w:lang w:val="en-US" w:eastAsia="zh-CN"/>
        </w:rPr>
      </w:pPr>
      <w:hyperlink w:anchor="_Toc222741750" w:history="1">
        <w:r w:rsidR="001B3DB5" w:rsidRPr="004F3F03">
          <w:rPr>
            <w:rStyle w:val="Hyperlink"/>
            <w:noProof/>
          </w:rPr>
          <w:t>5.</w:t>
        </w:r>
        <w:r w:rsidR="001B3DB5">
          <w:rPr>
            <w:rFonts w:asciiTheme="minorHAnsi" w:eastAsiaTheme="minorEastAsia" w:hAnsiTheme="minorHAnsi" w:cstheme="minorBidi"/>
            <w:b w:val="0"/>
            <w:caps w:val="0"/>
            <w:noProof/>
            <w:sz w:val="22"/>
            <w:szCs w:val="22"/>
            <w:lang w:val="en-US" w:eastAsia="zh-CN"/>
          </w:rPr>
          <w:tab/>
        </w:r>
        <w:r w:rsidR="001B3DB5" w:rsidRPr="004F3F03">
          <w:rPr>
            <w:rStyle w:val="Hyperlink"/>
            <w:noProof/>
          </w:rPr>
          <w:t>Methodological approaches</w:t>
        </w:r>
        <w:r w:rsidR="001B3DB5">
          <w:rPr>
            <w:noProof/>
            <w:webHidden/>
          </w:rPr>
          <w:tab/>
        </w:r>
        <w:r w:rsidR="001B3DB5">
          <w:rPr>
            <w:rStyle w:val="Hyperlink"/>
            <w:noProof/>
          </w:rPr>
          <w:tab/>
        </w:r>
        <w:r w:rsidR="001B3DB5">
          <w:rPr>
            <w:noProof/>
            <w:webHidden/>
          </w:rPr>
          <w:fldChar w:fldCharType="begin"/>
        </w:r>
        <w:r w:rsidR="001B3DB5">
          <w:rPr>
            <w:noProof/>
            <w:webHidden/>
          </w:rPr>
          <w:instrText xml:space="preserve"> PAGEREF _Toc222741750 \h </w:instrText>
        </w:r>
        <w:r w:rsidR="001B3DB5">
          <w:rPr>
            <w:noProof/>
            <w:webHidden/>
          </w:rPr>
        </w:r>
        <w:r w:rsidR="001B3DB5">
          <w:rPr>
            <w:noProof/>
            <w:webHidden/>
          </w:rPr>
          <w:fldChar w:fldCharType="separate"/>
        </w:r>
        <w:r w:rsidR="00D811A8">
          <w:rPr>
            <w:noProof/>
            <w:webHidden/>
          </w:rPr>
          <w:t>8</w:t>
        </w:r>
        <w:r w:rsidR="001B3DB5">
          <w:rPr>
            <w:noProof/>
            <w:webHidden/>
          </w:rPr>
          <w:fldChar w:fldCharType="end"/>
        </w:r>
      </w:hyperlink>
    </w:p>
    <w:p w14:paraId="0CEB2219" w14:textId="66AAF217" w:rsidR="001B3DB5" w:rsidRDefault="00000000" w:rsidP="001B3DB5">
      <w:pPr>
        <w:pStyle w:val="TOC2"/>
        <w:rPr>
          <w:rFonts w:asciiTheme="minorHAnsi" w:eastAsiaTheme="minorEastAsia" w:hAnsiTheme="minorHAnsi" w:cstheme="minorBidi"/>
          <w:noProof/>
          <w:sz w:val="22"/>
          <w:szCs w:val="22"/>
          <w:lang w:val="en-US" w:eastAsia="zh-CN"/>
        </w:rPr>
      </w:pPr>
      <w:hyperlink w:anchor="_Toc222741751" w:history="1">
        <w:r w:rsidR="001B3DB5" w:rsidRPr="004F3F03">
          <w:rPr>
            <w:rStyle w:val="Hyperlink"/>
            <w:noProof/>
          </w:rPr>
          <w:t>5.1.</w:t>
        </w:r>
        <w:r w:rsidR="001B3DB5">
          <w:rPr>
            <w:rFonts w:asciiTheme="minorHAnsi" w:eastAsiaTheme="minorEastAsia" w:hAnsiTheme="minorHAnsi" w:cstheme="minorBidi"/>
            <w:noProof/>
            <w:sz w:val="22"/>
            <w:szCs w:val="22"/>
            <w:lang w:val="en-US" w:eastAsia="zh-CN"/>
          </w:rPr>
          <w:tab/>
        </w:r>
        <w:r w:rsidR="001B3DB5" w:rsidRPr="004F3F03">
          <w:rPr>
            <w:rStyle w:val="Hyperlink"/>
            <w:noProof/>
          </w:rPr>
          <w:t>Step 1: Identify all relevant electricity generation and consumption sources </w:t>
        </w:r>
        <w:r w:rsidR="001B3DB5" w:rsidRPr="004F3F03">
          <w:rPr>
            <w:rStyle w:val="Hyperlink"/>
            <w:i/>
            <w:iCs/>
            <w:noProof/>
          </w:rPr>
          <w:t>s</w:t>
        </w:r>
        <w:r w:rsidR="001B3DB5" w:rsidRPr="004F3F03">
          <w:rPr>
            <w:rStyle w:val="Hyperlink"/>
            <w:noProof/>
          </w:rPr>
          <w:t xml:space="preserve"> in relation to the Article 6.4 activity</w:t>
        </w:r>
        <w:r w:rsidR="001B3DB5">
          <w:rPr>
            <w:noProof/>
            <w:webHidden/>
          </w:rPr>
          <w:tab/>
        </w:r>
        <w:r w:rsidR="001B3DB5">
          <w:rPr>
            <w:rStyle w:val="Hyperlink"/>
            <w:noProof/>
          </w:rPr>
          <w:tab/>
        </w:r>
        <w:r w:rsidR="001B3DB5">
          <w:rPr>
            <w:noProof/>
            <w:webHidden/>
          </w:rPr>
          <w:fldChar w:fldCharType="begin"/>
        </w:r>
        <w:r w:rsidR="001B3DB5">
          <w:rPr>
            <w:noProof/>
            <w:webHidden/>
          </w:rPr>
          <w:instrText xml:space="preserve"> PAGEREF _Toc222741751 \h </w:instrText>
        </w:r>
        <w:r w:rsidR="001B3DB5">
          <w:rPr>
            <w:noProof/>
            <w:webHidden/>
          </w:rPr>
        </w:r>
        <w:r w:rsidR="001B3DB5">
          <w:rPr>
            <w:noProof/>
            <w:webHidden/>
          </w:rPr>
          <w:fldChar w:fldCharType="separate"/>
        </w:r>
        <w:r w:rsidR="00D811A8">
          <w:rPr>
            <w:noProof/>
            <w:webHidden/>
          </w:rPr>
          <w:t>9</w:t>
        </w:r>
        <w:r w:rsidR="001B3DB5">
          <w:rPr>
            <w:noProof/>
            <w:webHidden/>
          </w:rPr>
          <w:fldChar w:fldCharType="end"/>
        </w:r>
      </w:hyperlink>
    </w:p>
    <w:p w14:paraId="3387C1FE" w14:textId="3E1AE071" w:rsidR="001B3DB5" w:rsidRDefault="00000000" w:rsidP="001B3DB5">
      <w:pPr>
        <w:pStyle w:val="TOC2"/>
        <w:rPr>
          <w:rFonts w:asciiTheme="minorHAnsi" w:eastAsiaTheme="minorEastAsia" w:hAnsiTheme="minorHAnsi" w:cstheme="minorBidi"/>
          <w:noProof/>
          <w:sz w:val="22"/>
          <w:szCs w:val="22"/>
          <w:lang w:val="en-US" w:eastAsia="zh-CN"/>
        </w:rPr>
      </w:pPr>
      <w:hyperlink w:anchor="_Toc222741752" w:history="1">
        <w:r w:rsidR="001B3DB5" w:rsidRPr="004F3F03">
          <w:rPr>
            <w:rStyle w:val="Hyperlink"/>
            <w:noProof/>
          </w:rPr>
          <w:t>5.2.</w:t>
        </w:r>
        <w:r w:rsidR="001B3DB5">
          <w:rPr>
            <w:rFonts w:asciiTheme="minorHAnsi" w:eastAsiaTheme="minorEastAsia" w:hAnsiTheme="minorHAnsi" w:cstheme="minorBidi"/>
            <w:noProof/>
            <w:sz w:val="22"/>
            <w:szCs w:val="22"/>
            <w:lang w:val="en-US" w:eastAsia="zh-CN"/>
          </w:rPr>
          <w:tab/>
        </w:r>
        <w:r w:rsidR="001B3DB5" w:rsidRPr="004F3F03">
          <w:rPr>
            <w:rStyle w:val="Hyperlink"/>
            <w:noProof/>
            <w:lang w:eastAsia="ja-JP"/>
          </w:rPr>
          <w:t xml:space="preserve">Step 2: </w:t>
        </w:r>
        <w:r w:rsidR="001B3DB5" w:rsidRPr="004F3F03">
          <w:rPr>
            <w:rStyle w:val="Hyperlink"/>
            <w:noProof/>
          </w:rPr>
          <w:t>Determine, for each electricity generation or consumption source </w:t>
        </w:r>
        <w:r w:rsidR="001B3DB5" w:rsidRPr="004F3F03">
          <w:rPr>
            <w:rStyle w:val="Hyperlink"/>
            <w:i/>
            <w:iCs/>
            <w:noProof/>
          </w:rPr>
          <w:t>s,</w:t>
        </w:r>
        <w:r w:rsidR="001B3DB5" w:rsidRPr="004F3F03">
          <w:rPr>
            <w:rStyle w:val="Hyperlink"/>
            <w:noProof/>
          </w:rPr>
          <w:t xml:space="preserve"> whether electricity is consumed from or fed into an electricity system, or whether it is consumed from or avoids power generation by fossil-fuel fired captive power plant(s)</w:t>
        </w:r>
        <w:r w:rsidR="001B3DB5">
          <w:rPr>
            <w:noProof/>
            <w:webHidden/>
          </w:rPr>
          <w:tab/>
        </w:r>
        <w:r w:rsidR="001B3DB5">
          <w:rPr>
            <w:rStyle w:val="Hyperlink"/>
            <w:noProof/>
          </w:rPr>
          <w:tab/>
        </w:r>
        <w:r w:rsidR="001B3DB5">
          <w:rPr>
            <w:noProof/>
            <w:webHidden/>
          </w:rPr>
          <w:fldChar w:fldCharType="begin"/>
        </w:r>
        <w:r w:rsidR="001B3DB5">
          <w:rPr>
            <w:noProof/>
            <w:webHidden/>
          </w:rPr>
          <w:instrText xml:space="preserve"> PAGEREF _Toc222741752 \h </w:instrText>
        </w:r>
        <w:r w:rsidR="001B3DB5">
          <w:rPr>
            <w:noProof/>
            <w:webHidden/>
          </w:rPr>
        </w:r>
        <w:r w:rsidR="001B3DB5">
          <w:rPr>
            <w:noProof/>
            <w:webHidden/>
          </w:rPr>
          <w:fldChar w:fldCharType="separate"/>
        </w:r>
        <w:r w:rsidR="00D811A8">
          <w:rPr>
            <w:noProof/>
            <w:webHidden/>
          </w:rPr>
          <w:t>9</w:t>
        </w:r>
        <w:r w:rsidR="001B3DB5">
          <w:rPr>
            <w:noProof/>
            <w:webHidden/>
          </w:rPr>
          <w:fldChar w:fldCharType="end"/>
        </w:r>
      </w:hyperlink>
    </w:p>
    <w:p w14:paraId="7A2A0DDA" w14:textId="1CCB51C0" w:rsidR="001B3DB5" w:rsidRDefault="00000000" w:rsidP="001B3DB5">
      <w:pPr>
        <w:pStyle w:val="TOC2"/>
        <w:rPr>
          <w:rFonts w:asciiTheme="minorHAnsi" w:eastAsiaTheme="minorEastAsia" w:hAnsiTheme="minorHAnsi" w:cstheme="minorBidi"/>
          <w:noProof/>
          <w:sz w:val="22"/>
          <w:szCs w:val="22"/>
          <w:lang w:val="en-US" w:eastAsia="zh-CN"/>
        </w:rPr>
      </w:pPr>
      <w:hyperlink w:anchor="_Toc222741753" w:history="1">
        <w:r w:rsidR="001B3DB5" w:rsidRPr="004F3F03">
          <w:rPr>
            <w:rStyle w:val="Hyperlink"/>
            <w:noProof/>
          </w:rPr>
          <w:t>5.3.</w:t>
        </w:r>
        <w:r w:rsidR="001B3DB5">
          <w:rPr>
            <w:rFonts w:asciiTheme="minorHAnsi" w:eastAsiaTheme="minorEastAsia" w:hAnsiTheme="minorHAnsi" w:cstheme="minorBidi"/>
            <w:noProof/>
            <w:sz w:val="22"/>
            <w:szCs w:val="22"/>
            <w:lang w:val="en-US" w:eastAsia="zh-CN"/>
          </w:rPr>
          <w:tab/>
        </w:r>
        <w:r w:rsidR="001B3DB5" w:rsidRPr="004F3F03">
          <w:rPr>
            <w:rStyle w:val="Hyperlink"/>
            <w:noProof/>
          </w:rPr>
          <w:t>Step 3:</w:t>
        </w:r>
        <w:r w:rsidR="001B3DB5" w:rsidRPr="004F3F03">
          <w:rPr>
            <w:rStyle w:val="Hyperlink"/>
            <w:noProof/>
            <w:lang w:eastAsia="ja-JP"/>
          </w:rPr>
          <w:t xml:space="preserve"> Identify the relevant electricity system(s), where applicable</w:t>
        </w:r>
        <w:r w:rsidR="001B3DB5">
          <w:rPr>
            <w:noProof/>
            <w:webHidden/>
          </w:rPr>
          <w:tab/>
        </w:r>
        <w:r w:rsidR="001B3DB5">
          <w:rPr>
            <w:rStyle w:val="Hyperlink"/>
            <w:noProof/>
            <w:lang w:eastAsia="ja-JP"/>
          </w:rPr>
          <w:tab/>
        </w:r>
        <w:r w:rsidR="001B3DB5">
          <w:rPr>
            <w:noProof/>
            <w:webHidden/>
          </w:rPr>
          <w:fldChar w:fldCharType="begin"/>
        </w:r>
        <w:r w:rsidR="001B3DB5">
          <w:rPr>
            <w:noProof/>
            <w:webHidden/>
          </w:rPr>
          <w:instrText xml:space="preserve"> PAGEREF _Toc222741753 \h </w:instrText>
        </w:r>
        <w:r w:rsidR="001B3DB5">
          <w:rPr>
            <w:noProof/>
            <w:webHidden/>
          </w:rPr>
        </w:r>
        <w:r w:rsidR="001B3DB5">
          <w:rPr>
            <w:noProof/>
            <w:webHidden/>
          </w:rPr>
          <w:fldChar w:fldCharType="separate"/>
        </w:r>
        <w:r w:rsidR="00D811A8">
          <w:rPr>
            <w:noProof/>
            <w:webHidden/>
          </w:rPr>
          <w:t>10</w:t>
        </w:r>
        <w:r w:rsidR="001B3DB5">
          <w:rPr>
            <w:noProof/>
            <w:webHidden/>
          </w:rPr>
          <w:fldChar w:fldCharType="end"/>
        </w:r>
      </w:hyperlink>
    </w:p>
    <w:p w14:paraId="3A626991" w14:textId="48EA9574" w:rsidR="001B3DB5" w:rsidRDefault="00000000" w:rsidP="001B3DB5">
      <w:pPr>
        <w:pStyle w:val="TOC2"/>
        <w:rPr>
          <w:rFonts w:asciiTheme="minorHAnsi" w:eastAsiaTheme="minorEastAsia" w:hAnsiTheme="minorHAnsi" w:cstheme="minorBidi"/>
          <w:noProof/>
          <w:sz w:val="22"/>
          <w:szCs w:val="22"/>
          <w:lang w:val="en-US" w:eastAsia="zh-CN"/>
        </w:rPr>
      </w:pPr>
      <w:hyperlink w:anchor="_Toc222741754" w:history="1">
        <w:r w:rsidR="001B3DB5" w:rsidRPr="004F3F03">
          <w:rPr>
            <w:rStyle w:val="Hyperlink"/>
            <w:noProof/>
            <w:lang w:eastAsia="ja-JP"/>
          </w:rPr>
          <w:t>5.4.</w:t>
        </w:r>
        <w:r w:rsidR="001B3DB5">
          <w:rPr>
            <w:rFonts w:asciiTheme="minorHAnsi" w:eastAsiaTheme="minorEastAsia" w:hAnsiTheme="minorHAnsi" w:cstheme="minorBidi"/>
            <w:noProof/>
            <w:sz w:val="22"/>
            <w:szCs w:val="22"/>
            <w:lang w:val="en-US" w:eastAsia="zh-CN"/>
          </w:rPr>
          <w:tab/>
        </w:r>
        <w:r w:rsidR="001B3DB5" w:rsidRPr="004F3F03">
          <w:rPr>
            <w:rStyle w:val="Hyperlink"/>
            <w:noProof/>
            <w:lang w:eastAsia="ja-JP"/>
          </w:rPr>
          <w:t>Step 4: Determine whether applying a higher or a lower value for emissions from electricity generation and/or consumption is more conservative</w:t>
        </w:r>
        <w:r w:rsidR="001B3DB5">
          <w:rPr>
            <w:noProof/>
            <w:webHidden/>
          </w:rPr>
          <w:tab/>
        </w:r>
        <w:r w:rsidR="001B3DB5">
          <w:rPr>
            <w:rStyle w:val="Hyperlink"/>
            <w:noProof/>
            <w:lang w:eastAsia="ja-JP"/>
          </w:rPr>
          <w:tab/>
        </w:r>
        <w:r w:rsidR="001B3DB5">
          <w:rPr>
            <w:noProof/>
            <w:webHidden/>
          </w:rPr>
          <w:fldChar w:fldCharType="begin"/>
        </w:r>
        <w:r w:rsidR="001B3DB5">
          <w:rPr>
            <w:noProof/>
            <w:webHidden/>
          </w:rPr>
          <w:instrText xml:space="preserve"> PAGEREF _Toc222741754 \h </w:instrText>
        </w:r>
        <w:r w:rsidR="001B3DB5">
          <w:rPr>
            <w:noProof/>
            <w:webHidden/>
          </w:rPr>
        </w:r>
        <w:r w:rsidR="001B3DB5">
          <w:rPr>
            <w:noProof/>
            <w:webHidden/>
          </w:rPr>
          <w:fldChar w:fldCharType="separate"/>
        </w:r>
        <w:r w:rsidR="00D811A8">
          <w:rPr>
            <w:noProof/>
            <w:webHidden/>
          </w:rPr>
          <w:t>12</w:t>
        </w:r>
        <w:r w:rsidR="001B3DB5">
          <w:rPr>
            <w:noProof/>
            <w:webHidden/>
          </w:rPr>
          <w:fldChar w:fldCharType="end"/>
        </w:r>
      </w:hyperlink>
    </w:p>
    <w:p w14:paraId="6C78C5CD" w14:textId="0EFA2585" w:rsidR="001B3DB5" w:rsidRDefault="00000000" w:rsidP="001B3DB5">
      <w:pPr>
        <w:pStyle w:val="TOC2"/>
        <w:rPr>
          <w:rFonts w:asciiTheme="minorHAnsi" w:eastAsiaTheme="minorEastAsia" w:hAnsiTheme="minorHAnsi" w:cstheme="minorBidi"/>
          <w:noProof/>
          <w:sz w:val="22"/>
          <w:szCs w:val="22"/>
          <w:lang w:val="en-US" w:eastAsia="zh-CN"/>
        </w:rPr>
      </w:pPr>
      <w:hyperlink w:anchor="_Toc222741755" w:history="1">
        <w:r w:rsidR="001B3DB5" w:rsidRPr="004F3F03">
          <w:rPr>
            <w:rStyle w:val="Hyperlink"/>
            <w:noProof/>
          </w:rPr>
          <w:t>5.5.</w:t>
        </w:r>
        <w:r w:rsidR="001B3DB5">
          <w:rPr>
            <w:rFonts w:asciiTheme="minorHAnsi" w:eastAsiaTheme="minorEastAsia" w:hAnsiTheme="minorHAnsi" w:cstheme="minorBidi"/>
            <w:noProof/>
            <w:sz w:val="22"/>
            <w:szCs w:val="22"/>
            <w:lang w:val="en-US" w:eastAsia="zh-CN"/>
          </w:rPr>
          <w:tab/>
        </w:r>
        <w:r w:rsidR="001B3DB5" w:rsidRPr="004F3F03">
          <w:rPr>
            <w:rStyle w:val="Hyperlink"/>
            <w:noProof/>
          </w:rPr>
          <w:t>Step 5: Determine the amount of electricity generation and/or consumption</w:t>
        </w:r>
        <w:r w:rsidR="001B3DB5">
          <w:rPr>
            <w:noProof/>
            <w:webHidden/>
          </w:rPr>
          <w:tab/>
        </w:r>
        <w:r w:rsidR="001B3DB5">
          <w:rPr>
            <w:rStyle w:val="Hyperlink"/>
            <w:noProof/>
          </w:rPr>
          <w:tab/>
        </w:r>
        <w:r w:rsidR="001B3DB5">
          <w:rPr>
            <w:noProof/>
            <w:webHidden/>
          </w:rPr>
          <w:fldChar w:fldCharType="begin"/>
        </w:r>
        <w:r w:rsidR="001B3DB5">
          <w:rPr>
            <w:noProof/>
            <w:webHidden/>
          </w:rPr>
          <w:instrText xml:space="preserve"> PAGEREF _Toc222741755 \h </w:instrText>
        </w:r>
        <w:r w:rsidR="001B3DB5">
          <w:rPr>
            <w:noProof/>
            <w:webHidden/>
          </w:rPr>
        </w:r>
        <w:r w:rsidR="001B3DB5">
          <w:rPr>
            <w:noProof/>
            <w:webHidden/>
          </w:rPr>
          <w:fldChar w:fldCharType="separate"/>
        </w:r>
        <w:r w:rsidR="00D811A8">
          <w:rPr>
            <w:noProof/>
            <w:webHidden/>
          </w:rPr>
          <w:t>14</w:t>
        </w:r>
        <w:r w:rsidR="001B3DB5">
          <w:rPr>
            <w:noProof/>
            <w:webHidden/>
          </w:rPr>
          <w:fldChar w:fldCharType="end"/>
        </w:r>
      </w:hyperlink>
    </w:p>
    <w:p w14:paraId="7049396A" w14:textId="5A27D5F5" w:rsidR="001B3DB5" w:rsidRDefault="00000000" w:rsidP="001B3DB5">
      <w:pPr>
        <w:pStyle w:val="TOC2"/>
        <w:rPr>
          <w:rFonts w:asciiTheme="minorHAnsi" w:eastAsiaTheme="minorEastAsia" w:hAnsiTheme="minorHAnsi" w:cstheme="minorBidi"/>
          <w:noProof/>
          <w:sz w:val="22"/>
          <w:szCs w:val="22"/>
          <w:lang w:val="en-US" w:eastAsia="zh-CN"/>
        </w:rPr>
      </w:pPr>
      <w:hyperlink w:anchor="_Toc222741756" w:history="1">
        <w:r w:rsidR="001B3DB5" w:rsidRPr="004F3F03">
          <w:rPr>
            <w:rStyle w:val="Hyperlink"/>
            <w:noProof/>
          </w:rPr>
          <w:t>5.6.</w:t>
        </w:r>
        <w:r w:rsidR="001B3DB5">
          <w:rPr>
            <w:rFonts w:asciiTheme="minorHAnsi" w:eastAsiaTheme="minorEastAsia" w:hAnsiTheme="minorHAnsi" w:cstheme="minorBidi"/>
            <w:noProof/>
            <w:sz w:val="22"/>
            <w:szCs w:val="22"/>
            <w:lang w:val="en-US" w:eastAsia="zh-CN"/>
          </w:rPr>
          <w:tab/>
        </w:r>
        <w:r w:rsidR="001B3DB5" w:rsidRPr="004F3F03">
          <w:rPr>
            <w:rStyle w:val="Hyperlink"/>
            <w:noProof/>
          </w:rPr>
          <w:t>Step 6. Determine which emission factor is applicable</w:t>
        </w:r>
        <w:r w:rsidR="001B3DB5">
          <w:rPr>
            <w:noProof/>
            <w:webHidden/>
          </w:rPr>
          <w:tab/>
        </w:r>
        <w:r w:rsidR="001B3DB5">
          <w:rPr>
            <w:rStyle w:val="Hyperlink"/>
            <w:noProof/>
          </w:rPr>
          <w:tab/>
        </w:r>
        <w:r w:rsidR="001B3DB5">
          <w:rPr>
            <w:noProof/>
            <w:webHidden/>
          </w:rPr>
          <w:fldChar w:fldCharType="begin"/>
        </w:r>
        <w:r w:rsidR="001B3DB5">
          <w:rPr>
            <w:noProof/>
            <w:webHidden/>
          </w:rPr>
          <w:instrText xml:space="preserve"> PAGEREF _Toc222741756 \h </w:instrText>
        </w:r>
        <w:r w:rsidR="001B3DB5">
          <w:rPr>
            <w:noProof/>
            <w:webHidden/>
          </w:rPr>
        </w:r>
        <w:r w:rsidR="001B3DB5">
          <w:rPr>
            <w:noProof/>
            <w:webHidden/>
          </w:rPr>
          <w:fldChar w:fldCharType="separate"/>
        </w:r>
        <w:r w:rsidR="00D811A8">
          <w:rPr>
            <w:noProof/>
            <w:webHidden/>
          </w:rPr>
          <w:t>14</w:t>
        </w:r>
        <w:r w:rsidR="001B3DB5">
          <w:rPr>
            <w:noProof/>
            <w:webHidden/>
          </w:rPr>
          <w:fldChar w:fldCharType="end"/>
        </w:r>
      </w:hyperlink>
    </w:p>
    <w:p w14:paraId="442C7FBC" w14:textId="76E17CEF" w:rsidR="001B3DB5" w:rsidRDefault="00000000" w:rsidP="001B3DB5">
      <w:pPr>
        <w:pStyle w:val="TOC2"/>
        <w:rPr>
          <w:rFonts w:asciiTheme="minorHAnsi" w:eastAsiaTheme="minorEastAsia" w:hAnsiTheme="minorHAnsi" w:cstheme="minorBidi"/>
          <w:noProof/>
          <w:sz w:val="22"/>
          <w:szCs w:val="22"/>
          <w:lang w:val="en-US" w:eastAsia="zh-CN"/>
        </w:rPr>
      </w:pPr>
      <w:hyperlink w:anchor="_Toc222741757" w:history="1">
        <w:r w:rsidR="001B3DB5" w:rsidRPr="004F3F03">
          <w:rPr>
            <w:rStyle w:val="Hyperlink"/>
            <w:noProof/>
          </w:rPr>
          <w:t>5.7.</w:t>
        </w:r>
        <w:r w:rsidR="001B3DB5">
          <w:rPr>
            <w:rFonts w:asciiTheme="minorHAnsi" w:eastAsiaTheme="minorEastAsia" w:hAnsiTheme="minorHAnsi" w:cstheme="minorBidi"/>
            <w:noProof/>
            <w:sz w:val="22"/>
            <w:szCs w:val="22"/>
            <w:lang w:val="en-US" w:eastAsia="zh-CN"/>
          </w:rPr>
          <w:tab/>
        </w:r>
        <w:r w:rsidR="001B3DB5" w:rsidRPr="004F3F03">
          <w:rPr>
            <w:rStyle w:val="Hyperlink"/>
            <w:noProof/>
          </w:rPr>
          <w:t>Step 7: Determine the emission factor of the electricity system, where applicable</w:t>
        </w:r>
        <w:r w:rsidR="001B3DB5">
          <w:rPr>
            <w:noProof/>
            <w:webHidden/>
          </w:rPr>
          <w:tab/>
        </w:r>
        <w:r w:rsidR="001B3DB5">
          <w:rPr>
            <w:rStyle w:val="Hyperlink"/>
            <w:noProof/>
          </w:rPr>
          <w:tab/>
        </w:r>
        <w:r w:rsidR="001B3DB5">
          <w:rPr>
            <w:noProof/>
            <w:webHidden/>
          </w:rPr>
          <w:fldChar w:fldCharType="begin"/>
        </w:r>
        <w:r w:rsidR="001B3DB5">
          <w:rPr>
            <w:noProof/>
            <w:webHidden/>
          </w:rPr>
          <w:instrText xml:space="preserve"> PAGEREF _Toc222741757 \h </w:instrText>
        </w:r>
        <w:r w:rsidR="001B3DB5">
          <w:rPr>
            <w:noProof/>
            <w:webHidden/>
          </w:rPr>
        </w:r>
        <w:r w:rsidR="001B3DB5">
          <w:rPr>
            <w:noProof/>
            <w:webHidden/>
          </w:rPr>
          <w:fldChar w:fldCharType="separate"/>
        </w:r>
        <w:r w:rsidR="00D811A8">
          <w:rPr>
            <w:noProof/>
            <w:webHidden/>
          </w:rPr>
          <w:t>15</w:t>
        </w:r>
        <w:r w:rsidR="001B3DB5">
          <w:rPr>
            <w:noProof/>
            <w:webHidden/>
          </w:rPr>
          <w:fldChar w:fldCharType="end"/>
        </w:r>
      </w:hyperlink>
    </w:p>
    <w:p w14:paraId="7A2D1C3F" w14:textId="0FC7B776" w:rsidR="001B3DB5" w:rsidRDefault="00000000" w:rsidP="001B3DB5">
      <w:pPr>
        <w:pStyle w:val="TOC3"/>
        <w:rPr>
          <w:rFonts w:asciiTheme="minorHAnsi" w:eastAsiaTheme="minorEastAsia" w:hAnsiTheme="minorHAnsi" w:cstheme="minorBidi"/>
          <w:noProof/>
          <w:sz w:val="22"/>
          <w:szCs w:val="22"/>
          <w:lang w:val="en-US" w:eastAsia="zh-CN"/>
        </w:rPr>
      </w:pPr>
      <w:hyperlink w:anchor="_Toc222741758" w:history="1">
        <w:r w:rsidR="001B3DB5" w:rsidRPr="004F3F03">
          <w:rPr>
            <w:rStyle w:val="Hyperlink"/>
            <w:noProof/>
          </w:rPr>
          <w:t>5.7.1.</w:t>
        </w:r>
        <w:r w:rsidR="001B3DB5">
          <w:rPr>
            <w:rFonts w:asciiTheme="minorHAnsi" w:eastAsiaTheme="minorEastAsia" w:hAnsiTheme="minorHAnsi" w:cstheme="minorBidi"/>
            <w:noProof/>
            <w:sz w:val="22"/>
            <w:szCs w:val="22"/>
            <w:lang w:val="en-US" w:eastAsia="zh-CN"/>
          </w:rPr>
          <w:tab/>
        </w:r>
        <w:r w:rsidR="001B3DB5" w:rsidRPr="004F3F03">
          <w:rPr>
            <w:rStyle w:val="Hyperlink"/>
            <w:noProof/>
          </w:rPr>
          <w:t>Option A: Calculate the combined margin emission factor of the electricity system</w:t>
        </w:r>
        <w:r w:rsidR="001B3DB5">
          <w:rPr>
            <w:noProof/>
            <w:webHidden/>
          </w:rPr>
          <w:tab/>
        </w:r>
        <w:r w:rsidR="001B3DB5">
          <w:rPr>
            <w:rStyle w:val="Hyperlink"/>
            <w:noProof/>
          </w:rPr>
          <w:tab/>
        </w:r>
        <w:r w:rsidR="001B3DB5">
          <w:rPr>
            <w:noProof/>
            <w:webHidden/>
          </w:rPr>
          <w:fldChar w:fldCharType="begin"/>
        </w:r>
        <w:r w:rsidR="001B3DB5">
          <w:rPr>
            <w:noProof/>
            <w:webHidden/>
          </w:rPr>
          <w:instrText xml:space="preserve"> PAGEREF _Toc222741758 \h </w:instrText>
        </w:r>
        <w:r w:rsidR="001B3DB5">
          <w:rPr>
            <w:noProof/>
            <w:webHidden/>
          </w:rPr>
        </w:r>
        <w:r w:rsidR="001B3DB5">
          <w:rPr>
            <w:noProof/>
            <w:webHidden/>
          </w:rPr>
          <w:fldChar w:fldCharType="separate"/>
        </w:r>
        <w:r w:rsidR="00D811A8">
          <w:rPr>
            <w:noProof/>
            <w:webHidden/>
          </w:rPr>
          <w:t>15</w:t>
        </w:r>
        <w:r w:rsidR="001B3DB5">
          <w:rPr>
            <w:noProof/>
            <w:webHidden/>
          </w:rPr>
          <w:fldChar w:fldCharType="end"/>
        </w:r>
      </w:hyperlink>
    </w:p>
    <w:p w14:paraId="2FA18BA2" w14:textId="57656175" w:rsidR="001B3DB5" w:rsidRDefault="00000000" w:rsidP="001B3DB5">
      <w:pPr>
        <w:pStyle w:val="TOC3"/>
        <w:rPr>
          <w:rFonts w:asciiTheme="minorHAnsi" w:eastAsiaTheme="minorEastAsia" w:hAnsiTheme="minorHAnsi" w:cstheme="minorBidi"/>
          <w:noProof/>
          <w:sz w:val="22"/>
          <w:szCs w:val="22"/>
          <w:lang w:val="en-US" w:eastAsia="zh-CN"/>
        </w:rPr>
      </w:pPr>
      <w:hyperlink w:anchor="_Toc222741759" w:history="1">
        <w:r w:rsidR="001B3DB5" w:rsidRPr="004F3F03">
          <w:rPr>
            <w:rStyle w:val="Hyperlink"/>
            <w:noProof/>
          </w:rPr>
          <w:t>5.7.2.</w:t>
        </w:r>
        <w:r w:rsidR="001B3DB5">
          <w:rPr>
            <w:rFonts w:asciiTheme="minorHAnsi" w:eastAsiaTheme="minorEastAsia" w:hAnsiTheme="minorHAnsi" w:cstheme="minorBidi"/>
            <w:noProof/>
            <w:sz w:val="22"/>
            <w:szCs w:val="22"/>
            <w:lang w:val="en-US" w:eastAsia="zh-CN"/>
          </w:rPr>
          <w:tab/>
        </w:r>
        <w:r w:rsidR="001B3DB5" w:rsidRPr="004F3F03">
          <w:rPr>
            <w:rStyle w:val="Hyperlink"/>
            <w:noProof/>
          </w:rPr>
          <w:t>Option B: Use a conservative default emission factor</w:t>
        </w:r>
        <w:r w:rsidR="001B3DB5">
          <w:rPr>
            <w:noProof/>
            <w:webHidden/>
          </w:rPr>
          <w:tab/>
        </w:r>
        <w:r w:rsidR="001B3DB5">
          <w:rPr>
            <w:rStyle w:val="Hyperlink"/>
            <w:noProof/>
          </w:rPr>
          <w:tab/>
        </w:r>
        <w:r w:rsidR="001B3DB5">
          <w:rPr>
            <w:noProof/>
            <w:webHidden/>
          </w:rPr>
          <w:fldChar w:fldCharType="begin"/>
        </w:r>
        <w:r w:rsidR="001B3DB5">
          <w:rPr>
            <w:noProof/>
            <w:webHidden/>
          </w:rPr>
          <w:instrText xml:space="preserve"> PAGEREF _Toc222741759 \h </w:instrText>
        </w:r>
        <w:r w:rsidR="001B3DB5">
          <w:rPr>
            <w:noProof/>
            <w:webHidden/>
          </w:rPr>
        </w:r>
        <w:r w:rsidR="001B3DB5">
          <w:rPr>
            <w:noProof/>
            <w:webHidden/>
          </w:rPr>
          <w:fldChar w:fldCharType="separate"/>
        </w:r>
        <w:r w:rsidR="00D811A8">
          <w:rPr>
            <w:noProof/>
            <w:webHidden/>
          </w:rPr>
          <w:t>32</w:t>
        </w:r>
        <w:r w:rsidR="001B3DB5">
          <w:rPr>
            <w:noProof/>
            <w:webHidden/>
          </w:rPr>
          <w:fldChar w:fldCharType="end"/>
        </w:r>
      </w:hyperlink>
    </w:p>
    <w:p w14:paraId="63768B4F" w14:textId="4FFC6C96" w:rsidR="001B3DB5" w:rsidRDefault="00000000" w:rsidP="001B3DB5">
      <w:pPr>
        <w:pStyle w:val="TOC2"/>
        <w:rPr>
          <w:rFonts w:asciiTheme="minorHAnsi" w:eastAsiaTheme="minorEastAsia" w:hAnsiTheme="minorHAnsi" w:cstheme="minorBidi"/>
          <w:noProof/>
          <w:sz w:val="22"/>
          <w:szCs w:val="22"/>
          <w:lang w:val="en-US" w:eastAsia="zh-CN"/>
        </w:rPr>
      </w:pPr>
      <w:hyperlink w:anchor="_Toc222741760" w:history="1">
        <w:r w:rsidR="001B3DB5" w:rsidRPr="004F3F03">
          <w:rPr>
            <w:rStyle w:val="Hyperlink"/>
            <w:noProof/>
          </w:rPr>
          <w:t>5.8.</w:t>
        </w:r>
        <w:r w:rsidR="001B3DB5">
          <w:rPr>
            <w:rFonts w:asciiTheme="minorHAnsi" w:eastAsiaTheme="minorEastAsia" w:hAnsiTheme="minorHAnsi" w:cstheme="minorBidi"/>
            <w:noProof/>
            <w:sz w:val="22"/>
            <w:szCs w:val="22"/>
            <w:lang w:val="en-US" w:eastAsia="zh-CN"/>
          </w:rPr>
          <w:tab/>
        </w:r>
        <w:r w:rsidR="001B3DB5" w:rsidRPr="004F3F03">
          <w:rPr>
            <w:rStyle w:val="Hyperlink"/>
            <w:noProof/>
          </w:rPr>
          <w:t>Step 8: Determine the emission factor for electricity sourced from captive fossil fuel power plant(s), where applicable</w:t>
        </w:r>
        <w:r w:rsidR="001B3DB5">
          <w:rPr>
            <w:noProof/>
            <w:webHidden/>
          </w:rPr>
          <w:tab/>
        </w:r>
        <w:r w:rsidR="001B3DB5">
          <w:rPr>
            <w:rStyle w:val="Hyperlink"/>
            <w:noProof/>
          </w:rPr>
          <w:tab/>
        </w:r>
        <w:r w:rsidR="001B3DB5">
          <w:rPr>
            <w:noProof/>
            <w:webHidden/>
          </w:rPr>
          <w:fldChar w:fldCharType="begin"/>
        </w:r>
        <w:r w:rsidR="001B3DB5">
          <w:rPr>
            <w:noProof/>
            <w:webHidden/>
          </w:rPr>
          <w:instrText xml:space="preserve"> PAGEREF _Toc222741760 \h </w:instrText>
        </w:r>
        <w:r w:rsidR="001B3DB5">
          <w:rPr>
            <w:noProof/>
            <w:webHidden/>
          </w:rPr>
        </w:r>
        <w:r w:rsidR="001B3DB5">
          <w:rPr>
            <w:noProof/>
            <w:webHidden/>
          </w:rPr>
          <w:fldChar w:fldCharType="separate"/>
        </w:r>
        <w:r w:rsidR="00D811A8">
          <w:rPr>
            <w:noProof/>
            <w:webHidden/>
          </w:rPr>
          <w:t>34</w:t>
        </w:r>
        <w:r w:rsidR="001B3DB5">
          <w:rPr>
            <w:noProof/>
            <w:webHidden/>
          </w:rPr>
          <w:fldChar w:fldCharType="end"/>
        </w:r>
      </w:hyperlink>
    </w:p>
    <w:p w14:paraId="55CB3E26" w14:textId="725F5E08" w:rsidR="001B3DB5" w:rsidRDefault="00000000" w:rsidP="001B3DB5">
      <w:pPr>
        <w:pStyle w:val="TOC3"/>
        <w:rPr>
          <w:rFonts w:asciiTheme="minorHAnsi" w:eastAsiaTheme="minorEastAsia" w:hAnsiTheme="minorHAnsi" w:cstheme="minorBidi"/>
          <w:noProof/>
          <w:sz w:val="22"/>
          <w:szCs w:val="22"/>
          <w:lang w:val="en-US" w:eastAsia="zh-CN"/>
        </w:rPr>
      </w:pPr>
      <w:hyperlink w:anchor="_Toc222741761" w:history="1">
        <w:r w:rsidR="001B3DB5" w:rsidRPr="004F3F03">
          <w:rPr>
            <w:rStyle w:val="Hyperlink"/>
            <w:noProof/>
          </w:rPr>
          <w:t>5.8.1.</w:t>
        </w:r>
        <w:r w:rsidR="001B3DB5">
          <w:rPr>
            <w:rFonts w:asciiTheme="minorHAnsi" w:eastAsiaTheme="minorEastAsia" w:hAnsiTheme="minorHAnsi" w:cstheme="minorBidi"/>
            <w:noProof/>
            <w:sz w:val="22"/>
            <w:szCs w:val="22"/>
            <w:lang w:val="en-US" w:eastAsia="zh-CN"/>
          </w:rPr>
          <w:tab/>
        </w:r>
        <w:r w:rsidR="001B3DB5" w:rsidRPr="004F3F03">
          <w:rPr>
            <w:rStyle w:val="Hyperlink"/>
            <w:noProof/>
          </w:rPr>
          <w:t>Option A: Calculate the actual emission factor of the fossil fuel fired captive power plant(s)</w:t>
        </w:r>
        <w:r w:rsidR="001B3DB5">
          <w:rPr>
            <w:noProof/>
            <w:webHidden/>
          </w:rPr>
          <w:tab/>
        </w:r>
        <w:r w:rsidR="001B3DB5">
          <w:rPr>
            <w:rStyle w:val="Hyperlink"/>
            <w:noProof/>
          </w:rPr>
          <w:tab/>
        </w:r>
        <w:r w:rsidR="001B3DB5">
          <w:rPr>
            <w:noProof/>
            <w:webHidden/>
          </w:rPr>
          <w:fldChar w:fldCharType="begin"/>
        </w:r>
        <w:r w:rsidR="001B3DB5">
          <w:rPr>
            <w:noProof/>
            <w:webHidden/>
          </w:rPr>
          <w:instrText xml:space="preserve"> PAGEREF _Toc222741761 \h </w:instrText>
        </w:r>
        <w:r w:rsidR="001B3DB5">
          <w:rPr>
            <w:noProof/>
            <w:webHidden/>
          </w:rPr>
        </w:r>
        <w:r w:rsidR="001B3DB5">
          <w:rPr>
            <w:noProof/>
            <w:webHidden/>
          </w:rPr>
          <w:fldChar w:fldCharType="separate"/>
        </w:r>
        <w:r w:rsidR="00D811A8">
          <w:rPr>
            <w:noProof/>
            <w:webHidden/>
          </w:rPr>
          <w:t>34</w:t>
        </w:r>
        <w:r w:rsidR="001B3DB5">
          <w:rPr>
            <w:noProof/>
            <w:webHidden/>
          </w:rPr>
          <w:fldChar w:fldCharType="end"/>
        </w:r>
      </w:hyperlink>
    </w:p>
    <w:p w14:paraId="711C1995" w14:textId="5F88B625" w:rsidR="001B3DB5" w:rsidRDefault="00000000" w:rsidP="001B3DB5">
      <w:pPr>
        <w:pStyle w:val="TOC3"/>
        <w:rPr>
          <w:rFonts w:asciiTheme="minorHAnsi" w:eastAsiaTheme="minorEastAsia" w:hAnsiTheme="minorHAnsi" w:cstheme="minorBidi"/>
          <w:noProof/>
          <w:sz w:val="22"/>
          <w:szCs w:val="22"/>
          <w:lang w:val="en-US" w:eastAsia="zh-CN"/>
        </w:rPr>
      </w:pPr>
      <w:hyperlink w:anchor="_Toc222741762" w:history="1">
        <w:r w:rsidR="001B3DB5" w:rsidRPr="004F3F03">
          <w:rPr>
            <w:rStyle w:val="Hyperlink"/>
            <w:noProof/>
          </w:rPr>
          <w:t>5.8.2.</w:t>
        </w:r>
        <w:r w:rsidR="001B3DB5">
          <w:rPr>
            <w:rFonts w:asciiTheme="minorHAnsi" w:eastAsiaTheme="minorEastAsia" w:hAnsiTheme="minorHAnsi" w:cstheme="minorBidi"/>
            <w:noProof/>
            <w:sz w:val="22"/>
            <w:szCs w:val="22"/>
            <w:lang w:val="en-US" w:eastAsia="zh-CN"/>
          </w:rPr>
          <w:tab/>
        </w:r>
        <w:r w:rsidR="001B3DB5" w:rsidRPr="004F3F03">
          <w:rPr>
            <w:rStyle w:val="Hyperlink"/>
            <w:noProof/>
          </w:rPr>
          <w:t>Option B: Use a conservative default emission factor</w:t>
        </w:r>
        <w:r w:rsidR="001B3DB5">
          <w:rPr>
            <w:noProof/>
            <w:webHidden/>
          </w:rPr>
          <w:tab/>
        </w:r>
        <w:r w:rsidR="001B3DB5">
          <w:rPr>
            <w:rStyle w:val="Hyperlink"/>
            <w:noProof/>
          </w:rPr>
          <w:tab/>
        </w:r>
        <w:r w:rsidR="001B3DB5">
          <w:rPr>
            <w:noProof/>
            <w:webHidden/>
          </w:rPr>
          <w:fldChar w:fldCharType="begin"/>
        </w:r>
        <w:r w:rsidR="001B3DB5">
          <w:rPr>
            <w:noProof/>
            <w:webHidden/>
          </w:rPr>
          <w:instrText xml:space="preserve"> PAGEREF _Toc222741762 \h </w:instrText>
        </w:r>
        <w:r w:rsidR="001B3DB5">
          <w:rPr>
            <w:noProof/>
            <w:webHidden/>
          </w:rPr>
        </w:r>
        <w:r w:rsidR="001B3DB5">
          <w:rPr>
            <w:noProof/>
            <w:webHidden/>
          </w:rPr>
          <w:fldChar w:fldCharType="separate"/>
        </w:r>
        <w:r w:rsidR="00D811A8">
          <w:rPr>
            <w:noProof/>
            <w:webHidden/>
          </w:rPr>
          <w:t>36</w:t>
        </w:r>
        <w:r w:rsidR="001B3DB5">
          <w:rPr>
            <w:noProof/>
            <w:webHidden/>
          </w:rPr>
          <w:fldChar w:fldCharType="end"/>
        </w:r>
      </w:hyperlink>
    </w:p>
    <w:p w14:paraId="5E0E6AE7" w14:textId="690B7536" w:rsidR="001B3DB5" w:rsidRDefault="00000000" w:rsidP="001B3DB5">
      <w:pPr>
        <w:pStyle w:val="TOC2"/>
        <w:rPr>
          <w:rFonts w:asciiTheme="minorHAnsi" w:eastAsiaTheme="minorEastAsia" w:hAnsiTheme="minorHAnsi" w:cstheme="minorBidi"/>
          <w:noProof/>
          <w:sz w:val="22"/>
          <w:szCs w:val="22"/>
          <w:lang w:val="en-US" w:eastAsia="zh-CN"/>
        </w:rPr>
      </w:pPr>
      <w:hyperlink w:anchor="_Toc222741763" w:history="1">
        <w:r w:rsidR="001B3DB5" w:rsidRPr="004F3F03">
          <w:rPr>
            <w:rStyle w:val="Hyperlink"/>
            <w:noProof/>
          </w:rPr>
          <w:t>5.9.</w:t>
        </w:r>
        <w:r w:rsidR="001B3DB5">
          <w:rPr>
            <w:rFonts w:asciiTheme="minorHAnsi" w:eastAsiaTheme="minorEastAsia" w:hAnsiTheme="minorHAnsi" w:cstheme="minorBidi"/>
            <w:noProof/>
            <w:sz w:val="22"/>
            <w:szCs w:val="22"/>
            <w:lang w:val="en-US" w:eastAsia="zh-CN"/>
          </w:rPr>
          <w:tab/>
        </w:r>
        <w:r w:rsidR="001B3DB5" w:rsidRPr="004F3F03">
          <w:rPr>
            <w:rStyle w:val="Hyperlink"/>
            <w:noProof/>
          </w:rPr>
          <w:t>Step 9. Determine the transmission and distribution losses from the electricity system, where applicable</w:t>
        </w:r>
        <w:r w:rsidR="001B3DB5">
          <w:rPr>
            <w:noProof/>
            <w:webHidden/>
          </w:rPr>
          <w:tab/>
        </w:r>
        <w:r w:rsidR="001B3DB5">
          <w:rPr>
            <w:rStyle w:val="Hyperlink"/>
            <w:noProof/>
          </w:rPr>
          <w:tab/>
        </w:r>
        <w:r w:rsidR="001B3DB5">
          <w:rPr>
            <w:noProof/>
            <w:webHidden/>
          </w:rPr>
          <w:fldChar w:fldCharType="begin"/>
        </w:r>
        <w:r w:rsidR="001B3DB5">
          <w:rPr>
            <w:noProof/>
            <w:webHidden/>
          </w:rPr>
          <w:instrText xml:space="preserve"> PAGEREF _Toc222741763 \h </w:instrText>
        </w:r>
        <w:r w:rsidR="001B3DB5">
          <w:rPr>
            <w:noProof/>
            <w:webHidden/>
          </w:rPr>
        </w:r>
        <w:r w:rsidR="001B3DB5">
          <w:rPr>
            <w:noProof/>
            <w:webHidden/>
          </w:rPr>
          <w:fldChar w:fldCharType="separate"/>
        </w:r>
        <w:r w:rsidR="00D811A8">
          <w:rPr>
            <w:noProof/>
            <w:webHidden/>
          </w:rPr>
          <w:t>37</w:t>
        </w:r>
        <w:r w:rsidR="001B3DB5">
          <w:rPr>
            <w:noProof/>
            <w:webHidden/>
          </w:rPr>
          <w:fldChar w:fldCharType="end"/>
        </w:r>
      </w:hyperlink>
    </w:p>
    <w:p w14:paraId="6A2810D5" w14:textId="4A1BCA71" w:rsidR="001B3DB5" w:rsidRDefault="00000000" w:rsidP="001B3DB5">
      <w:pPr>
        <w:pStyle w:val="TOC2"/>
        <w:rPr>
          <w:rFonts w:asciiTheme="minorHAnsi" w:eastAsiaTheme="minorEastAsia" w:hAnsiTheme="minorHAnsi" w:cstheme="minorBidi"/>
          <w:noProof/>
          <w:sz w:val="22"/>
          <w:szCs w:val="22"/>
          <w:lang w:val="en-US" w:eastAsia="zh-CN"/>
        </w:rPr>
      </w:pPr>
      <w:hyperlink w:anchor="_Toc222741764" w:history="1">
        <w:r w:rsidR="001B3DB5" w:rsidRPr="004F3F03">
          <w:rPr>
            <w:rStyle w:val="Hyperlink"/>
            <w:noProof/>
          </w:rPr>
          <w:t>5.10.</w:t>
        </w:r>
        <w:r w:rsidR="001B3DB5">
          <w:rPr>
            <w:rFonts w:asciiTheme="minorHAnsi" w:eastAsiaTheme="minorEastAsia" w:hAnsiTheme="minorHAnsi" w:cstheme="minorBidi"/>
            <w:noProof/>
            <w:sz w:val="22"/>
            <w:szCs w:val="22"/>
            <w:lang w:val="en-US" w:eastAsia="zh-CN"/>
          </w:rPr>
          <w:tab/>
        </w:r>
        <w:r w:rsidR="001B3DB5" w:rsidRPr="004F3F03">
          <w:rPr>
            <w:rStyle w:val="Hyperlink"/>
            <w:noProof/>
          </w:rPr>
          <w:t>Step 10. Determine the emissions from electricity generation and/or consumption</w:t>
        </w:r>
        <w:r w:rsidR="001B3DB5">
          <w:rPr>
            <w:noProof/>
            <w:webHidden/>
          </w:rPr>
          <w:tab/>
        </w:r>
        <w:r w:rsidR="001B3DB5">
          <w:rPr>
            <w:rStyle w:val="Hyperlink"/>
            <w:noProof/>
          </w:rPr>
          <w:tab/>
        </w:r>
        <w:r w:rsidR="001B3DB5">
          <w:rPr>
            <w:noProof/>
            <w:webHidden/>
          </w:rPr>
          <w:fldChar w:fldCharType="begin"/>
        </w:r>
        <w:r w:rsidR="001B3DB5">
          <w:rPr>
            <w:noProof/>
            <w:webHidden/>
          </w:rPr>
          <w:instrText xml:space="preserve"> PAGEREF _Toc222741764 \h </w:instrText>
        </w:r>
        <w:r w:rsidR="001B3DB5">
          <w:rPr>
            <w:noProof/>
            <w:webHidden/>
          </w:rPr>
        </w:r>
        <w:r w:rsidR="001B3DB5">
          <w:rPr>
            <w:noProof/>
            <w:webHidden/>
          </w:rPr>
          <w:fldChar w:fldCharType="separate"/>
        </w:r>
        <w:r w:rsidR="00D811A8">
          <w:rPr>
            <w:noProof/>
            <w:webHidden/>
          </w:rPr>
          <w:t>38</w:t>
        </w:r>
        <w:r w:rsidR="001B3DB5">
          <w:rPr>
            <w:noProof/>
            <w:webHidden/>
          </w:rPr>
          <w:fldChar w:fldCharType="end"/>
        </w:r>
      </w:hyperlink>
    </w:p>
    <w:p w14:paraId="1E1AB152" w14:textId="486B181B" w:rsidR="001B3DB5" w:rsidRDefault="00000000" w:rsidP="001B3DB5">
      <w:pPr>
        <w:pStyle w:val="TOC2"/>
        <w:rPr>
          <w:rFonts w:asciiTheme="minorHAnsi" w:eastAsiaTheme="minorEastAsia" w:hAnsiTheme="minorHAnsi" w:cstheme="minorBidi"/>
          <w:noProof/>
          <w:sz w:val="22"/>
          <w:szCs w:val="22"/>
          <w:lang w:val="en-US" w:eastAsia="zh-CN"/>
        </w:rPr>
      </w:pPr>
      <w:hyperlink w:anchor="_Toc222741765" w:history="1">
        <w:r w:rsidR="001B3DB5" w:rsidRPr="004F3F03">
          <w:rPr>
            <w:rStyle w:val="Hyperlink"/>
            <w:rFonts w:eastAsia="Arial"/>
            <w:bCs/>
            <w:noProof/>
          </w:rPr>
          <w:t>5.11.</w:t>
        </w:r>
        <w:r w:rsidR="001B3DB5">
          <w:rPr>
            <w:rFonts w:asciiTheme="minorHAnsi" w:eastAsiaTheme="minorEastAsia" w:hAnsiTheme="minorHAnsi" w:cstheme="minorBidi"/>
            <w:noProof/>
            <w:sz w:val="22"/>
            <w:szCs w:val="22"/>
            <w:lang w:val="en-US" w:eastAsia="zh-CN"/>
          </w:rPr>
          <w:tab/>
        </w:r>
        <w:r w:rsidR="001B3DB5" w:rsidRPr="004F3F03">
          <w:rPr>
            <w:rStyle w:val="Hyperlink"/>
            <w:rFonts w:eastAsia="Arial"/>
            <w:bCs/>
            <w:noProof/>
          </w:rPr>
          <w:t>Uncertainty determination</w:t>
        </w:r>
        <w:r w:rsidR="001B3DB5">
          <w:rPr>
            <w:noProof/>
            <w:webHidden/>
          </w:rPr>
          <w:tab/>
        </w:r>
        <w:r w:rsidR="001B3DB5">
          <w:rPr>
            <w:rStyle w:val="Hyperlink"/>
            <w:rFonts w:eastAsia="Arial"/>
            <w:bCs/>
            <w:noProof/>
          </w:rPr>
          <w:tab/>
        </w:r>
        <w:r w:rsidR="001B3DB5">
          <w:rPr>
            <w:noProof/>
            <w:webHidden/>
          </w:rPr>
          <w:fldChar w:fldCharType="begin"/>
        </w:r>
        <w:r w:rsidR="001B3DB5">
          <w:rPr>
            <w:noProof/>
            <w:webHidden/>
          </w:rPr>
          <w:instrText xml:space="preserve"> PAGEREF _Toc222741765 \h </w:instrText>
        </w:r>
        <w:r w:rsidR="001B3DB5">
          <w:rPr>
            <w:noProof/>
            <w:webHidden/>
          </w:rPr>
        </w:r>
        <w:r w:rsidR="001B3DB5">
          <w:rPr>
            <w:noProof/>
            <w:webHidden/>
          </w:rPr>
          <w:fldChar w:fldCharType="separate"/>
        </w:r>
        <w:r w:rsidR="00D811A8">
          <w:rPr>
            <w:noProof/>
            <w:webHidden/>
          </w:rPr>
          <w:t>41</w:t>
        </w:r>
        <w:r w:rsidR="001B3DB5">
          <w:rPr>
            <w:noProof/>
            <w:webHidden/>
          </w:rPr>
          <w:fldChar w:fldCharType="end"/>
        </w:r>
      </w:hyperlink>
    </w:p>
    <w:p w14:paraId="01114686" w14:textId="489029E8" w:rsidR="001B3DB5" w:rsidRDefault="00000000" w:rsidP="001B3DB5">
      <w:pPr>
        <w:pStyle w:val="TOC1"/>
        <w:rPr>
          <w:rFonts w:asciiTheme="minorHAnsi" w:eastAsiaTheme="minorEastAsia" w:hAnsiTheme="minorHAnsi" w:cstheme="minorBidi"/>
          <w:b w:val="0"/>
          <w:caps w:val="0"/>
          <w:noProof/>
          <w:sz w:val="22"/>
          <w:szCs w:val="22"/>
          <w:lang w:val="en-US" w:eastAsia="zh-CN"/>
        </w:rPr>
      </w:pPr>
      <w:hyperlink w:anchor="_Toc222741766" w:history="1">
        <w:r w:rsidR="001B3DB5" w:rsidRPr="004F3F03">
          <w:rPr>
            <w:rStyle w:val="Hyperlink"/>
            <w:noProof/>
          </w:rPr>
          <w:t>6.</w:t>
        </w:r>
        <w:r w:rsidR="001B3DB5">
          <w:rPr>
            <w:rFonts w:asciiTheme="minorHAnsi" w:eastAsiaTheme="minorEastAsia" w:hAnsiTheme="minorHAnsi" w:cstheme="minorBidi"/>
            <w:b w:val="0"/>
            <w:caps w:val="0"/>
            <w:noProof/>
            <w:sz w:val="22"/>
            <w:szCs w:val="22"/>
            <w:lang w:val="en-US" w:eastAsia="zh-CN"/>
          </w:rPr>
          <w:tab/>
        </w:r>
        <w:r w:rsidR="001B3DB5" w:rsidRPr="004F3F03">
          <w:rPr>
            <w:rStyle w:val="Hyperlink"/>
            <w:noProof/>
          </w:rPr>
          <w:t>Monitoring methodology</w:t>
        </w:r>
        <w:r w:rsidR="001B3DB5">
          <w:rPr>
            <w:noProof/>
            <w:webHidden/>
          </w:rPr>
          <w:tab/>
        </w:r>
        <w:r w:rsidR="001B3DB5">
          <w:rPr>
            <w:rStyle w:val="Hyperlink"/>
            <w:noProof/>
          </w:rPr>
          <w:tab/>
        </w:r>
        <w:r w:rsidR="001B3DB5">
          <w:rPr>
            <w:noProof/>
            <w:webHidden/>
          </w:rPr>
          <w:fldChar w:fldCharType="begin"/>
        </w:r>
        <w:r w:rsidR="001B3DB5">
          <w:rPr>
            <w:noProof/>
            <w:webHidden/>
          </w:rPr>
          <w:instrText xml:space="preserve"> PAGEREF _Toc222741766 \h </w:instrText>
        </w:r>
        <w:r w:rsidR="001B3DB5">
          <w:rPr>
            <w:noProof/>
            <w:webHidden/>
          </w:rPr>
        </w:r>
        <w:r w:rsidR="001B3DB5">
          <w:rPr>
            <w:noProof/>
            <w:webHidden/>
          </w:rPr>
          <w:fldChar w:fldCharType="separate"/>
        </w:r>
        <w:r w:rsidR="00D811A8">
          <w:rPr>
            <w:noProof/>
            <w:webHidden/>
          </w:rPr>
          <w:t>42</w:t>
        </w:r>
        <w:r w:rsidR="001B3DB5">
          <w:rPr>
            <w:noProof/>
            <w:webHidden/>
          </w:rPr>
          <w:fldChar w:fldCharType="end"/>
        </w:r>
      </w:hyperlink>
    </w:p>
    <w:p w14:paraId="0ECB2AD8" w14:textId="0A2D5A9C" w:rsidR="001B3DB5" w:rsidRDefault="00000000" w:rsidP="001B3DB5">
      <w:pPr>
        <w:pStyle w:val="TOC6"/>
        <w:rPr>
          <w:rFonts w:asciiTheme="minorHAnsi" w:eastAsiaTheme="minorEastAsia" w:hAnsiTheme="minorHAnsi" w:cstheme="minorBidi"/>
          <w:b w:val="0"/>
          <w:caps w:val="0"/>
          <w:sz w:val="22"/>
          <w:szCs w:val="22"/>
          <w:lang w:val="en-US" w:eastAsia="zh-CN"/>
        </w:rPr>
      </w:pPr>
      <w:hyperlink w:anchor="_Toc222741767" w:history="1">
        <w:r w:rsidR="001B3DB5" w:rsidRPr="004F3F03">
          <w:rPr>
            <w:rStyle w:val="Hyperlink"/>
          </w:rPr>
          <w:t>Appendix 1.</w:t>
        </w:r>
        <w:r w:rsidR="001B3DB5">
          <w:rPr>
            <w:rFonts w:asciiTheme="minorHAnsi" w:eastAsiaTheme="minorEastAsia" w:hAnsiTheme="minorHAnsi" w:cstheme="minorBidi"/>
            <w:b w:val="0"/>
            <w:caps w:val="0"/>
            <w:sz w:val="22"/>
            <w:szCs w:val="22"/>
            <w:lang w:val="en-US" w:eastAsia="zh-CN"/>
          </w:rPr>
          <w:tab/>
        </w:r>
        <w:r w:rsidR="001B3DB5" w:rsidRPr="004F3F03">
          <w:rPr>
            <w:rStyle w:val="Hyperlink"/>
          </w:rPr>
          <w:t>Flowcharts illustrating the application of the methodological steps to scenarios A, B and C</w:t>
        </w:r>
        <w:r w:rsidR="001B3DB5">
          <w:rPr>
            <w:webHidden/>
          </w:rPr>
          <w:tab/>
        </w:r>
        <w:r w:rsidR="001B3DB5">
          <w:rPr>
            <w:rStyle w:val="Hyperlink"/>
          </w:rPr>
          <w:tab/>
        </w:r>
        <w:r w:rsidR="001B3DB5">
          <w:rPr>
            <w:webHidden/>
          </w:rPr>
          <w:fldChar w:fldCharType="begin"/>
        </w:r>
        <w:r w:rsidR="001B3DB5">
          <w:rPr>
            <w:webHidden/>
          </w:rPr>
          <w:instrText xml:space="preserve"> PAGEREF _Toc222741767 \h </w:instrText>
        </w:r>
        <w:r w:rsidR="001B3DB5">
          <w:rPr>
            <w:webHidden/>
          </w:rPr>
        </w:r>
        <w:r w:rsidR="001B3DB5">
          <w:rPr>
            <w:webHidden/>
          </w:rPr>
          <w:fldChar w:fldCharType="separate"/>
        </w:r>
        <w:r w:rsidR="00D811A8">
          <w:rPr>
            <w:webHidden/>
          </w:rPr>
          <w:t>53</w:t>
        </w:r>
        <w:r w:rsidR="001B3DB5">
          <w:rPr>
            <w:webHidden/>
          </w:rPr>
          <w:fldChar w:fldCharType="end"/>
        </w:r>
      </w:hyperlink>
    </w:p>
    <w:p w14:paraId="233761BC" w14:textId="742A4F55" w:rsidR="001B3DB5" w:rsidRDefault="00000000" w:rsidP="001B3DB5">
      <w:pPr>
        <w:pStyle w:val="TOC6"/>
        <w:rPr>
          <w:rFonts w:asciiTheme="minorHAnsi" w:eastAsiaTheme="minorEastAsia" w:hAnsiTheme="minorHAnsi" w:cstheme="minorBidi"/>
          <w:b w:val="0"/>
          <w:caps w:val="0"/>
          <w:sz w:val="22"/>
          <w:szCs w:val="22"/>
          <w:lang w:val="en-US" w:eastAsia="zh-CN"/>
        </w:rPr>
      </w:pPr>
      <w:hyperlink w:anchor="_Toc222741768" w:history="1">
        <w:r w:rsidR="001B3DB5" w:rsidRPr="004F3F03">
          <w:rPr>
            <w:rStyle w:val="Hyperlink"/>
          </w:rPr>
          <w:t>Appendix 2.</w:t>
        </w:r>
        <w:r w:rsidR="001B3DB5">
          <w:rPr>
            <w:rFonts w:asciiTheme="minorHAnsi" w:eastAsiaTheme="minorEastAsia" w:hAnsiTheme="minorHAnsi" w:cstheme="minorBidi"/>
            <w:b w:val="0"/>
            <w:caps w:val="0"/>
            <w:sz w:val="22"/>
            <w:szCs w:val="22"/>
            <w:lang w:val="en-US" w:eastAsia="zh-CN"/>
          </w:rPr>
          <w:tab/>
        </w:r>
        <w:r w:rsidR="001B3DB5" w:rsidRPr="004F3F03">
          <w:rPr>
            <w:rStyle w:val="Hyperlink"/>
            <w:lang w:val="en-US"/>
          </w:rPr>
          <w:t>Values for the parameters F</w:t>
        </w:r>
        <w:r w:rsidR="001B3DB5" w:rsidRPr="004F3F03">
          <w:rPr>
            <w:rStyle w:val="Hyperlink"/>
            <w:vertAlign w:val="subscript"/>
            <w:lang w:val="en-US"/>
          </w:rPr>
          <w:t>OM,simple</w:t>
        </w:r>
        <w:r w:rsidR="001B3DB5" w:rsidRPr="004F3F03">
          <w:rPr>
            <w:rStyle w:val="Hyperlink"/>
            <w:lang w:val="en-US"/>
          </w:rPr>
          <w:t>, F</w:t>
        </w:r>
        <w:r w:rsidR="001B3DB5" w:rsidRPr="004F3F03">
          <w:rPr>
            <w:rStyle w:val="Hyperlink"/>
            <w:vertAlign w:val="subscript"/>
            <w:lang w:val="en-US"/>
          </w:rPr>
          <w:t>OM,avg</w:t>
        </w:r>
        <w:r w:rsidR="001B3DB5" w:rsidRPr="004F3F03">
          <w:rPr>
            <w:rStyle w:val="Hyperlink"/>
            <w:lang w:val="en-US"/>
          </w:rPr>
          <w:t xml:space="preserve"> and F</w:t>
        </w:r>
        <w:r w:rsidR="001B3DB5" w:rsidRPr="004F3F03">
          <w:rPr>
            <w:rStyle w:val="Hyperlink"/>
            <w:vertAlign w:val="subscript"/>
            <w:lang w:val="en-US"/>
          </w:rPr>
          <w:t>BM</w:t>
        </w:r>
        <w:r w:rsidR="001B3DB5">
          <w:rPr>
            <w:webHidden/>
          </w:rPr>
          <w:tab/>
        </w:r>
        <w:r w:rsidR="001B3DB5">
          <w:rPr>
            <w:rStyle w:val="Hyperlink"/>
            <w:vertAlign w:val="subscript"/>
            <w:lang w:val="en-US"/>
          </w:rPr>
          <w:tab/>
        </w:r>
        <w:r w:rsidR="001B3DB5">
          <w:rPr>
            <w:webHidden/>
          </w:rPr>
          <w:fldChar w:fldCharType="begin"/>
        </w:r>
        <w:r w:rsidR="001B3DB5">
          <w:rPr>
            <w:webHidden/>
          </w:rPr>
          <w:instrText xml:space="preserve"> PAGEREF _Toc222741768 \h </w:instrText>
        </w:r>
        <w:r w:rsidR="001B3DB5">
          <w:rPr>
            <w:webHidden/>
          </w:rPr>
        </w:r>
        <w:r w:rsidR="001B3DB5">
          <w:rPr>
            <w:webHidden/>
          </w:rPr>
          <w:fldChar w:fldCharType="separate"/>
        </w:r>
        <w:r w:rsidR="00D811A8">
          <w:rPr>
            <w:webHidden/>
          </w:rPr>
          <w:t>56</w:t>
        </w:r>
        <w:r w:rsidR="001B3DB5">
          <w:rPr>
            <w:webHidden/>
          </w:rPr>
          <w:fldChar w:fldCharType="end"/>
        </w:r>
      </w:hyperlink>
    </w:p>
    <w:p w14:paraId="7F8272C0" w14:textId="1EAD304B" w:rsidR="00C22A2E" w:rsidRDefault="001B3DB5" w:rsidP="00AD597F">
      <w:r>
        <w:fldChar w:fldCharType="end"/>
      </w:r>
    </w:p>
    <w:p w14:paraId="3884A4F5" w14:textId="77777777" w:rsidR="002454C9" w:rsidRDefault="002454C9" w:rsidP="002454C9">
      <w:pPr>
        <w:sectPr w:rsidR="002454C9" w:rsidSect="00AC494B">
          <w:headerReference w:type="default" r:id="rId14"/>
          <w:footerReference w:type="default" r:id="rId15"/>
          <w:footnotePr>
            <w:numRestart w:val="eachSect"/>
          </w:footnotePr>
          <w:pgSz w:w="11907" w:h="16840" w:code="9"/>
          <w:pgMar w:top="2552" w:right="1134" w:bottom="1418" w:left="1418" w:header="851" w:footer="567" w:gutter="0"/>
          <w:cols w:space="720"/>
          <w:formProt w:val="0"/>
          <w:docGrid w:linePitch="299"/>
        </w:sectPr>
      </w:pPr>
    </w:p>
    <w:p w14:paraId="3F841889" w14:textId="77777777" w:rsidR="00F42D86" w:rsidRPr="00AD597F" w:rsidRDefault="00F42D86">
      <w:pPr>
        <w:pStyle w:val="SDMHead1"/>
      </w:pPr>
      <w:bookmarkStart w:id="8" w:name="_Toc346039895"/>
      <w:bookmarkStart w:id="9" w:name="_Toc352521225"/>
      <w:bookmarkStart w:id="10" w:name="_Toc353201615"/>
      <w:bookmarkStart w:id="11" w:name="_Toc354405680"/>
      <w:bookmarkStart w:id="12" w:name="_Toc354405694"/>
      <w:bookmarkStart w:id="13" w:name="_Toc354503025"/>
      <w:bookmarkStart w:id="14" w:name="_Toc202965392"/>
      <w:bookmarkStart w:id="15" w:name="_Toc212389894"/>
      <w:bookmarkStart w:id="16" w:name="_Toc215208588"/>
      <w:bookmarkStart w:id="17" w:name="_Toc215216107"/>
      <w:bookmarkStart w:id="18" w:name="_Toc215222843"/>
      <w:bookmarkStart w:id="19" w:name="_Toc215223031"/>
      <w:bookmarkStart w:id="20" w:name="_Toc215223253"/>
      <w:bookmarkStart w:id="21" w:name="_Toc215579089"/>
      <w:bookmarkStart w:id="22" w:name="_Toc215923314"/>
      <w:bookmarkStart w:id="23" w:name="_Toc216093010"/>
      <w:bookmarkStart w:id="24" w:name="_Toc216271739"/>
      <w:bookmarkStart w:id="25" w:name="_Toc216279356"/>
      <w:bookmarkStart w:id="26" w:name="_Toc216283394"/>
      <w:bookmarkStart w:id="27" w:name="_Toc216288012"/>
      <w:bookmarkStart w:id="28" w:name="_Toc219666119"/>
      <w:bookmarkStart w:id="29" w:name="_Toc220001380"/>
      <w:bookmarkStart w:id="30" w:name="_Toc221096403"/>
      <w:bookmarkStart w:id="31" w:name="_Toc221097955"/>
      <w:bookmarkStart w:id="32" w:name="_Toc221116251"/>
      <w:bookmarkStart w:id="33" w:name="_Toc221117267"/>
      <w:bookmarkStart w:id="34" w:name="_Toc222132105"/>
      <w:bookmarkStart w:id="35" w:name="_Toc222494906"/>
      <w:bookmarkStart w:id="36" w:name="_Toc222512422"/>
      <w:bookmarkStart w:id="37" w:name="_Toc222741742"/>
      <w:bookmarkStart w:id="38" w:name="_Toc346039904"/>
      <w:bookmarkStart w:id="39" w:name="_Toc352521234"/>
      <w:bookmarkStart w:id="40" w:name="_Toc353201624"/>
      <w:bookmarkStart w:id="41" w:name="_Toc354405689"/>
      <w:bookmarkStart w:id="42" w:name="_Toc354405703"/>
      <w:bookmarkStart w:id="43" w:name="_Toc354503034"/>
      <w:r w:rsidRPr="00AD597F">
        <w:t>Introduction</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49AE1A35" w14:textId="77777777" w:rsidR="00FB671C" w:rsidRPr="00AD597F" w:rsidRDefault="00FB671C">
      <w:pPr>
        <w:pStyle w:val="SDMHead2"/>
      </w:pPr>
      <w:bookmarkStart w:id="44" w:name="_Toc202965394"/>
      <w:bookmarkStart w:id="45" w:name="_Toc212389895"/>
      <w:bookmarkStart w:id="46" w:name="_Toc215208589"/>
      <w:bookmarkStart w:id="47" w:name="_Toc215216108"/>
      <w:bookmarkStart w:id="48" w:name="_Toc215222844"/>
      <w:bookmarkStart w:id="49" w:name="_Toc215223032"/>
      <w:bookmarkStart w:id="50" w:name="_Toc215223254"/>
      <w:bookmarkStart w:id="51" w:name="_Toc215574876"/>
      <w:bookmarkStart w:id="52" w:name="_Toc215579090"/>
      <w:bookmarkStart w:id="53" w:name="_Toc215923315"/>
      <w:bookmarkStart w:id="54" w:name="_Toc216093011"/>
      <w:bookmarkStart w:id="55" w:name="_Toc216271740"/>
      <w:bookmarkStart w:id="56" w:name="_Toc216279357"/>
      <w:bookmarkStart w:id="57" w:name="_Toc216283395"/>
      <w:bookmarkStart w:id="58" w:name="_Toc216288013"/>
      <w:bookmarkStart w:id="59" w:name="_Toc219666120"/>
      <w:bookmarkStart w:id="60" w:name="_Toc220001381"/>
      <w:bookmarkStart w:id="61" w:name="_Toc221096404"/>
      <w:bookmarkStart w:id="62" w:name="_Toc221097956"/>
      <w:bookmarkStart w:id="63" w:name="_Toc221116252"/>
      <w:bookmarkStart w:id="64" w:name="_Toc221117268"/>
      <w:bookmarkStart w:id="65" w:name="_Toc222132106"/>
      <w:bookmarkStart w:id="66" w:name="_Toc222494907"/>
      <w:bookmarkStart w:id="67" w:name="_Toc222512423"/>
      <w:bookmarkStart w:id="68" w:name="_Toc222741743"/>
      <w:r w:rsidRPr="00AD597F">
        <w:t>Scope</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3730464F" w14:textId="40861786" w:rsidR="00E60FC5" w:rsidRPr="00AD597F" w:rsidRDefault="00D55A11">
      <w:pPr>
        <w:pStyle w:val="SDMPara"/>
        <w:numPr>
          <w:ilvl w:val="0"/>
          <w:numId w:val="16"/>
        </w:numPr>
        <w:spacing w:line="259" w:lineRule="auto"/>
      </w:pPr>
      <w:r w:rsidRPr="00AD597F">
        <w:t>Th</w:t>
      </w:r>
      <w:r w:rsidR="000F3416" w:rsidRPr="00AD597F">
        <w:t>is methodological tool</w:t>
      </w:r>
      <w:r w:rsidRPr="00AD597F">
        <w:t xml:space="preserve"> provides options </w:t>
      </w:r>
      <w:r w:rsidR="000F3416" w:rsidRPr="00AD597F">
        <w:t>for</w:t>
      </w:r>
      <w:r w:rsidRPr="00AD597F">
        <w:t xml:space="preserve"> activity participants to estimate baseline, </w:t>
      </w:r>
      <w:r w:rsidR="00FF3AF4" w:rsidRPr="00AD597F">
        <w:t>project</w:t>
      </w:r>
      <w:r w:rsidR="00F369CE" w:rsidRPr="00AD597F">
        <w:t>,</w:t>
      </w:r>
      <w:r w:rsidR="00FF3AF4" w:rsidRPr="00AD597F">
        <w:t xml:space="preserve"> </w:t>
      </w:r>
      <w:r w:rsidRPr="00AD597F">
        <w:t>and leakage emissions associated with the generation and</w:t>
      </w:r>
      <w:r w:rsidR="00C273C1" w:rsidRPr="00AD597F">
        <w:t>/or</w:t>
      </w:r>
      <w:r w:rsidRPr="00AD597F">
        <w:t xml:space="preserve"> consumption of electricity</w:t>
      </w:r>
      <w:r w:rsidR="009B336B">
        <w:rPr>
          <w:rStyle w:val="FootnoteReference"/>
        </w:rPr>
        <w:footnoteReference w:id="2"/>
      </w:r>
      <w:r w:rsidR="098F2CE6" w:rsidRPr="00AD597F">
        <w:t xml:space="preserve">, </w:t>
      </w:r>
      <w:r w:rsidR="598C8CA6" w:rsidRPr="00AD597F">
        <w:t xml:space="preserve">which </w:t>
      </w:r>
      <w:r w:rsidR="444E135B" w:rsidRPr="00AD597F">
        <w:t xml:space="preserve">are </w:t>
      </w:r>
      <w:r w:rsidR="598C8CA6" w:rsidRPr="00AD597F">
        <w:t>refer</w:t>
      </w:r>
      <w:r w:rsidR="47319E75" w:rsidRPr="00AD597F">
        <w:t>r</w:t>
      </w:r>
      <w:r w:rsidR="598C8CA6" w:rsidRPr="00AD597F">
        <w:t>ed to as emission</w:t>
      </w:r>
      <w:r w:rsidR="7F5955E3" w:rsidRPr="00AD597F">
        <w:t>s</w:t>
      </w:r>
      <w:r w:rsidR="598C8CA6" w:rsidRPr="00AD597F">
        <w:t xml:space="preserve"> from </w:t>
      </w:r>
      <w:r w:rsidR="743E5543" w:rsidRPr="00AD597F">
        <w:t xml:space="preserve">electricity </w:t>
      </w:r>
      <w:r w:rsidR="598C8CA6" w:rsidRPr="00AD597F">
        <w:t>generation and</w:t>
      </w:r>
      <w:r w:rsidR="6E29320E" w:rsidRPr="00AD597F">
        <w:t>/or</w:t>
      </w:r>
      <w:r w:rsidR="598C8CA6" w:rsidRPr="00AD597F">
        <w:t xml:space="preserve"> consumption throughout the tool</w:t>
      </w:r>
      <w:r w:rsidR="1E2631DA" w:rsidRPr="00AD597F">
        <w:t>,</w:t>
      </w:r>
      <w:r w:rsidRPr="00AD597F">
        <w:t xml:space="preserve"> under a proposed Article 6.4 </w:t>
      </w:r>
      <w:r w:rsidR="000F3416" w:rsidRPr="00AD597F">
        <w:t>activity</w:t>
      </w:r>
      <w:r w:rsidRPr="00AD597F">
        <w:t>. These options aim to provide flexibility to activity participants, while ensuring that the estimation of emission reductions is conservative.</w:t>
      </w:r>
      <w:r w:rsidR="00501BB6" w:rsidRPr="00AD597F">
        <w:t xml:space="preserve"> </w:t>
      </w:r>
      <w:r w:rsidRPr="00AD597F">
        <w:t xml:space="preserve">Some options rely on conservative default </w:t>
      </w:r>
      <w:r w:rsidR="00501BB6" w:rsidRPr="00AD597F">
        <w:t>factors</w:t>
      </w:r>
      <w:r w:rsidRPr="00AD597F">
        <w:t xml:space="preserve"> or conservative simplifications, whereas other options require </w:t>
      </w:r>
      <w:r w:rsidR="00830623" w:rsidRPr="00AD597F">
        <w:t xml:space="preserve">more </w:t>
      </w:r>
      <w:r w:rsidRPr="00AD597F">
        <w:t>data to produce estimates.</w:t>
      </w:r>
    </w:p>
    <w:p w14:paraId="5206237C" w14:textId="40D4D244" w:rsidR="003B7FB5" w:rsidRPr="00AD597F" w:rsidRDefault="003B7FB5">
      <w:pPr>
        <w:pStyle w:val="SDMPara"/>
      </w:pPr>
      <w:r w:rsidRPr="00AD597F">
        <w:t xml:space="preserve">This </w:t>
      </w:r>
      <w:r w:rsidR="00EE164E" w:rsidRPr="00AD597F">
        <w:t xml:space="preserve">methodological </w:t>
      </w:r>
      <w:r w:rsidRPr="00AD597F">
        <w:t xml:space="preserve">tool </w:t>
      </w:r>
      <w:r w:rsidR="00041F8B" w:rsidRPr="00AD597F">
        <w:t xml:space="preserve">establishes </w:t>
      </w:r>
      <w:r w:rsidR="00F12379" w:rsidRPr="00AD597F">
        <w:t>requirements</w:t>
      </w:r>
      <w:r w:rsidR="00041F8B" w:rsidRPr="00AD597F">
        <w:t xml:space="preserve"> </w:t>
      </w:r>
      <w:r w:rsidRPr="00AD597F">
        <w:t>to determine the parameters</w:t>
      </w:r>
      <w:r w:rsidR="005C579A" w:rsidRPr="00AD597F">
        <w:t xml:space="preserve"> provided</w:t>
      </w:r>
      <w:r w:rsidR="00DE4635" w:rsidRPr="00AD597F">
        <w:t xml:space="preserve"> in</w:t>
      </w:r>
      <w:r w:rsidR="005C579A" w:rsidRPr="00AD597F">
        <w:t xml:space="preserve"> </w:t>
      </w:r>
      <w:r w:rsidR="004B04CD">
        <w:t>t</w:t>
      </w:r>
      <w:r w:rsidR="003A19E6">
        <w:t>able</w:t>
      </w:r>
      <w:r w:rsidR="00877272">
        <w:t> </w:t>
      </w:r>
      <w:r w:rsidR="003A19E6">
        <w:t>1</w:t>
      </w:r>
      <w:r w:rsidR="005C579A" w:rsidRPr="00AD597F">
        <w:t xml:space="preserve">. The tool includes </w:t>
      </w:r>
      <w:r w:rsidR="00AF26D5" w:rsidRPr="00AD597F">
        <w:t xml:space="preserve">approaches </w:t>
      </w:r>
      <w:r w:rsidR="005C579A" w:rsidRPr="00AD597F">
        <w:t>to determine</w:t>
      </w:r>
      <w:r w:rsidR="00AF26D5" w:rsidRPr="00AD597F">
        <w:t>,</w:t>
      </w:r>
      <w:r w:rsidR="005C579A" w:rsidRPr="00AD597F">
        <w:t xml:space="preserve"> </w:t>
      </w:r>
      <w:r w:rsidR="0089397B" w:rsidRPr="00AD597F">
        <w:t xml:space="preserve">for </w:t>
      </w:r>
      <w:r w:rsidR="005C579A" w:rsidRPr="00AD597F">
        <w:t>each parameter</w:t>
      </w:r>
      <w:r w:rsidR="00AF26D5" w:rsidRPr="00AD597F">
        <w:t>,</w:t>
      </w:r>
      <w:r w:rsidR="005C579A" w:rsidRPr="00AD597F">
        <w:t xml:space="preserve"> the mean value</w:t>
      </w:r>
      <w:r w:rsidR="0089397B" w:rsidRPr="00AD597F">
        <w:t xml:space="preserve"> (noting that the mean value includes some degree of conservativeness due to the use of </w:t>
      </w:r>
      <w:r w:rsidR="00736804" w:rsidRPr="00AD597F">
        <w:t>conservative default values or conservative assumptions)</w:t>
      </w:r>
      <w:r w:rsidR="0071038C" w:rsidRPr="00AD597F">
        <w:t>,</w:t>
      </w:r>
      <w:r w:rsidR="00736804" w:rsidRPr="00AD597F">
        <w:t xml:space="preserve"> </w:t>
      </w:r>
      <w:r w:rsidR="0071038C" w:rsidRPr="00AD597F">
        <w:t xml:space="preserve">as well as </w:t>
      </w:r>
      <w:r w:rsidR="00736804" w:rsidRPr="00AD597F">
        <w:t xml:space="preserve">the </w:t>
      </w:r>
      <w:r w:rsidR="00840649" w:rsidRPr="00AD597F">
        <w:t>upper and the lower</w:t>
      </w:r>
      <w:r w:rsidR="00736804" w:rsidRPr="00AD597F">
        <w:t xml:space="preserve"> </w:t>
      </w:r>
      <w:r w:rsidR="005D13E4" w:rsidRPr="00AD597F">
        <w:t>bound</w:t>
      </w:r>
      <w:r w:rsidR="0071038C" w:rsidRPr="00AD597F">
        <w:t>s</w:t>
      </w:r>
      <w:r w:rsidR="005D13E4" w:rsidRPr="00AD597F">
        <w:t xml:space="preserve"> </w:t>
      </w:r>
      <w:r w:rsidR="00840649" w:rsidRPr="00AD597F">
        <w:t xml:space="preserve">of </w:t>
      </w:r>
      <w:r w:rsidR="00736804" w:rsidRPr="00AD597F">
        <w:t xml:space="preserve">uncertainty </w:t>
      </w:r>
      <w:r w:rsidR="005D13E4" w:rsidRPr="00AD597F">
        <w:t>for the value at 95</w:t>
      </w:r>
      <w:r w:rsidR="0071038C" w:rsidRPr="00AD597F">
        <w:t xml:space="preserve"> per cent </w:t>
      </w:r>
      <w:r w:rsidR="005D13E4" w:rsidRPr="00AD597F">
        <w:t>confidence level.</w:t>
      </w:r>
    </w:p>
    <w:p w14:paraId="508C1D45" w14:textId="25E07FF3" w:rsidR="003B7FB5" w:rsidRPr="00AD597F" w:rsidRDefault="0041141E" w:rsidP="005A04B7">
      <w:pPr>
        <w:pStyle w:val="Caption"/>
        <w:jc w:val="left"/>
      </w:pPr>
      <w:bookmarkStart w:id="69" w:name="_Ref220950163"/>
      <w:bookmarkStart w:id="70" w:name="_Ref216176008"/>
      <w:r>
        <w:t>Table</w:t>
      </w:r>
      <w:r w:rsidR="005A04B7">
        <w:t> </w:t>
      </w:r>
      <w:r w:rsidR="00000000">
        <w:fldChar w:fldCharType="begin"/>
      </w:r>
      <w:r w:rsidR="00000000">
        <w:instrText xml:space="preserve"> SEQ Table \r1 </w:instrText>
      </w:r>
      <w:r w:rsidR="00000000">
        <w:fldChar w:fldCharType="separate"/>
      </w:r>
      <w:r w:rsidR="00D811A8">
        <w:rPr>
          <w:noProof/>
        </w:rPr>
        <w:t>1</w:t>
      </w:r>
      <w:r w:rsidR="00000000">
        <w:rPr>
          <w:noProof/>
        </w:rPr>
        <w:fldChar w:fldCharType="end"/>
      </w:r>
      <w:bookmarkEnd w:id="69"/>
      <w:r w:rsidR="00C17DD8" w:rsidRPr="00AD597F">
        <w:t>.</w:t>
      </w:r>
      <w:r w:rsidR="00C17DD8" w:rsidRPr="00AD597F">
        <w:tab/>
        <w:t>Parameters determined</w:t>
      </w:r>
      <w:bookmarkEnd w:id="70"/>
    </w:p>
    <w:tbl>
      <w:tblPr>
        <w:tblStyle w:val="SDMTable"/>
        <w:tblW w:w="8618" w:type="dxa"/>
        <w:jc w:val="right"/>
        <w:tblInd w:w="0" w:type="dxa"/>
        <w:tblLayout w:type="fixed"/>
        <w:tblLook w:val="0620" w:firstRow="1" w:lastRow="0" w:firstColumn="0" w:lastColumn="0" w:noHBand="1" w:noVBand="1"/>
      </w:tblPr>
      <w:tblGrid>
        <w:gridCol w:w="1336"/>
        <w:gridCol w:w="1602"/>
        <w:gridCol w:w="5680"/>
      </w:tblGrid>
      <w:tr w:rsidR="003B7FB5" w:rsidRPr="00455DCA" w14:paraId="419CD296" w14:textId="77777777" w:rsidTr="004A5C65">
        <w:trPr>
          <w:cnfStyle w:val="100000000000" w:firstRow="1" w:lastRow="0" w:firstColumn="0" w:lastColumn="0" w:oddVBand="0" w:evenVBand="0" w:oddHBand="0" w:evenHBand="0" w:firstRowFirstColumn="0" w:firstRowLastColumn="0" w:lastRowFirstColumn="0" w:lastRowLastColumn="0"/>
          <w:jc w:val="right"/>
        </w:trPr>
        <w:tc>
          <w:tcPr>
            <w:tcW w:w="1300" w:type="dxa"/>
          </w:tcPr>
          <w:p w14:paraId="2A4BB603" w14:textId="77777777" w:rsidR="003B7FB5" w:rsidRPr="00455DCA" w:rsidRDefault="003B7FB5" w:rsidP="00743A0D">
            <w:pPr>
              <w:pStyle w:val="SDMTableBoxParaNotNumbered"/>
              <w:rPr>
                <w:rFonts w:cs="Arial"/>
              </w:rPr>
            </w:pPr>
            <w:r w:rsidRPr="00455DCA">
              <w:rPr>
                <w:rFonts w:cs="Arial"/>
              </w:rPr>
              <w:t>Parameter</w:t>
            </w:r>
          </w:p>
        </w:tc>
        <w:tc>
          <w:tcPr>
            <w:tcW w:w="1559" w:type="dxa"/>
          </w:tcPr>
          <w:p w14:paraId="359251AE" w14:textId="5E766758" w:rsidR="003B7FB5" w:rsidRPr="00455DCA" w:rsidRDefault="003B7FB5" w:rsidP="00743A0D">
            <w:pPr>
              <w:pStyle w:val="SDMTableBoxParaNotNumbered"/>
              <w:rPr>
                <w:rFonts w:cs="Arial"/>
              </w:rPr>
            </w:pPr>
            <w:r w:rsidRPr="00455DCA">
              <w:rPr>
                <w:rFonts w:cs="Arial"/>
              </w:rPr>
              <w:t>SI Unit</w:t>
            </w:r>
          </w:p>
        </w:tc>
        <w:tc>
          <w:tcPr>
            <w:tcW w:w="5528" w:type="dxa"/>
          </w:tcPr>
          <w:p w14:paraId="495449B7" w14:textId="77777777" w:rsidR="003B7FB5" w:rsidRPr="00455DCA" w:rsidRDefault="003B7FB5" w:rsidP="00743A0D">
            <w:pPr>
              <w:pStyle w:val="SDMTableBoxParaNotNumbered"/>
              <w:rPr>
                <w:rFonts w:cs="Arial"/>
              </w:rPr>
            </w:pPr>
            <w:r w:rsidRPr="00455DCA">
              <w:rPr>
                <w:rFonts w:cs="Arial"/>
              </w:rPr>
              <w:t>Description</w:t>
            </w:r>
          </w:p>
        </w:tc>
      </w:tr>
      <w:tr w:rsidR="003B7FB5" w:rsidRPr="00455DCA" w14:paraId="0D55E570" w14:textId="77777777" w:rsidTr="004A5C65">
        <w:trPr>
          <w:jc w:val="right"/>
        </w:trPr>
        <w:tc>
          <w:tcPr>
            <w:tcW w:w="1300" w:type="dxa"/>
          </w:tcPr>
          <w:p w14:paraId="3847ADEB" w14:textId="77777777" w:rsidR="003B7FB5" w:rsidRPr="00455DCA" w:rsidRDefault="00000000" w:rsidP="00743A0D">
            <w:pPr>
              <w:pStyle w:val="SDMTableBoxParaNotNumbered"/>
              <w:rPr>
                <w:rFonts w:cs="Arial"/>
              </w:rPr>
            </w:pPr>
            <m:oMathPara>
              <m:oMath>
                <m:sSub>
                  <m:sSubPr>
                    <m:ctrlPr>
                      <w:rPr>
                        <w:rFonts w:ascii="Cambria Math" w:hAnsi="Cambria Math" w:cs="Arial"/>
                        <w:i/>
                        <w:iCs/>
                      </w:rPr>
                    </m:ctrlPr>
                  </m:sSubPr>
                  <m:e>
                    <m:r>
                      <w:rPr>
                        <w:rFonts w:ascii="Cambria Math" w:hAnsi="Cambria Math" w:cs="Arial"/>
                      </w:rPr>
                      <m:t>BE</m:t>
                    </m:r>
                  </m:e>
                  <m:sub>
                    <m:r>
                      <w:rPr>
                        <w:rFonts w:ascii="Cambria Math" w:hAnsi="Cambria Math" w:cs="Arial"/>
                      </w:rPr>
                      <m:t>EG,y</m:t>
                    </m:r>
                  </m:sub>
                </m:sSub>
              </m:oMath>
            </m:oMathPara>
          </w:p>
        </w:tc>
        <w:tc>
          <w:tcPr>
            <w:tcW w:w="1559" w:type="dxa"/>
          </w:tcPr>
          <w:p w14:paraId="30E7D9A7" w14:textId="10DF3539" w:rsidR="003B7FB5" w:rsidRPr="00455DCA" w:rsidRDefault="003B7FB5" w:rsidP="00743A0D">
            <w:pPr>
              <w:pStyle w:val="SDMTableBoxParaNotNumbered"/>
              <w:rPr>
                <w:rFonts w:cs="Arial"/>
              </w:rPr>
            </w:pPr>
            <w:r w:rsidRPr="00455DCA">
              <w:rPr>
                <w:rFonts w:cs="Arial"/>
              </w:rPr>
              <w:t>t</w:t>
            </w:r>
            <w:r w:rsidR="00F21F0C" w:rsidRPr="00455DCA">
              <w:rPr>
                <w:rFonts w:cs="Arial"/>
              </w:rPr>
              <w:t> </w:t>
            </w:r>
            <w:r w:rsidRPr="00455DCA">
              <w:rPr>
                <w:rFonts w:cs="Arial"/>
              </w:rPr>
              <w:t>CO</w:t>
            </w:r>
            <w:r w:rsidRPr="00455DCA">
              <w:rPr>
                <w:rFonts w:cs="Arial"/>
                <w:vertAlign w:val="subscript"/>
              </w:rPr>
              <w:t>2</w:t>
            </w:r>
          </w:p>
        </w:tc>
        <w:tc>
          <w:tcPr>
            <w:tcW w:w="5528" w:type="dxa"/>
          </w:tcPr>
          <w:p w14:paraId="4995A7DF" w14:textId="77777777" w:rsidR="003B7FB5" w:rsidRPr="00455DCA" w:rsidRDefault="003B7FB5" w:rsidP="00743A0D">
            <w:pPr>
              <w:pStyle w:val="SDMTableBoxParaNotNumbered"/>
              <w:rPr>
                <w:rFonts w:cs="Arial"/>
              </w:rPr>
            </w:pPr>
            <w:r w:rsidRPr="00455DCA">
              <w:rPr>
                <w:rFonts w:cs="Arial"/>
              </w:rPr>
              <w:t>Baseline</w:t>
            </w:r>
            <w:r w:rsidR="0018036E" w:rsidRPr="00455DCA">
              <w:rPr>
                <w:rFonts w:cs="Arial"/>
              </w:rPr>
              <w:t xml:space="preserve"> emissions</w:t>
            </w:r>
            <w:r w:rsidR="00D42CC5" w:rsidRPr="00455DCA">
              <w:rPr>
                <w:rFonts w:cs="Arial"/>
              </w:rPr>
              <w:t xml:space="preserve"> from electricity generat</w:t>
            </w:r>
            <w:r w:rsidR="00460E5A" w:rsidRPr="00455DCA">
              <w:rPr>
                <w:rFonts w:cs="Arial"/>
              </w:rPr>
              <w:t xml:space="preserve">ion </w:t>
            </w:r>
            <w:r w:rsidR="00D42CC5" w:rsidRPr="00455DCA">
              <w:rPr>
                <w:rFonts w:cs="Arial"/>
              </w:rPr>
              <w:t>in year</w:t>
            </w:r>
            <w:r w:rsidR="00B441E3" w:rsidRPr="00455DCA">
              <w:rPr>
                <w:rFonts w:cs="Arial"/>
              </w:rPr>
              <w:t> </w:t>
            </w:r>
            <w:r w:rsidR="00D42CC5" w:rsidRPr="00455DCA">
              <w:rPr>
                <w:rFonts w:cs="Arial"/>
                <w:i/>
              </w:rPr>
              <w:t>y</w:t>
            </w:r>
          </w:p>
        </w:tc>
      </w:tr>
      <w:tr w:rsidR="00EB26EA" w:rsidRPr="00455DCA" w14:paraId="55E8E562" w14:textId="77777777" w:rsidTr="004A5C65">
        <w:trPr>
          <w:jc w:val="right"/>
        </w:trPr>
        <w:tc>
          <w:tcPr>
            <w:tcW w:w="1300" w:type="dxa"/>
          </w:tcPr>
          <w:p w14:paraId="334FC1D8" w14:textId="77777777" w:rsidR="00EB26EA" w:rsidRPr="00455DCA" w:rsidRDefault="00000000" w:rsidP="00743A0D">
            <w:pPr>
              <w:pStyle w:val="SDMTableBoxParaNotNumbered"/>
              <w:rPr>
                <w:rFonts w:cs="Arial"/>
                <w:iCs/>
              </w:rPr>
            </w:pPr>
            <m:oMathPara>
              <m:oMath>
                <m:sSub>
                  <m:sSubPr>
                    <m:ctrlPr>
                      <w:rPr>
                        <w:rFonts w:ascii="Cambria Math" w:hAnsi="Cambria Math" w:cs="Arial"/>
                        <w:i/>
                        <w:iCs/>
                      </w:rPr>
                    </m:ctrlPr>
                  </m:sSubPr>
                  <m:e>
                    <m:r>
                      <w:rPr>
                        <w:rFonts w:ascii="Cambria Math" w:hAnsi="Cambria Math" w:cs="Arial"/>
                      </w:rPr>
                      <m:t>BE</m:t>
                    </m:r>
                  </m:e>
                  <m:sub>
                    <m:r>
                      <w:rPr>
                        <w:rFonts w:ascii="Cambria Math" w:hAnsi="Cambria Math" w:cs="Arial"/>
                      </w:rPr>
                      <m:t>EC,y</m:t>
                    </m:r>
                  </m:sub>
                </m:sSub>
              </m:oMath>
            </m:oMathPara>
          </w:p>
        </w:tc>
        <w:tc>
          <w:tcPr>
            <w:tcW w:w="1559" w:type="dxa"/>
          </w:tcPr>
          <w:p w14:paraId="15CC523D" w14:textId="344FB548" w:rsidR="00EB26EA" w:rsidRPr="00455DCA" w:rsidRDefault="004B7C3A" w:rsidP="00743A0D">
            <w:pPr>
              <w:pStyle w:val="SDMTableBoxParaNotNumbered"/>
              <w:rPr>
                <w:rFonts w:cs="Arial"/>
              </w:rPr>
            </w:pPr>
            <w:r w:rsidRPr="00455DCA">
              <w:rPr>
                <w:rFonts w:cs="Arial"/>
              </w:rPr>
              <w:t>t</w:t>
            </w:r>
            <w:r w:rsidR="00F21F0C" w:rsidRPr="00455DCA">
              <w:rPr>
                <w:rFonts w:cs="Arial"/>
              </w:rPr>
              <w:t> </w:t>
            </w:r>
            <w:r w:rsidRPr="00455DCA">
              <w:rPr>
                <w:rFonts w:cs="Arial"/>
              </w:rPr>
              <w:t>CO</w:t>
            </w:r>
            <w:r w:rsidRPr="00455DCA">
              <w:rPr>
                <w:rFonts w:cs="Arial"/>
                <w:vertAlign w:val="subscript"/>
              </w:rPr>
              <w:t>2</w:t>
            </w:r>
          </w:p>
        </w:tc>
        <w:tc>
          <w:tcPr>
            <w:tcW w:w="5528" w:type="dxa"/>
          </w:tcPr>
          <w:p w14:paraId="5A7BAEAC" w14:textId="77777777" w:rsidR="00EB26EA" w:rsidRPr="00455DCA" w:rsidRDefault="00EB26EA" w:rsidP="00743A0D">
            <w:pPr>
              <w:pStyle w:val="SDMTableBoxParaNotNumbered"/>
              <w:rPr>
                <w:rFonts w:cs="Arial"/>
              </w:rPr>
            </w:pPr>
            <w:r w:rsidRPr="00455DCA">
              <w:rPr>
                <w:rFonts w:cs="Arial"/>
              </w:rPr>
              <w:t>Baseline emissions from electricity consum</w:t>
            </w:r>
            <w:r w:rsidR="00460E5A" w:rsidRPr="00455DCA">
              <w:rPr>
                <w:rFonts w:cs="Arial"/>
              </w:rPr>
              <w:t xml:space="preserve">ption </w:t>
            </w:r>
            <w:r w:rsidRPr="00455DCA">
              <w:rPr>
                <w:rFonts w:cs="Arial"/>
              </w:rPr>
              <w:t>in year</w:t>
            </w:r>
            <w:r w:rsidR="00B441E3" w:rsidRPr="00455DCA">
              <w:rPr>
                <w:rFonts w:cs="Arial"/>
              </w:rPr>
              <w:t> </w:t>
            </w:r>
            <w:r w:rsidRPr="00455DCA">
              <w:rPr>
                <w:rFonts w:cs="Arial"/>
                <w:i/>
              </w:rPr>
              <w:t>y</w:t>
            </w:r>
          </w:p>
        </w:tc>
      </w:tr>
      <w:tr w:rsidR="00EB26EA" w:rsidRPr="00455DCA" w14:paraId="61CFC6A0" w14:textId="77777777" w:rsidTr="004A5C65">
        <w:trPr>
          <w:jc w:val="right"/>
        </w:trPr>
        <w:tc>
          <w:tcPr>
            <w:tcW w:w="1300" w:type="dxa"/>
          </w:tcPr>
          <w:p w14:paraId="62B4C5D4" w14:textId="77777777" w:rsidR="00EB26EA" w:rsidRPr="00455DCA" w:rsidRDefault="00000000" w:rsidP="00743A0D">
            <w:pPr>
              <w:pStyle w:val="SDMTableBoxParaNotNumbered"/>
              <w:rPr>
                <w:rFonts w:cs="Arial"/>
                <w:i/>
                <w:iCs/>
              </w:rPr>
            </w:pPr>
            <m:oMathPara>
              <m:oMath>
                <m:sSub>
                  <m:sSubPr>
                    <m:ctrlPr>
                      <w:rPr>
                        <w:rFonts w:ascii="Cambria Math" w:hAnsi="Cambria Math" w:cs="Arial"/>
                        <w:i/>
                        <w:iCs/>
                      </w:rPr>
                    </m:ctrlPr>
                  </m:sSubPr>
                  <m:e>
                    <m:r>
                      <w:rPr>
                        <w:rFonts w:ascii="Cambria Math" w:hAnsi="Cambria Math" w:cs="Arial"/>
                      </w:rPr>
                      <m:t>PE</m:t>
                    </m:r>
                  </m:e>
                  <m:sub>
                    <m:r>
                      <w:rPr>
                        <w:rFonts w:ascii="Cambria Math" w:hAnsi="Cambria Math" w:cs="Arial"/>
                      </w:rPr>
                      <m:t>EG,y</m:t>
                    </m:r>
                  </m:sub>
                </m:sSub>
              </m:oMath>
            </m:oMathPara>
          </w:p>
        </w:tc>
        <w:tc>
          <w:tcPr>
            <w:tcW w:w="1559" w:type="dxa"/>
          </w:tcPr>
          <w:p w14:paraId="4C163F11" w14:textId="3C994744" w:rsidR="00EB26EA" w:rsidRPr="00455DCA" w:rsidRDefault="004B7C3A" w:rsidP="00743A0D">
            <w:pPr>
              <w:pStyle w:val="SDMTableBoxParaNotNumbered"/>
              <w:rPr>
                <w:rFonts w:cs="Arial"/>
              </w:rPr>
            </w:pPr>
            <w:r w:rsidRPr="00455DCA">
              <w:rPr>
                <w:rFonts w:cs="Arial"/>
              </w:rPr>
              <w:t>t</w:t>
            </w:r>
            <w:r w:rsidR="00F21F0C" w:rsidRPr="00455DCA">
              <w:rPr>
                <w:rFonts w:cs="Arial"/>
              </w:rPr>
              <w:t> </w:t>
            </w:r>
            <w:r w:rsidRPr="00455DCA">
              <w:rPr>
                <w:rFonts w:cs="Arial"/>
              </w:rPr>
              <w:t>CO</w:t>
            </w:r>
            <w:r w:rsidRPr="00455DCA">
              <w:rPr>
                <w:rFonts w:cs="Arial"/>
                <w:vertAlign w:val="subscript"/>
              </w:rPr>
              <w:t>2</w:t>
            </w:r>
          </w:p>
        </w:tc>
        <w:tc>
          <w:tcPr>
            <w:tcW w:w="5528" w:type="dxa"/>
          </w:tcPr>
          <w:p w14:paraId="0C7E3BFB" w14:textId="77777777" w:rsidR="00EB26EA" w:rsidRPr="00455DCA" w:rsidRDefault="00EB26EA" w:rsidP="00743A0D">
            <w:pPr>
              <w:pStyle w:val="SDMTableBoxParaNotNumbered"/>
              <w:rPr>
                <w:rFonts w:cs="Arial"/>
              </w:rPr>
            </w:pPr>
            <w:r w:rsidRPr="00455DCA">
              <w:rPr>
                <w:rFonts w:cs="Arial"/>
              </w:rPr>
              <w:t>Project emissions from electricity generat</w:t>
            </w:r>
            <w:r w:rsidR="00EF1FE8" w:rsidRPr="00455DCA">
              <w:rPr>
                <w:rFonts w:cs="Arial"/>
              </w:rPr>
              <w:t xml:space="preserve">ion </w:t>
            </w:r>
            <w:r w:rsidRPr="00455DCA">
              <w:rPr>
                <w:rFonts w:cs="Arial"/>
              </w:rPr>
              <w:t>in year</w:t>
            </w:r>
            <w:r w:rsidR="00B441E3" w:rsidRPr="00455DCA">
              <w:rPr>
                <w:rFonts w:cs="Arial"/>
              </w:rPr>
              <w:t> </w:t>
            </w:r>
            <w:r w:rsidRPr="00455DCA">
              <w:rPr>
                <w:rFonts w:cs="Arial"/>
                <w:i/>
              </w:rPr>
              <w:t>y</w:t>
            </w:r>
          </w:p>
        </w:tc>
      </w:tr>
      <w:tr w:rsidR="00EB26EA" w:rsidRPr="00455DCA" w14:paraId="1B20C3BB" w14:textId="77777777" w:rsidTr="004A5C65">
        <w:trPr>
          <w:jc w:val="right"/>
        </w:trPr>
        <w:tc>
          <w:tcPr>
            <w:tcW w:w="1300" w:type="dxa"/>
          </w:tcPr>
          <w:p w14:paraId="7B03DC09" w14:textId="77777777" w:rsidR="00EB26EA" w:rsidRPr="00455DCA" w:rsidRDefault="00000000" w:rsidP="00743A0D">
            <w:pPr>
              <w:pStyle w:val="SDMTableBoxParaNotNumbered"/>
              <w:rPr>
                <w:rFonts w:cs="Arial"/>
                <w:iCs/>
              </w:rPr>
            </w:pPr>
            <m:oMathPara>
              <m:oMath>
                <m:sSub>
                  <m:sSubPr>
                    <m:ctrlPr>
                      <w:rPr>
                        <w:rFonts w:ascii="Cambria Math" w:hAnsi="Cambria Math" w:cs="Arial"/>
                        <w:i/>
                        <w:iCs/>
                      </w:rPr>
                    </m:ctrlPr>
                  </m:sSubPr>
                  <m:e>
                    <m:r>
                      <w:rPr>
                        <w:rFonts w:ascii="Cambria Math" w:hAnsi="Cambria Math" w:cs="Arial"/>
                      </w:rPr>
                      <m:t>PE</m:t>
                    </m:r>
                  </m:e>
                  <m:sub>
                    <m:r>
                      <w:rPr>
                        <w:rFonts w:ascii="Cambria Math" w:hAnsi="Cambria Math" w:cs="Arial"/>
                      </w:rPr>
                      <m:t>EC,y</m:t>
                    </m:r>
                  </m:sub>
                </m:sSub>
              </m:oMath>
            </m:oMathPara>
          </w:p>
        </w:tc>
        <w:tc>
          <w:tcPr>
            <w:tcW w:w="1559" w:type="dxa"/>
          </w:tcPr>
          <w:p w14:paraId="5E1D4565" w14:textId="5B0C9856" w:rsidR="00EB26EA" w:rsidRPr="00455DCA" w:rsidRDefault="004B7C3A" w:rsidP="00743A0D">
            <w:pPr>
              <w:pStyle w:val="SDMTableBoxParaNotNumbered"/>
              <w:rPr>
                <w:rFonts w:cs="Arial"/>
              </w:rPr>
            </w:pPr>
            <w:r w:rsidRPr="00455DCA">
              <w:rPr>
                <w:rFonts w:cs="Arial"/>
              </w:rPr>
              <w:t>t</w:t>
            </w:r>
            <w:r w:rsidR="00F21F0C" w:rsidRPr="00455DCA">
              <w:rPr>
                <w:rFonts w:cs="Arial"/>
              </w:rPr>
              <w:t> </w:t>
            </w:r>
            <w:r w:rsidRPr="00455DCA">
              <w:rPr>
                <w:rFonts w:cs="Arial"/>
              </w:rPr>
              <w:t>CO</w:t>
            </w:r>
            <w:r w:rsidRPr="00455DCA">
              <w:rPr>
                <w:rFonts w:cs="Arial"/>
                <w:vertAlign w:val="subscript"/>
              </w:rPr>
              <w:t>2</w:t>
            </w:r>
          </w:p>
        </w:tc>
        <w:tc>
          <w:tcPr>
            <w:tcW w:w="5528" w:type="dxa"/>
          </w:tcPr>
          <w:p w14:paraId="23FC24E9" w14:textId="77777777" w:rsidR="00EB26EA" w:rsidRPr="00455DCA" w:rsidRDefault="00EB26EA" w:rsidP="00743A0D">
            <w:pPr>
              <w:pStyle w:val="SDMTableBoxParaNotNumbered"/>
              <w:rPr>
                <w:rFonts w:cs="Arial"/>
              </w:rPr>
            </w:pPr>
            <w:r w:rsidRPr="00455DCA">
              <w:rPr>
                <w:rFonts w:cs="Arial"/>
              </w:rPr>
              <w:t>Project emissions from electricity consum</w:t>
            </w:r>
            <w:r w:rsidR="00EF1FE8" w:rsidRPr="00455DCA">
              <w:rPr>
                <w:rFonts w:cs="Arial"/>
              </w:rPr>
              <w:t xml:space="preserve">ption </w:t>
            </w:r>
            <w:r w:rsidRPr="00455DCA">
              <w:rPr>
                <w:rFonts w:cs="Arial"/>
              </w:rPr>
              <w:t>in year</w:t>
            </w:r>
            <w:r w:rsidR="00B441E3" w:rsidRPr="00455DCA">
              <w:rPr>
                <w:rFonts w:cs="Arial"/>
              </w:rPr>
              <w:t> </w:t>
            </w:r>
            <w:r w:rsidRPr="00455DCA">
              <w:rPr>
                <w:rFonts w:cs="Arial"/>
                <w:i/>
              </w:rPr>
              <w:t>y</w:t>
            </w:r>
          </w:p>
        </w:tc>
      </w:tr>
      <w:tr w:rsidR="00131584" w:rsidRPr="00455DCA" w14:paraId="3EB5E6B9" w14:textId="77777777" w:rsidTr="004A5C65">
        <w:trPr>
          <w:jc w:val="right"/>
        </w:trPr>
        <w:tc>
          <w:tcPr>
            <w:tcW w:w="1300" w:type="dxa"/>
          </w:tcPr>
          <w:p w14:paraId="5301A28B" w14:textId="77777777" w:rsidR="00131584" w:rsidRPr="00455DCA" w:rsidRDefault="00000000" w:rsidP="00743A0D">
            <w:pPr>
              <w:pStyle w:val="SDMTableBoxParaNotNumbered"/>
              <w:rPr>
                <w:rFonts w:cs="Arial"/>
                <w:iCs/>
              </w:rPr>
            </w:pPr>
            <m:oMathPara>
              <m:oMath>
                <m:sSub>
                  <m:sSubPr>
                    <m:ctrlPr>
                      <w:rPr>
                        <w:rFonts w:ascii="Cambria Math" w:hAnsi="Cambria Math" w:cs="Arial"/>
                        <w:i/>
                        <w:iCs/>
                      </w:rPr>
                    </m:ctrlPr>
                  </m:sSubPr>
                  <m:e>
                    <m:r>
                      <w:rPr>
                        <w:rFonts w:ascii="Cambria Math" w:hAnsi="Cambria Math" w:cs="Arial"/>
                      </w:rPr>
                      <m:t>LE</m:t>
                    </m:r>
                  </m:e>
                  <m:sub>
                    <m:r>
                      <w:rPr>
                        <w:rFonts w:ascii="Cambria Math" w:hAnsi="Cambria Math" w:cs="Arial"/>
                      </w:rPr>
                      <m:t>EG,PJ,y</m:t>
                    </m:r>
                  </m:sub>
                </m:sSub>
              </m:oMath>
            </m:oMathPara>
          </w:p>
        </w:tc>
        <w:tc>
          <w:tcPr>
            <w:tcW w:w="1559" w:type="dxa"/>
          </w:tcPr>
          <w:p w14:paraId="00C57E86" w14:textId="515DF1F8" w:rsidR="00131584" w:rsidRPr="00455DCA" w:rsidRDefault="004B7C3A" w:rsidP="00743A0D">
            <w:pPr>
              <w:pStyle w:val="SDMTableBoxParaNotNumbered"/>
              <w:rPr>
                <w:rFonts w:cs="Arial"/>
              </w:rPr>
            </w:pPr>
            <w:r w:rsidRPr="00455DCA">
              <w:rPr>
                <w:rFonts w:cs="Arial"/>
              </w:rPr>
              <w:t>t</w:t>
            </w:r>
            <w:r w:rsidR="00F21F0C" w:rsidRPr="00455DCA">
              <w:rPr>
                <w:rFonts w:cs="Arial"/>
              </w:rPr>
              <w:t> </w:t>
            </w:r>
            <w:r w:rsidRPr="00455DCA">
              <w:rPr>
                <w:rFonts w:cs="Arial"/>
              </w:rPr>
              <w:t>CO</w:t>
            </w:r>
            <w:r w:rsidRPr="00455DCA">
              <w:rPr>
                <w:rFonts w:cs="Arial"/>
                <w:vertAlign w:val="subscript"/>
              </w:rPr>
              <w:t>2</w:t>
            </w:r>
          </w:p>
        </w:tc>
        <w:tc>
          <w:tcPr>
            <w:tcW w:w="5528" w:type="dxa"/>
          </w:tcPr>
          <w:p w14:paraId="33938DDB" w14:textId="77777777" w:rsidR="00131584" w:rsidRPr="00455DCA" w:rsidRDefault="00131584" w:rsidP="00743A0D">
            <w:pPr>
              <w:pStyle w:val="SDMTableBoxParaNotNumbered"/>
              <w:rPr>
                <w:rFonts w:cs="Arial"/>
              </w:rPr>
            </w:pPr>
            <w:r w:rsidRPr="00455DCA">
              <w:rPr>
                <w:rFonts w:cs="Arial"/>
              </w:rPr>
              <w:t xml:space="preserve">Leakage emissions from electricity </w:t>
            </w:r>
            <w:r w:rsidR="004B7C3A" w:rsidRPr="00455DCA">
              <w:rPr>
                <w:rFonts w:cs="Arial"/>
              </w:rPr>
              <w:t>generation</w:t>
            </w:r>
            <w:r w:rsidRPr="00455DCA">
              <w:rPr>
                <w:rFonts w:cs="Arial"/>
              </w:rPr>
              <w:t xml:space="preserve"> </w:t>
            </w:r>
            <w:r w:rsidR="004E77A2" w:rsidRPr="00455DCA">
              <w:rPr>
                <w:rFonts w:cs="Arial"/>
              </w:rPr>
              <w:t xml:space="preserve">in </w:t>
            </w:r>
            <w:r w:rsidRPr="00455DCA">
              <w:rPr>
                <w:rFonts w:cs="Arial"/>
              </w:rPr>
              <w:t xml:space="preserve">the </w:t>
            </w:r>
            <w:r w:rsidR="004E77A2" w:rsidRPr="00455DCA">
              <w:rPr>
                <w:rFonts w:cs="Arial"/>
              </w:rPr>
              <w:t>project scenario</w:t>
            </w:r>
            <w:r w:rsidRPr="00455DCA">
              <w:rPr>
                <w:rFonts w:cs="Arial"/>
              </w:rPr>
              <w:t xml:space="preserve"> in year</w:t>
            </w:r>
            <w:r w:rsidR="00B441E3" w:rsidRPr="00455DCA">
              <w:rPr>
                <w:rFonts w:cs="Arial"/>
              </w:rPr>
              <w:t> </w:t>
            </w:r>
            <w:r w:rsidRPr="00455DCA">
              <w:rPr>
                <w:rFonts w:cs="Arial"/>
                <w:i/>
              </w:rPr>
              <w:t>y</w:t>
            </w:r>
          </w:p>
        </w:tc>
      </w:tr>
      <w:tr w:rsidR="001226CB" w:rsidRPr="00455DCA" w14:paraId="1058307C" w14:textId="77777777" w:rsidTr="004A5C65">
        <w:trPr>
          <w:trHeight w:val="300"/>
          <w:jc w:val="right"/>
        </w:trPr>
        <w:tc>
          <w:tcPr>
            <w:tcW w:w="1300" w:type="dxa"/>
          </w:tcPr>
          <w:p w14:paraId="63611638" w14:textId="77777777" w:rsidR="001226CB" w:rsidRPr="00455DCA" w:rsidRDefault="00000000" w:rsidP="00743A0D">
            <w:pPr>
              <w:pStyle w:val="SDMTableBoxParaNotNumbered"/>
              <w:rPr>
                <w:rFonts w:cs="Arial"/>
                <w:iCs/>
              </w:rPr>
            </w:pPr>
            <m:oMathPara>
              <m:oMath>
                <m:sSub>
                  <m:sSubPr>
                    <m:ctrlPr>
                      <w:rPr>
                        <w:rFonts w:ascii="Cambria Math" w:hAnsi="Cambria Math" w:cs="Arial"/>
                        <w:i/>
                        <w:iCs/>
                      </w:rPr>
                    </m:ctrlPr>
                  </m:sSubPr>
                  <m:e>
                    <m:r>
                      <w:rPr>
                        <w:rFonts w:ascii="Cambria Math" w:hAnsi="Cambria Math" w:cs="Arial"/>
                      </w:rPr>
                      <m:t>LE</m:t>
                    </m:r>
                  </m:e>
                  <m:sub>
                    <m:r>
                      <w:rPr>
                        <w:rFonts w:ascii="Cambria Math" w:hAnsi="Cambria Math" w:cs="Arial"/>
                      </w:rPr>
                      <m:t>EG,BL,y</m:t>
                    </m:r>
                  </m:sub>
                </m:sSub>
              </m:oMath>
            </m:oMathPara>
          </w:p>
        </w:tc>
        <w:tc>
          <w:tcPr>
            <w:tcW w:w="1559" w:type="dxa"/>
          </w:tcPr>
          <w:p w14:paraId="1E9E3DC2" w14:textId="72F01156" w:rsidR="001226CB" w:rsidRPr="00455DCA" w:rsidRDefault="004B7C3A" w:rsidP="00743A0D">
            <w:pPr>
              <w:pStyle w:val="SDMTableBoxParaNotNumbered"/>
              <w:rPr>
                <w:rFonts w:cs="Arial"/>
              </w:rPr>
            </w:pPr>
            <w:r w:rsidRPr="00455DCA">
              <w:rPr>
                <w:rFonts w:cs="Arial"/>
              </w:rPr>
              <w:t>t</w:t>
            </w:r>
            <w:r w:rsidR="00F21F0C" w:rsidRPr="00455DCA">
              <w:rPr>
                <w:rFonts w:cs="Arial"/>
              </w:rPr>
              <w:t> </w:t>
            </w:r>
            <w:r w:rsidRPr="00455DCA">
              <w:rPr>
                <w:rFonts w:cs="Arial"/>
              </w:rPr>
              <w:t>CO</w:t>
            </w:r>
            <w:r w:rsidRPr="00455DCA">
              <w:rPr>
                <w:rFonts w:cs="Arial"/>
                <w:vertAlign w:val="subscript"/>
              </w:rPr>
              <w:t>2</w:t>
            </w:r>
          </w:p>
        </w:tc>
        <w:tc>
          <w:tcPr>
            <w:tcW w:w="5528" w:type="dxa"/>
          </w:tcPr>
          <w:p w14:paraId="37B40608" w14:textId="77777777" w:rsidR="001226CB" w:rsidRPr="00455DCA" w:rsidRDefault="001226CB" w:rsidP="00743A0D">
            <w:pPr>
              <w:pStyle w:val="SDMTableBoxParaNotNumbered"/>
              <w:rPr>
                <w:rFonts w:cs="Arial"/>
              </w:rPr>
            </w:pPr>
            <w:r w:rsidRPr="00455DCA">
              <w:rPr>
                <w:rFonts w:cs="Arial"/>
              </w:rPr>
              <w:t xml:space="preserve">Leakage emissions from electricity </w:t>
            </w:r>
            <w:r w:rsidR="004B7C3A" w:rsidRPr="00455DCA">
              <w:rPr>
                <w:rFonts w:cs="Arial"/>
              </w:rPr>
              <w:t>generation</w:t>
            </w:r>
            <w:r w:rsidRPr="00455DCA">
              <w:rPr>
                <w:rFonts w:cs="Arial"/>
              </w:rPr>
              <w:t xml:space="preserve"> in the baseline scenario in year</w:t>
            </w:r>
            <w:r w:rsidR="00B441E3" w:rsidRPr="00455DCA">
              <w:rPr>
                <w:rFonts w:cs="Arial"/>
              </w:rPr>
              <w:t> </w:t>
            </w:r>
            <w:r w:rsidRPr="00455DCA">
              <w:rPr>
                <w:rFonts w:cs="Arial"/>
                <w:i/>
              </w:rPr>
              <w:t>y</w:t>
            </w:r>
          </w:p>
        </w:tc>
      </w:tr>
      <w:tr w:rsidR="001226CB" w:rsidRPr="00455DCA" w14:paraId="0B4BDC15" w14:textId="77777777" w:rsidTr="004A5C65">
        <w:trPr>
          <w:jc w:val="right"/>
        </w:trPr>
        <w:tc>
          <w:tcPr>
            <w:tcW w:w="1300" w:type="dxa"/>
          </w:tcPr>
          <w:p w14:paraId="2248B4C7" w14:textId="77777777" w:rsidR="001226CB" w:rsidRPr="00455DCA" w:rsidRDefault="00000000" w:rsidP="00743A0D">
            <w:pPr>
              <w:pStyle w:val="SDMTableBoxParaNotNumbered"/>
              <w:rPr>
                <w:rFonts w:cs="Arial"/>
                <w:iCs/>
              </w:rPr>
            </w:pPr>
            <m:oMathPara>
              <m:oMath>
                <m:sSub>
                  <m:sSubPr>
                    <m:ctrlPr>
                      <w:rPr>
                        <w:rFonts w:ascii="Cambria Math" w:hAnsi="Cambria Math" w:cs="Arial"/>
                        <w:i/>
                        <w:iCs/>
                      </w:rPr>
                    </m:ctrlPr>
                  </m:sSubPr>
                  <m:e>
                    <m:r>
                      <w:rPr>
                        <w:rFonts w:ascii="Cambria Math" w:hAnsi="Cambria Math" w:cs="Arial"/>
                      </w:rPr>
                      <m:t>LE</m:t>
                    </m:r>
                  </m:e>
                  <m:sub>
                    <m:r>
                      <w:rPr>
                        <w:rFonts w:ascii="Cambria Math" w:hAnsi="Cambria Math" w:cs="Arial"/>
                      </w:rPr>
                      <m:t>EC,PJ,y</m:t>
                    </m:r>
                  </m:sub>
                </m:sSub>
              </m:oMath>
            </m:oMathPara>
          </w:p>
        </w:tc>
        <w:tc>
          <w:tcPr>
            <w:tcW w:w="1559" w:type="dxa"/>
          </w:tcPr>
          <w:p w14:paraId="5A4C04D1" w14:textId="32422A3C" w:rsidR="001226CB" w:rsidRPr="00455DCA" w:rsidRDefault="004B7C3A" w:rsidP="00743A0D">
            <w:pPr>
              <w:pStyle w:val="SDMTableBoxParaNotNumbered"/>
              <w:rPr>
                <w:rFonts w:cs="Arial"/>
              </w:rPr>
            </w:pPr>
            <w:r w:rsidRPr="00455DCA">
              <w:rPr>
                <w:rFonts w:cs="Arial"/>
              </w:rPr>
              <w:t>t</w:t>
            </w:r>
            <w:r w:rsidR="00F21F0C" w:rsidRPr="00455DCA">
              <w:rPr>
                <w:rFonts w:cs="Arial"/>
              </w:rPr>
              <w:t> </w:t>
            </w:r>
            <w:r w:rsidRPr="00455DCA">
              <w:rPr>
                <w:rFonts w:cs="Arial"/>
              </w:rPr>
              <w:t>CO</w:t>
            </w:r>
            <w:r w:rsidRPr="00455DCA">
              <w:rPr>
                <w:rFonts w:cs="Arial"/>
                <w:vertAlign w:val="subscript"/>
              </w:rPr>
              <w:t>2</w:t>
            </w:r>
          </w:p>
        </w:tc>
        <w:tc>
          <w:tcPr>
            <w:tcW w:w="5528" w:type="dxa"/>
          </w:tcPr>
          <w:p w14:paraId="3161AD8E" w14:textId="77777777" w:rsidR="001226CB" w:rsidRPr="00455DCA" w:rsidRDefault="001226CB" w:rsidP="00743A0D">
            <w:pPr>
              <w:pStyle w:val="SDMTableBoxParaNotNumbered"/>
              <w:rPr>
                <w:rFonts w:cs="Arial"/>
              </w:rPr>
            </w:pPr>
            <w:r w:rsidRPr="00455DCA">
              <w:rPr>
                <w:rFonts w:cs="Arial"/>
              </w:rPr>
              <w:t xml:space="preserve">Leakage emissions from electricity </w:t>
            </w:r>
            <w:r w:rsidR="004B7C3A" w:rsidRPr="00455DCA">
              <w:rPr>
                <w:rFonts w:cs="Arial"/>
              </w:rPr>
              <w:t>consumption</w:t>
            </w:r>
            <w:r w:rsidRPr="00455DCA">
              <w:rPr>
                <w:rFonts w:cs="Arial"/>
              </w:rPr>
              <w:t xml:space="preserve"> </w:t>
            </w:r>
            <w:r w:rsidR="00382A30" w:rsidRPr="00455DCA">
              <w:rPr>
                <w:rFonts w:cs="Arial"/>
              </w:rPr>
              <w:t>in the project scenario</w:t>
            </w:r>
            <w:r w:rsidRPr="00455DCA">
              <w:rPr>
                <w:rFonts w:cs="Arial"/>
              </w:rPr>
              <w:t xml:space="preserve"> in year</w:t>
            </w:r>
            <w:r w:rsidR="00B441E3" w:rsidRPr="00455DCA">
              <w:rPr>
                <w:rFonts w:cs="Arial"/>
              </w:rPr>
              <w:t> </w:t>
            </w:r>
            <w:r w:rsidRPr="00455DCA">
              <w:rPr>
                <w:rFonts w:cs="Arial"/>
                <w:i/>
              </w:rPr>
              <w:t>y</w:t>
            </w:r>
          </w:p>
        </w:tc>
      </w:tr>
      <w:tr w:rsidR="00382A30" w:rsidRPr="00455DCA" w14:paraId="2AC8E43F" w14:textId="77777777" w:rsidTr="004A5C65">
        <w:trPr>
          <w:trHeight w:val="300"/>
          <w:jc w:val="right"/>
        </w:trPr>
        <w:tc>
          <w:tcPr>
            <w:tcW w:w="1300" w:type="dxa"/>
          </w:tcPr>
          <w:p w14:paraId="7846CDA5" w14:textId="77777777" w:rsidR="00382A30" w:rsidRPr="00455DCA" w:rsidRDefault="00000000" w:rsidP="00743A0D">
            <w:pPr>
              <w:pStyle w:val="SDMTableBoxParaNotNumbered"/>
              <w:rPr>
                <w:rFonts w:cs="Arial"/>
                <w:iCs/>
              </w:rPr>
            </w:pPr>
            <m:oMathPara>
              <m:oMath>
                <m:sSub>
                  <m:sSubPr>
                    <m:ctrlPr>
                      <w:rPr>
                        <w:rFonts w:ascii="Cambria Math" w:hAnsi="Cambria Math" w:cs="Arial"/>
                        <w:i/>
                        <w:iCs/>
                      </w:rPr>
                    </m:ctrlPr>
                  </m:sSubPr>
                  <m:e>
                    <m:r>
                      <w:rPr>
                        <w:rFonts w:ascii="Cambria Math" w:hAnsi="Cambria Math" w:cs="Arial"/>
                      </w:rPr>
                      <m:t>LE</m:t>
                    </m:r>
                  </m:e>
                  <m:sub>
                    <m:r>
                      <w:rPr>
                        <w:rFonts w:ascii="Cambria Math" w:hAnsi="Cambria Math" w:cs="Arial"/>
                      </w:rPr>
                      <m:t>EC,BL,y</m:t>
                    </m:r>
                  </m:sub>
                </m:sSub>
              </m:oMath>
            </m:oMathPara>
          </w:p>
        </w:tc>
        <w:tc>
          <w:tcPr>
            <w:tcW w:w="1559" w:type="dxa"/>
          </w:tcPr>
          <w:p w14:paraId="4F4C1FBD" w14:textId="4FBA5B0F" w:rsidR="00382A30" w:rsidRPr="00455DCA" w:rsidRDefault="004B7C3A" w:rsidP="00743A0D">
            <w:pPr>
              <w:pStyle w:val="SDMTableBoxParaNotNumbered"/>
              <w:rPr>
                <w:rFonts w:cs="Arial"/>
              </w:rPr>
            </w:pPr>
            <w:r w:rsidRPr="00455DCA">
              <w:rPr>
                <w:rFonts w:cs="Arial"/>
              </w:rPr>
              <w:t>t</w:t>
            </w:r>
            <w:r w:rsidR="00F21F0C" w:rsidRPr="00455DCA">
              <w:rPr>
                <w:rFonts w:cs="Arial"/>
              </w:rPr>
              <w:t> </w:t>
            </w:r>
            <w:r w:rsidRPr="00455DCA">
              <w:rPr>
                <w:rFonts w:cs="Arial"/>
              </w:rPr>
              <w:t>CO</w:t>
            </w:r>
            <w:r w:rsidRPr="00455DCA">
              <w:rPr>
                <w:rFonts w:cs="Arial"/>
                <w:vertAlign w:val="subscript"/>
              </w:rPr>
              <w:t>2</w:t>
            </w:r>
          </w:p>
        </w:tc>
        <w:tc>
          <w:tcPr>
            <w:tcW w:w="5528" w:type="dxa"/>
          </w:tcPr>
          <w:p w14:paraId="366A659C" w14:textId="77777777" w:rsidR="00382A30" w:rsidRPr="00455DCA" w:rsidRDefault="00382A30" w:rsidP="00743A0D">
            <w:pPr>
              <w:pStyle w:val="SDMTableBoxParaNotNumbered"/>
              <w:rPr>
                <w:rFonts w:cs="Arial"/>
              </w:rPr>
            </w:pPr>
            <w:r w:rsidRPr="00455DCA">
              <w:rPr>
                <w:rFonts w:cs="Arial"/>
              </w:rPr>
              <w:t xml:space="preserve">Leakage emissions from electricity </w:t>
            </w:r>
            <w:r w:rsidR="004B7C3A" w:rsidRPr="00455DCA">
              <w:rPr>
                <w:rFonts w:cs="Arial"/>
              </w:rPr>
              <w:t>consumption</w:t>
            </w:r>
            <w:r w:rsidRPr="00455DCA">
              <w:rPr>
                <w:rFonts w:cs="Arial"/>
              </w:rPr>
              <w:t xml:space="preserve"> in the baseline sce</w:t>
            </w:r>
            <w:r w:rsidR="00C2545F" w:rsidRPr="00455DCA">
              <w:rPr>
                <w:rFonts w:cs="Arial"/>
              </w:rPr>
              <w:t>nario</w:t>
            </w:r>
            <w:r w:rsidRPr="00455DCA">
              <w:rPr>
                <w:rFonts w:cs="Arial"/>
              </w:rPr>
              <w:t xml:space="preserve"> in year</w:t>
            </w:r>
            <w:r w:rsidR="00B441E3" w:rsidRPr="00455DCA">
              <w:rPr>
                <w:rFonts w:cs="Arial"/>
              </w:rPr>
              <w:t> </w:t>
            </w:r>
            <w:r w:rsidRPr="00455DCA">
              <w:rPr>
                <w:rFonts w:cs="Arial"/>
                <w:i/>
              </w:rPr>
              <w:t>y</w:t>
            </w:r>
          </w:p>
        </w:tc>
      </w:tr>
      <w:tr w:rsidR="00382A30" w:rsidRPr="00455DCA" w14:paraId="5C0CAEDA" w14:textId="77777777" w:rsidTr="004A5C65">
        <w:trPr>
          <w:jc w:val="right"/>
        </w:trPr>
        <w:tc>
          <w:tcPr>
            <w:tcW w:w="1300" w:type="dxa"/>
          </w:tcPr>
          <w:p w14:paraId="77E8FECE" w14:textId="77777777" w:rsidR="00382A30" w:rsidRPr="00455DCA" w:rsidRDefault="00000000" w:rsidP="00743A0D">
            <w:pPr>
              <w:pStyle w:val="SDMTableBoxParaNotNumbered"/>
              <w:rPr>
                <w:rFonts w:cs="Arial"/>
                <w:iCs/>
              </w:rPr>
            </w:pPr>
            <m:oMathPara>
              <m:oMath>
                <m:sSub>
                  <m:sSubPr>
                    <m:ctrlPr>
                      <w:rPr>
                        <w:rFonts w:ascii="Cambria Math" w:hAnsi="Cambria Math" w:cs="Arial"/>
                        <w:i/>
                        <w:iCs/>
                      </w:rPr>
                    </m:ctrlPr>
                  </m:sSubPr>
                  <m:e>
                    <m:r>
                      <w:rPr>
                        <w:rFonts w:ascii="Cambria Math" w:hAnsi="Cambria Math" w:cs="Arial"/>
                      </w:rPr>
                      <m:t>EF</m:t>
                    </m:r>
                  </m:e>
                  <m:sub>
                    <m:r>
                      <w:rPr>
                        <w:rFonts w:ascii="Cambria Math" w:hAnsi="Cambria Math" w:cs="Arial"/>
                      </w:rPr>
                      <m:t>EG/C,BL,s,y</m:t>
                    </m:r>
                  </m:sub>
                </m:sSub>
              </m:oMath>
            </m:oMathPara>
          </w:p>
        </w:tc>
        <w:tc>
          <w:tcPr>
            <w:tcW w:w="1559" w:type="dxa"/>
          </w:tcPr>
          <w:p w14:paraId="40840E56" w14:textId="0775C540" w:rsidR="00382A30" w:rsidRPr="00455DCA" w:rsidRDefault="004B7C3A" w:rsidP="00743A0D">
            <w:pPr>
              <w:pStyle w:val="SDMTableBoxParaNotNumbered"/>
              <w:rPr>
                <w:rFonts w:cs="Arial"/>
              </w:rPr>
            </w:pPr>
            <w:r w:rsidRPr="00455DCA">
              <w:rPr>
                <w:rFonts w:cs="Arial"/>
              </w:rPr>
              <w:t>t</w:t>
            </w:r>
            <w:r w:rsidR="00F21F0C" w:rsidRPr="00455DCA">
              <w:rPr>
                <w:rFonts w:cs="Arial"/>
              </w:rPr>
              <w:t> </w:t>
            </w:r>
            <w:r w:rsidRPr="00455DCA">
              <w:rPr>
                <w:rFonts w:cs="Arial"/>
              </w:rPr>
              <w:t>CO</w:t>
            </w:r>
            <w:r w:rsidRPr="00455DCA">
              <w:rPr>
                <w:rFonts w:cs="Arial"/>
                <w:vertAlign w:val="subscript"/>
              </w:rPr>
              <w:t>2</w:t>
            </w:r>
            <w:r w:rsidR="00382A30" w:rsidRPr="00455DCA">
              <w:rPr>
                <w:rFonts w:cs="Arial"/>
              </w:rPr>
              <w:t>/</w:t>
            </w:r>
            <w:r w:rsidR="00F21F0C" w:rsidRPr="00455DCA">
              <w:rPr>
                <w:rFonts w:cs="Arial"/>
              </w:rPr>
              <w:t>MWh</w:t>
            </w:r>
          </w:p>
        </w:tc>
        <w:tc>
          <w:tcPr>
            <w:tcW w:w="5528" w:type="dxa"/>
          </w:tcPr>
          <w:p w14:paraId="2526C97E" w14:textId="10994CAD" w:rsidR="00382A30" w:rsidRPr="00455DCA" w:rsidRDefault="00382A30" w:rsidP="00743A0D">
            <w:pPr>
              <w:pStyle w:val="SDMTableBoxParaNotNumbered"/>
              <w:rPr>
                <w:rFonts w:cs="Arial"/>
                <w:i/>
              </w:rPr>
            </w:pPr>
            <w:r w:rsidRPr="00455DCA">
              <w:rPr>
                <w:rFonts w:cs="Arial"/>
              </w:rPr>
              <w:t xml:space="preserve">Emission factor </w:t>
            </w:r>
            <w:r w:rsidR="0054202C" w:rsidRPr="00455DCA">
              <w:rPr>
                <w:rFonts w:cs="Arial"/>
              </w:rPr>
              <w:t xml:space="preserve">for </w:t>
            </w:r>
            <w:r w:rsidRPr="00455DCA">
              <w:rPr>
                <w:rFonts w:cs="Arial"/>
              </w:rPr>
              <w:t xml:space="preserve">electricity </w:t>
            </w:r>
            <w:r w:rsidR="00776899" w:rsidRPr="00455DCA">
              <w:rPr>
                <w:rFonts w:cs="Arial"/>
              </w:rPr>
              <w:t>generation or</w:t>
            </w:r>
            <w:r w:rsidR="002306AE" w:rsidRPr="00455DCA">
              <w:rPr>
                <w:rFonts w:cs="Arial"/>
              </w:rPr>
              <w:t xml:space="preserve"> </w:t>
            </w:r>
            <w:r w:rsidR="004B7C3A" w:rsidRPr="00455DCA">
              <w:rPr>
                <w:rFonts w:cs="Arial"/>
              </w:rPr>
              <w:t>consumption</w:t>
            </w:r>
            <w:r w:rsidRPr="00455DCA">
              <w:rPr>
                <w:rFonts w:cs="Arial"/>
              </w:rPr>
              <w:t xml:space="preserve"> </w:t>
            </w:r>
            <w:r w:rsidR="00730A80" w:rsidRPr="00455DCA">
              <w:rPr>
                <w:rFonts w:cs="Arial"/>
              </w:rPr>
              <w:t xml:space="preserve">by </w:t>
            </w:r>
            <w:r w:rsidR="00374D41" w:rsidRPr="00455DCA">
              <w:rPr>
                <w:rFonts w:cs="Arial"/>
              </w:rPr>
              <w:t xml:space="preserve">electricity generation or consumption </w:t>
            </w:r>
            <w:r w:rsidR="00E163E9" w:rsidRPr="00455DCA">
              <w:rPr>
                <w:rFonts w:cs="Arial"/>
              </w:rPr>
              <w:t>source </w:t>
            </w:r>
            <w:r w:rsidR="000874A7" w:rsidRPr="00455DCA">
              <w:rPr>
                <w:rFonts w:cs="Arial"/>
                <w:i/>
              </w:rPr>
              <w:t>s</w:t>
            </w:r>
            <w:r w:rsidR="00730A80" w:rsidRPr="00455DCA">
              <w:rPr>
                <w:rFonts w:cs="Arial"/>
              </w:rPr>
              <w:t xml:space="preserve"> </w:t>
            </w:r>
            <w:r w:rsidRPr="00455DCA">
              <w:rPr>
                <w:rFonts w:cs="Arial"/>
              </w:rPr>
              <w:t xml:space="preserve">in the baseline scenario </w:t>
            </w:r>
            <w:r w:rsidR="00810575" w:rsidRPr="00455DCA">
              <w:rPr>
                <w:rFonts w:cs="Arial"/>
              </w:rPr>
              <w:t>(</w:t>
            </w:r>
            <w:r w:rsidR="00F92F87" w:rsidRPr="00455DCA">
              <w:rPr>
                <w:rFonts w:cs="Arial"/>
              </w:rPr>
              <w:t>case</w:t>
            </w:r>
            <w:r w:rsidR="00877272" w:rsidRPr="00455DCA">
              <w:rPr>
                <w:rFonts w:cs="Arial"/>
              </w:rPr>
              <w:t> </w:t>
            </w:r>
            <w:r w:rsidR="00AB3592" w:rsidRPr="00455DCA">
              <w:rPr>
                <w:rFonts w:cs="Arial"/>
              </w:rPr>
              <w:t xml:space="preserve">2) </w:t>
            </w:r>
            <w:r w:rsidRPr="00455DCA">
              <w:rPr>
                <w:rFonts w:cs="Arial"/>
              </w:rPr>
              <w:t xml:space="preserve">in </w:t>
            </w:r>
            <w:r w:rsidR="00751741" w:rsidRPr="00455DCA">
              <w:rPr>
                <w:rFonts w:cs="Arial"/>
              </w:rPr>
              <w:t>year </w:t>
            </w:r>
            <w:r w:rsidR="00751741" w:rsidRPr="00455DCA">
              <w:rPr>
                <w:rFonts w:cs="Arial"/>
                <w:i/>
                <w:iCs/>
              </w:rPr>
              <w:t>y</w:t>
            </w:r>
          </w:p>
        </w:tc>
      </w:tr>
      <w:tr w:rsidR="00C2545F" w:rsidRPr="00455DCA" w14:paraId="5F75576C" w14:textId="77777777" w:rsidTr="004A5C65">
        <w:trPr>
          <w:trHeight w:val="300"/>
          <w:jc w:val="right"/>
        </w:trPr>
        <w:tc>
          <w:tcPr>
            <w:tcW w:w="1300" w:type="dxa"/>
          </w:tcPr>
          <w:p w14:paraId="6D9CD75B" w14:textId="77777777" w:rsidR="00C2545F" w:rsidRPr="00455DCA" w:rsidRDefault="00000000" w:rsidP="00743A0D">
            <w:pPr>
              <w:pStyle w:val="SDMTableBoxParaNotNumbered"/>
              <w:rPr>
                <w:rFonts w:cs="Arial"/>
                <w:iCs/>
              </w:rPr>
            </w:pPr>
            <m:oMathPara>
              <m:oMath>
                <m:sSub>
                  <m:sSubPr>
                    <m:ctrlPr>
                      <w:rPr>
                        <w:rFonts w:ascii="Cambria Math" w:hAnsi="Cambria Math" w:cs="Arial"/>
                        <w:i/>
                        <w:iCs/>
                      </w:rPr>
                    </m:ctrlPr>
                  </m:sSubPr>
                  <m:e>
                    <m:r>
                      <w:rPr>
                        <w:rFonts w:ascii="Cambria Math" w:hAnsi="Cambria Math" w:cs="Arial"/>
                      </w:rPr>
                      <m:t>EF</m:t>
                    </m:r>
                  </m:e>
                  <m:sub>
                    <m:r>
                      <w:rPr>
                        <w:rFonts w:ascii="Cambria Math" w:hAnsi="Cambria Math" w:cs="Arial"/>
                      </w:rPr>
                      <m:t>EG/C,PJ,s,y</m:t>
                    </m:r>
                  </m:sub>
                </m:sSub>
              </m:oMath>
            </m:oMathPara>
          </w:p>
        </w:tc>
        <w:tc>
          <w:tcPr>
            <w:tcW w:w="1559" w:type="dxa"/>
          </w:tcPr>
          <w:p w14:paraId="34FEA90F" w14:textId="6A9D6403" w:rsidR="00C2545F" w:rsidRPr="00455DCA" w:rsidRDefault="004B7C3A" w:rsidP="00743A0D">
            <w:pPr>
              <w:pStyle w:val="SDMTableBoxParaNotNumbered"/>
              <w:rPr>
                <w:rFonts w:cs="Arial"/>
              </w:rPr>
            </w:pPr>
            <w:r w:rsidRPr="00455DCA">
              <w:rPr>
                <w:rFonts w:cs="Arial"/>
              </w:rPr>
              <w:t>t</w:t>
            </w:r>
            <w:r w:rsidR="00F21F0C" w:rsidRPr="00455DCA">
              <w:rPr>
                <w:rFonts w:cs="Arial"/>
              </w:rPr>
              <w:t> </w:t>
            </w:r>
            <w:r w:rsidRPr="00455DCA">
              <w:rPr>
                <w:rFonts w:cs="Arial"/>
              </w:rPr>
              <w:t>CO</w:t>
            </w:r>
            <w:r w:rsidRPr="00455DCA">
              <w:rPr>
                <w:rFonts w:cs="Arial"/>
                <w:vertAlign w:val="subscript"/>
              </w:rPr>
              <w:t>2</w:t>
            </w:r>
            <w:r w:rsidR="00C2545F" w:rsidRPr="00455DCA">
              <w:rPr>
                <w:rFonts w:cs="Arial"/>
              </w:rPr>
              <w:t>/</w:t>
            </w:r>
            <w:r w:rsidR="00F21F0C" w:rsidRPr="00455DCA">
              <w:rPr>
                <w:rFonts w:cs="Arial"/>
              </w:rPr>
              <w:t>MWh</w:t>
            </w:r>
          </w:p>
        </w:tc>
        <w:tc>
          <w:tcPr>
            <w:tcW w:w="5528" w:type="dxa"/>
          </w:tcPr>
          <w:p w14:paraId="28A8669D" w14:textId="20C6C662" w:rsidR="00C2545F" w:rsidRPr="00455DCA" w:rsidRDefault="00C2545F" w:rsidP="00743A0D">
            <w:pPr>
              <w:pStyle w:val="SDMTableBoxParaNotNumbered"/>
              <w:rPr>
                <w:rFonts w:cs="Arial"/>
                <w:i/>
              </w:rPr>
            </w:pPr>
            <w:r w:rsidRPr="00455DCA">
              <w:rPr>
                <w:rFonts w:cs="Arial"/>
              </w:rPr>
              <w:t xml:space="preserve">Emission factor </w:t>
            </w:r>
            <w:r w:rsidR="0054202C" w:rsidRPr="00455DCA">
              <w:rPr>
                <w:rFonts w:cs="Arial"/>
              </w:rPr>
              <w:t xml:space="preserve">for </w:t>
            </w:r>
            <w:r w:rsidRPr="00455DCA">
              <w:rPr>
                <w:rFonts w:cs="Arial"/>
              </w:rPr>
              <w:t xml:space="preserve">electricity </w:t>
            </w:r>
            <w:r w:rsidR="00330B13" w:rsidRPr="00455DCA">
              <w:rPr>
                <w:rFonts w:cs="Arial"/>
              </w:rPr>
              <w:t xml:space="preserve">generation or </w:t>
            </w:r>
            <w:r w:rsidR="004B7C3A" w:rsidRPr="00455DCA">
              <w:rPr>
                <w:rFonts w:cs="Arial"/>
              </w:rPr>
              <w:t>consumption</w:t>
            </w:r>
            <w:r w:rsidRPr="00455DCA">
              <w:rPr>
                <w:rFonts w:cs="Arial"/>
              </w:rPr>
              <w:t xml:space="preserve"> </w:t>
            </w:r>
            <w:r w:rsidR="00730A80" w:rsidRPr="00455DCA">
              <w:rPr>
                <w:rFonts w:cs="Arial"/>
              </w:rPr>
              <w:t xml:space="preserve">by </w:t>
            </w:r>
            <w:r w:rsidR="00374D41" w:rsidRPr="00455DCA">
              <w:rPr>
                <w:rFonts w:cs="Arial"/>
              </w:rPr>
              <w:t>electricity generation or consumption source </w:t>
            </w:r>
            <w:r w:rsidR="00374D41" w:rsidRPr="00455DCA">
              <w:rPr>
                <w:rFonts w:cs="Arial"/>
                <w:i/>
              </w:rPr>
              <w:t>s</w:t>
            </w:r>
            <w:r w:rsidR="00730A80" w:rsidRPr="00455DCA">
              <w:rPr>
                <w:rFonts w:cs="Arial"/>
              </w:rPr>
              <w:t xml:space="preserve"> </w:t>
            </w:r>
            <w:r w:rsidRPr="00455DCA">
              <w:rPr>
                <w:rFonts w:cs="Arial"/>
              </w:rPr>
              <w:t xml:space="preserve">in the project scenario </w:t>
            </w:r>
            <w:r w:rsidR="00AB3592" w:rsidRPr="00455DCA">
              <w:rPr>
                <w:rFonts w:cs="Arial"/>
              </w:rPr>
              <w:t>(</w:t>
            </w:r>
            <w:r w:rsidR="00F92F87" w:rsidRPr="00455DCA">
              <w:rPr>
                <w:rFonts w:cs="Arial"/>
              </w:rPr>
              <w:t>case</w:t>
            </w:r>
            <w:r w:rsidR="00877272" w:rsidRPr="00455DCA">
              <w:rPr>
                <w:rFonts w:cs="Arial"/>
              </w:rPr>
              <w:t> </w:t>
            </w:r>
            <w:r w:rsidR="00AB3592" w:rsidRPr="00455DCA">
              <w:rPr>
                <w:rFonts w:cs="Arial"/>
              </w:rPr>
              <w:t xml:space="preserve">1) </w:t>
            </w:r>
            <w:r w:rsidRPr="00455DCA">
              <w:rPr>
                <w:rFonts w:cs="Arial"/>
              </w:rPr>
              <w:t>in</w:t>
            </w:r>
            <w:r w:rsidRPr="00455DCA">
              <w:rPr>
                <w:rFonts w:cs="Arial"/>
                <w:i/>
                <w:iCs/>
              </w:rPr>
              <w:t xml:space="preserve"> </w:t>
            </w:r>
            <w:r w:rsidR="00751741" w:rsidRPr="00455DCA">
              <w:rPr>
                <w:rFonts w:cs="Arial"/>
              </w:rPr>
              <w:t>year</w:t>
            </w:r>
            <w:r w:rsidR="00751741" w:rsidRPr="00455DCA">
              <w:rPr>
                <w:rFonts w:cs="Arial"/>
                <w:i/>
                <w:iCs/>
              </w:rPr>
              <w:t> y</w:t>
            </w:r>
          </w:p>
        </w:tc>
      </w:tr>
      <w:tr w:rsidR="001A649A" w:rsidRPr="00455DCA" w14:paraId="0028A115" w14:textId="77777777" w:rsidTr="004A5C65">
        <w:trPr>
          <w:trHeight w:val="300"/>
          <w:jc w:val="right"/>
        </w:trPr>
        <w:tc>
          <w:tcPr>
            <w:tcW w:w="1300" w:type="dxa"/>
          </w:tcPr>
          <w:p w14:paraId="33A7A187" w14:textId="77777777" w:rsidR="001A649A" w:rsidRPr="00455DCA" w:rsidRDefault="00000000" w:rsidP="00743A0D">
            <w:pPr>
              <w:pStyle w:val="SDMTableBoxParaNotNumbered"/>
              <w:rPr>
                <w:rFonts w:cs="Arial"/>
              </w:rPr>
            </w:pPr>
            <m:oMathPara>
              <m:oMath>
                <m:sSub>
                  <m:sSubPr>
                    <m:ctrlPr>
                      <w:rPr>
                        <w:rFonts w:ascii="Cambria Math" w:hAnsi="Cambria Math" w:cs="Arial"/>
                        <w:i/>
                        <w:iCs/>
                      </w:rPr>
                    </m:ctrlPr>
                  </m:sSubPr>
                  <m:e>
                    <m:r>
                      <w:rPr>
                        <w:rFonts w:ascii="Cambria Math" w:hAnsi="Cambria Math" w:cs="Arial"/>
                      </w:rPr>
                      <m:t>EF</m:t>
                    </m:r>
                  </m:e>
                  <m:sub>
                    <m:r>
                      <w:rPr>
                        <w:rFonts w:ascii="Cambria Math" w:hAnsi="Cambria Math" w:cs="Arial"/>
                      </w:rPr>
                      <m:t>EG/C,BL,s,h</m:t>
                    </m:r>
                  </m:sub>
                </m:sSub>
              </m:oMath>
            </m:oMathPara>
          </w:p>
        </w:tc>
        <w:tc>
          <w:tcPr>
            <w:tcW w:w="1559" w:type="dxa"/>
          </w:tcPr>
          <w:p w14:paraId="40EC82F9" w14:textId="78998FF9" w:rsidR="001A649A" w:rsidRPr="00455DCA" w:rsidRDefault="001A649A" w:rsidP="00743A0D">
            <w:pPr>
              <w:pStyle w:val="SDMTableBoxParaNotNumbered"/>
              <w:rPr>
                <w:rFonts w:cs="Arial"/>
              </w:rPr>
            </w:pPr>
            <w:r w:rsidRPr="00455DCA">
              <w:rPr>
                <w:rFonts w:cs="Arial"/>
              </w:rPr>
              <w:t>t CO</w:t>
            </w:r>
            <w:r w:rsidRPr="00455DCA">
              <w:rPr>
                <w:rFonts w:cs="Arial"/>
                <w:vertAlign w:val="subscript"/>
              </w:rPr>
              <w:t>2</w:t>
            </w:r>
            <w:r w:rsidRPr="00455DCA">
              <w:rPr>
                <w:rFonts w:cs="Arial"/>
              </w:rPr>
              <w:t>/MWh</w:t>
            </w:r>
          </w:p>
        </w:tc>
        <w:tc>
          <w:tcPr>
            <w:tcW w:w="5528" w:type="dxa"/>
          </w:tcPr>
          <w:p w14:paraId="4C695682" w14:textId="3C3ECF11" w:rsidR="001A649A" w:rsidRPr="00455DCA" w:rsidRDefault="001A649A" w:rsidP="00743A0D">
            <w:pPr>
              <w:pStyle w:val="SDMTableBoxParaNotNumbered"/>
              <w:rPr>
                <w:rFonts w:cs="Arial"/>
              </w:rPr>
            </w:pPr>
            <w:r w:rsidRPr="00455DCA">
              <w:rPr>
                <w:rFonts w:cs="Arial"/>
              </w:rPr>
              <w:t>Emission factor for electricity generation or consumption by electricity generation or consumption source </w:t>
            </w:r>
            <w:r w:rsidRPr="00455DCA">
              <w:rPr>
                <w:rFonts w:cs="Arial"/>
                <w:i/>
              </w:rPr>
              <w:t>s</w:t>
            </w:r>
            <w:r w:rsidRPr="00455DCA">
              <w:rPr>
                <w:rFonts w:cs="Arial"/>
              </w:rPr>
              <w:t xml:space="preserve"> in the baseline scenario (</w:t>
            </w:r>
            <w:r w:rsidR="00F92F87" w:rsidRPr="00455DCA">
              <w:rPr>
                <w:rFonts w:cs="Arial"/>
              </w:rPr>
              <w:t>case</w:t>
            </w:r>
            <w:r w:rsidR="00877272" w:rsidRPr="00455DCA">
              <w:rPr>
                <w:rFonts w:cs="Arial"/>
              </w:rPr>
              <w:t> </w:t>
            </w:r>
            <w:r w:rsidRPr="00455DCA">
              <w:rPr>
                <w:rFonts w:cs="Arial"/>
              </w:rPr>
              <w:t xml:space="preserve">2) in </w:t>
            </w:r>
            <w:r w:rsidR="00751741" w:rsidRPr="00455DCA">
              <w:rPr>
                <w:rFonts w:cs="Arial"/>
              </w:rPr>
              <w:t>hour </w:t>
            </w:r>
            <w:r w:rsidR="00751741" w:rsidRPr="00455DCA">
              <w:rPr>
                <w:rFonts w:cs="Arial"/>
                <w:i/>
                <w:iCs/>
              </w:rPr>
              <w:t>h</w:t>
            </w:r>
          </w:p>
        </w:tc>
      </w:tr>
      <w:tr w:rsidR="001A649A" w:rsidRPr="00455DCA" w14:paraId="70E56FBF" w14:textId="77777777" w:rsidTr="004A5C65">
        <w:trPr>
          <w:trHeight w:val="300"/>
          <w:jc w:val="right"/>
        </w:trPr>
        <w:tc>
          <w:tcPr>
            <w:tcW w:w="1300" w:type="dxa"/>
          </w:tcPr>
          <w:p w14:paraId="31B84CAA" w14:textId="77777777" w:rsidR="001A649A" w:rsidRPr="00455DCA" w:rsidRDefault="00000000" w:rsidP="00743A0D">
            <w:pPr>
              <w:pStyle w:val="SDMTableBoxParaNotNumbered"/>
              <w:rPr>
                <w:rFonts w:cs="Arial"/>
              </w:rPr>
            </w:pPr>
            <m:oMathPara>
              <m:oMath>
                <m:sSub>
                  <m:sSubPr>
                    <m:ctrlPr>
                      <w:rPr>
                        <w:rFonts w:ascii="Cambria Math" w:hAnsi="Cambria Math" w:cs="Arial"/>
                        <w:i/>
                        <w:iCs/>
                      </w:rPr>
                    </m:ctrlPr>
                  </m:sSubPr>
                  <m:e>
                    <m:r>
                      <w:rPr>
                        <w:rFonts w:ascii="Cambria Math" w:hAnsi="Cambria Math" w:cs="Arial"/>
                      </w:rPr>
                      <m:t>EF</m:t>
                    </m:r>
                  </m:e>
                  <m:sub>
                    <m:r>
                      <w:rPr>
                        <w:rFonts w:ascii="Cambria Math" w:hAnsi="Cambria Math" w:cs="Arial"/>
                      </w:rPr>
                      <m:t>EG/C,PJ,s,h</m:t>
                    </m:r>
                  </m:sub>
                </m:sSub>
              </m:oMath>
            </m:oMathPara>
          </w:p>
        </w:tc>
        <w:tc>
          <w:tcPr>
            <w:tcW w:w="1559" w:type="dxa"/>
          </w:tcPr>
          <w:p w14:paraId="0661EBC8" w14:textId="3CDB1025" w:rsidR="001A649A" w:rsidRPr="00455DCA" w:rsidRDefault="001A649A" w:rsidP="00743A0D">
            <w:pPr>
              <w:pStyle w:val="SDMTableBoxParaNotNumbered"/>
              <w:rPr>
                <w:rFonts w:cs="Arial"/>
              </w:rPr>
            </w:pPr>
            <w:r w:rsidRPr="00455DCA">
              <w:rPr>
                <w:rFonts w:cs="Arial"/>
              </w:rPr>
              <w:t>t CO</w:t>
            </w:r>
            <w:r w:rsidRPr="00455DCA">
              <w:rPr>
                <w:rFonts w:cs="Arial"/>
                <w:vertAlign w:val="subscript"/>
              </w:rPr>
              <w:t>2</w:t>
            </w:r>
            <w:r w:rsidRPr="00455DCA">
              <w:rPr>
                <w:rFonts w:cs="Arial"/>
              </w:rPr>
              <w:t>/MWh</w:t>
            </w:r>
          </w:p>
        </w:tc>
        <w:tc>
          <w:tcPr>
            <w:tcW w:w="5528" w:type="dxa"/>
          </w:tcPr>
          <w:p w14:paraId="759F073C" w14:textId="53D3784F" w:rsidR="001A649A" w:rsidRPr="00455DCA" w:rsidRDefault="001A649A" w:rsidP="00743A0D">
            <w:pPr>
              <w:pStyle w:val="SDMTableBoxParaNotNumbered"/>
              <w:rPr>
                <w:rFonts w:cs="Arial"/>
              </w:rPr>
            </w:pPr>
            <w:r w:rsidRPr="00455DCA">
              <w:rPr>
                <w:rFonts w:cs="Arial"/>
              </w:rPr>
              <w:t>Emission factor for electricity generation or consumption by electricity generation or consumption source </w:t>
            </w:r>
            <w:r w:rsidRPr="00455DCA">
              <w:rPr>
                <w:rFonts w:cs="Arial"/>
                <w:i/>
              </w:rPr>
              <w:t>s</w:t>
            </w:r>
            <w:r w:rsidRPr="00455DCA">
              <w:rPr>
                <w:rFonts w:cs="Arial"/>
              </w:rPr>
              <w:t xml:space="preserve"> in the project scenario (</w:t>
            </w:r>
            <w:r w:rsidR="00F92F87" w:rsidRPr="00455DCA">
              <w:rPr>
                <w:rFonts w:cs="Arial"/>
              </w:rPr>
              <w:t>case</w:t>
            </w:r>
            <w:r w:rsidR="00877272" w:rsidRPr="00455DCA">
              <w:rPr>
                <w:rFonts w:cs="Arial"/>
              </w:rPr>
              <w:t> </w:t>
            </w:r>
            <w:r w:rsidRPr="00455DCA">
              <w:rPr>
                <w:rFonts w:cs="Arial"/>
              </w:rPr>
              <w:t>1) in</w:t>
            </w:r>
            <w:r w:rsidRPr="00455DCA">
              <w:rPr>
                <w:rFonts w:cs="Arial"/>
                <w:i/>
              </w:rPr>
              <w:t xml:space="preserve"> </w:t>
            </w:r>
            <w:r w:rsidR="00751741" w:rsidRPr="00455DCA">
              <w:rPr>
                <w:rFonts w:cs="Arial"/>
              </w:rPr>
              <w:t>hour </w:t>
            </w:r>
            <w:r w:rsidR="00751741" w:rsidRPr="00455DCA">
              <w:rPr>
                <w:rFonts w:cs="Arial"/>
                <w:i/>
                <w:iCs/>
              </w:rPr>
              <w:t>h</w:t>
            </w:r>
          </w:p>
        </w:tc>
      </w:tr>
    </w:tbl>
    <w:p w14:paraId="2CFCE268" w14:textId="77777777" w:rsidR="00FB671C" w:rsidRPr="00B01EB5" w:rsidRDefault="00FB671C">
      <w:pPr>
        <w:pStyle w:val="SDMHead2"/>
      </w:pPr>
      <w:bookmarkStart w:id="71" w:name="_Toc212389896"/>
      <w:bookmarkStart w:id="72" w:name="_Toc215208590"/>
      <w:bookmarkStart w:id="73" w:name="_Toc215216109"/>
      <w:bookmarkStart w:id="74" w:name="_Toc215222845"/>
      <w:bookmarkStart w:id="75" w:name="_Toc215223033"/>
      <w:bookmarkStart w:id="76" w:name="_Toc215223255"/>
      <w:bookmarkStart w:id="77" w:name="_Toc215574877"/>
      <w:bookmarkStart w:id="78" w:name="_Toc215579091"/>
      <w:bookmarkStart w:id="79" w:name="_Toc215923316"/>
      <w:bookmarkStart w:id="80" w:name="_Toc216093012"/>
      <w:bookmarkStart w:id="81" w:name="_Toc216271741"/>
      <w:bookmarkStart w:id="82" w:name="_Toc216279358"/>
      <w:bookmarkStart w:id="83" w:name="_Toc216283396"/>
      <w:bookmarkStart w:id="84" w:name="_Toc216288014"/>
      <w:bookmarkStart w:id="85" w:name="_Toc219666121"/>
      <w:bookmarkStart w:id="86" w:name="_Toc220001382"/>
      <w:bookmarkStart w:id="87" w:name="_Toc221096405"/>
      <w:bookmarkStart w:id="88" w:name="_Toc221097957"/>
      <w:bookmarkStart w:id="89" w:name="_Toc221116253"/>
      <w:bookmarkStart w:id="90" w:name="_Toc221117269"/>
      <w:bookmarkStart w:id="91" w:name="_Toc222132107"/>
      <w:bookmarkStart w:id="92" w:name="_Toc222494908"/>
      <w:bookmarkStart w:id="93" w:name="_Toc222512424"/>
      <w:bookmarkStart w:id="94" w:name="_Toc222741744"/>
      <w:r w:rsidRPr="00B01EB5">
        <w:t>Entry into force</w:t>
      </w:r>
      <w:r w:rsidR="005D5433" w:rsidRPr="00B01EB5">
        <w:t xml:space="preserve"> and validity</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7C867889" w14:textId="5B6A9EBB" w:rsidR="00FB191F" w:rsidRPr="005429CA" w:rsidRDefault="00031944">
      <w:pPr>
        <w:pStyle w:val="SDMPara"/>
      </w:pPr>
      <w:r w:rsidRPr="00B01EB5">
        <w:t xml:space="preserve">This </w:t>
      </w:r>
      <w:r w:rsidR="0018036E" w:rsidRPr="00B01EB5">
        <w:t xml:space="preserve">methodological tool </w:t>
      </w:r>
      <w:r w:rsidRPr="00B01EB5">
        <w:t xml:space="preserve">enters into force </w:t>
      </w:r>
      <w:r w:rsidRPr="005429CA">
        <w:t>on</w:t>
      </w:r>
      <w:r w:rsidR="00371369" w:rsidRPr="005429CA">
        <w:t xml:space="preserve"> 20 February 2026</w:t>
      </w:r>
      <w:r w:rsidR="000A52C8" w:rsidRPr="005429CA">
        <w:t>.</w:t>
      </w:r>
    </w:p>
    <w:p w14:paraId="4DCB07EB" w14:textId="435EA20A" w:rsidR="00FB671C" w:rsidRPr="00B01EB5" w:rsidRDefault="00FB191F">
      <w:pPr>
        <w:pStyle w:val="SDMPara"/>
      </w:pPr>
      <w:r w:rsidRPr="005429CA">
        <w:t>This methodological tool</w:t>
      </w:r>
      <w:r w:rsidR="00031944" w:rsidRPr="005429CA">
        <w:t xml:space="preserve"> </w:t>
      </w:r>
      <w:r w:rsidR="001C6D08" w:rsidRPr="005429CA">
        <w:t xml:space="preserve">remains </w:t>
      </w:r>
      <w:r w:rsidR="00031944" w:rsidRPr="005429CA">
        <w:t xml:space="preserve">valid for five years, until </w:t>
      </w:r>
      <w:r w:rsidR="00371369" w:rsidRPr="005429CA">
        <w:t>19 February 2031</w:t>
      </w:r>
      <w:r w:rsidR="002E1BF7" w:rsidRPr="005429CA">
        <w:t>,</w:t>
      </w:r>
      <w:r w:rsidR="002E1BF7" w:rsidRPr="00B01EB5">
        <w:t xml:space="preserve"> unless an earlier date applies if the</w:t>
      </w:r>
      <w:r w:rsidR="0026592A" w:rsidRPr="00B01EB5">
        <w:t xml:space="preserve"> </w:t>
      </w:r>
      <w:r w:rsidR="00031944" w:rsidRPr="00B01EB5">
        <w:t xml:space="preserve">methodological tool </w:t>
      </w:r>
      <w:r w:rsidR="002E1BF7" w:rsidRPr="00B01EB5">
        <w:t>is</w:t>
      </w:r>
      <w:r w:rsidR="001C6D08" w:rsidRPr="00B01EB5">
        <w:t xml:space="preserve"> </w:t>
      </w:r>
      <w:r w:rsidR="00031944" w:rsidRPr="00B01EB5">
        <w:t>revised or withdrawn in accordance with the “</w:t>
      </w:r>
      <w:r w:rsidR="00FA7734" w:rsidRPr="00B01EB5">
        <w:t xml:space="preserve">Procedure: </w:t>
      </w:r>
      <w:r w:rsidR="00031944" w:rsidRPr="00B01EB5">
        <w:t>Development, revision and clarification of methodologies and methodological tools” (A6.4-PROC-METH-001</w:t>
      </w:r>
      <w:r w:rsidR="00513429" w:rsidRPr="00B01EB5">
        <w:t>).</w:t>
      </w:r>
      <w:r w:rsidR="009B336B">
        <w:rPr>
          <w:rStyle w:val="FootnoteReference"/>
        </w:rPr>
        <w:footnoteReference w:id="3"/>
      </w:r>
    </w:p>
    <w:p w14:paraId="00FBAECC" w14:textId="77777777" w:rsidR="00FB671C" w:rsidRPr="00B01EB5" w:rsidRDefault="00FB671C">
      <w:pPr>
        <w:pStyle w:val="SDMHead1"/>
      </w:pPr>
      <w:bookmarkStart w:id="95" w:name="_Toc478738156"/>
      <w:bookmarkStart w:id="96" w:name="_Toc202965396"/>
      <w:bookmarkStart w:id="97" w:name="_Toc212389897"/>
      <w:bookmarkStart w:id="98" w:name="_Toc215208591"/>
      <w:bookmarkStart w:id="99" w:name="_Toc215216110"/>
      <w:bookmarkStart w:id="100" w:name="_Toc215222846"/>
      <w:bookmarkStart w:id="101" w:name="_Toc215223034"/>
      <w:bookmarkStart w:id="102" w:name="_Toc215223256"/>
      <w:bookmarkStart w:id="103" w:name="_Toc215574878"/>
      <w:bookmarkStart w:id="104" w:name="_Toc215579092"/>
      <w:bookmarkStart w:id="105" w:name="_Toc215923317"/>
      <w:bookmarkStart w:id="106" w:name="_Toc216093013"/>
      <w:bookmarkStart w:id="107" w:name="_Toc216271742"/>
      <w:bookmarkStart w:id="108" w:name="_Toc216279359"/>
      <w:bookmarkStart w:id="109" w:name="_Toc216283397"/>
      <w:bookmarkStart w:id="110" w:name="_Toc216288015"/>
      <w:bookmarkStart w:id="111" w:name="_Toc219666122"/>
      <w:bookmarkStart w:id="112" w:name="_Toc220001383"/>
      <w:bookmarkStart w:id="113" w:name="_Toc221096406"/>
      <w:bookmarkStart w:id="114" w:name="_Toc221097958"/>
      <w:bookmarkStart w:id="115" w:name="_Toc221116254"/>
      <w:bookmarkStart w:id="116" w:name="_Toc221117270"/>
      <w:bookmarkStart w:id="117" w:name="_Toc222132108"/>
      <w:bookmarkStart w:id="118" w:name="_Toc222494909"/>
      <w:bookmarkStart w:id="119" w:name="_Toc222512425"/>
      <w:bookmarkStart w:id="120" w:name="_Toc222741745"/>
      <w:r w:rsidRPr="00B01EB5">
        <w:t>Definitions</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526D7537" w14:textId="77777777" w:rsidR="00F8655A" w:rsidRPr="00B01EB5" w:rsidRDefault="00F8655A">
      <w:pPr>
        <w:pStyle w:val="SDMHead2"/>
      </w:pPr>
      <w:bookmarkStart w:id="121" w:name="_Toc212389898"/>
      <w:bookmarkStart w:id="122" w:name="_Toc215208592"/>
      <w:bookmarkStart w:id="123" w:name="_Toc215216111"/>
      <w:bookmarkStart w:id="124" w:name="_Toc215222847"/>
      <w:bookmarkStart w:id="125" w:name="_Toc215223035"/>
      <w:bookmarkStart w:id="126" w:name="_Toc215223257"/>
      <w:bookmarkStart w:id="127" w:name="_Toc215574879"/>
      <w:bookmarkStart w:id="128" w:name="_Toc215579093"/>
      <w:bookmarkStart w:id="129" w:name="_Toc215923318"/>
      <w:bookmarkStart w:id="130" w:name="_Toc216093014"/>
      <w:bookmarkStart w:id="131" w:name="_Toc216271743"/>
      <w:bookmarkStart w:id="132" w:name="_Toc216279360"/>
      <w:bookmarkStart w:id="133" w:name="_Toc216283398"/>
      <w:bookmarkStart w:id="134" w:name="_Toc216288016"/>
      <w:bookmarkStart w:id="135" w:name="_Toc219666123"/>
      <w:bookmarkStart w:id="136" w:name="_Toc220001384"/>
      <w:bookmarkStart w:id="137" w:name="_Toc221096407"/>
      <w:bookmarkStart w:id="138" w:name="_Toc221097959"/>
      <w:bookmarkStart w:id="139" w:name="_Toc221116255"/>
      <w:bookmarkStart w:id="140" w:name="_Toc221117271"/>
      <w:bookmarkStart w:id="141" w:name="_Toc222132109"/>
      <w:bookmarkStart w:id="142" w:name="_Toc222494910"/>
      <w:bookmarkStart w:id="143" w:name="_Toc222512426"/>
      <w:bookmarkStart w:id="144" w:name="_Toc222741746"/>
      <w:r w:rsidRPr="00B01EB5">
        <w:t>General terms</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4C36A628" w14:textId="1B19B5F3" w:rsidR="00E97066" w:rsidRPr="00B01EB5" w:rsidRDefault="00E97066" w:rsidP="00C72647">
      <w:pPr>
        <w:pStyle w:val="SDMPara"/>
        <w:keepNext/>
      </w:pPr>
      <w:r w:rsidRPr="00B01EB5">
        <w:t xml:space="preserve">The following general terms are applied to </w:t>
      </w:r>
      <w:r w:rsidR="00CE5D0A" w:rsidRPr="00B01EB5">
        <w:t xml:space="preserve">the </w:t>
      </w:r>
      <w:r w:rsidRPr="00B01EB5">
        <w:t>methodological tool:</w:t>
      </w:r>
    </w:p>
    <w:p w14:paraId="67913667" w14:textId="3E1F0675" w:rsidR="00F8655A" w:rsidRPr="00B01EB5" w:rsidRDefault="00F8655A">
      <w:pPr>
        <w:pStyle w:val="SDMSubPara1"/>
      </w:pPr>
      <w:r w:rsidRPr="00B01EB5">
        <w:t>"Shall" is used to indicate requirements that must be followed;</w:t>
      </w:r>
    </w:p>
    <w:p w14:paraId="48E10082" w14:textId="48666497" w:rsidR="00F8655A" w:rsidRPr="00B01EB5" w:rsidRDefault="00F8655A">
      <w:pPr>
        <w:pStyle w:val="SDMSubPara1"/>
      </w:pPr>
      <w:r w:rsidRPr="00B01EB5">
        <w:t>"Should" is used to indicate that, among several options, one course of action is recommended as particularly suitable;</w:t>
      </w:r>
      <w:r w:rsidR="00E30F04" w:rsidRPr="00B01EB5">
        <w:t xml:space="preserve"> and</w:t>
      </w:r>
    </w:p>
    <w:p w14:paraId="7ADD5510" w14:textId="176B0A7E" w:rsidR="00F8655A" w:rsidRPr="00B01EB5" w:rsidRDefault="00F8655A">
      <w:pPr>
        <w:pStyle w:val="SDMSubPara1"/>
      </w:pPr>
      <w:r w:rsidRPr="00B01EB5">
        <w:t>"May" is used to indicate what is permitted</w:t>
      </w:r>
      <w:r w:rsidR="00491495" w:rsidRPr="00B01EB5">
        <w:t>.</w:t>
      </w:r>
    </w:p>
    <w:p w14:paraId="18153EDA" w14:textId="451B9A56" w:rsidR="00F8655A" w:rsidRPr="00B01EB5" w:rsidRDefault="00E97066">
      <w:pPr>
        <w:pStyle w:val="SDMHead2"/>
      </w:pPr>
      <w:bookmarkStart w:id="145" w:name="_Toc212389899"/>
      <w:bookmarkStart w:id="146" w:name="_Toc215208593"/>
      <w:bookmarkStart w:id="147" w:name="_Toc215216112"/>
      <w:bookmarkStart w:id="148" w:name="_Toc215222848"/>
      <w:bookmarkStart w:id="149" w:name="_Toc215223036"/>
      <w:bookmarkStart w:id="150" w:name="_Toc215223258"/>
      <w:bookmarkStart w:id="151" w:name="_Toc215574880"/>
      <w:bookmarkStart w:id="152" w:name="_Toc215579094"/>
      <w:bookmarkStart w:id="153" w:name="_Toc215923319"/>
      <w:bookmarkStart w:id="154" w:name="_Toc216093015"/>
      <w:bookmarkStart w:id="155" w:name="_Toc216271744"/>
      <w:bookmarkStart w:id="156" w:name="_Toc216279361"/>
      <w:bookmarkStart w:id="157" w:name="_Toc216283399"/>
      <w:bookmarkStart w:id="158" w:name="_Toc216288017"/>
      <w:bookmarkStart w:id="159" w:name="_Toc219666124"/>
      <w:bookmarkStart w:id="160" w:name="_Toc220001385"/>
      <w:bookmarkStart w:id="161" w:name="_Toc221096408"/>
      <w:bookmarkStart w:id="162" w:name="_Toc221097960"/>
      <w:bookmarkStart w:id="163" w:name="_Toc221116256"/>
      <w:bookmarkStart w:id="164" w:name="_Toc221117272"/>
      <w:bookmarkStart w:id="165" w:name="_Toc222132110"/>
      <w:bookmarkStart w:id="166" w:name="_Toc222494911"/>
      <w:bookmarkStart w:id="167" w:name="_Toc222512427"/>
      <w:bookmarkStart w:id="168" w:name="_Toc222741747"/>
      <w:r w:rsidRPr="00B01EB5">
        <w:t xml:space="preserve">Methodological </w:t>
      </w:r>
      <w:r w:rsidR="00F8655A" w:rsidRPr="00B01EB5">
        <w:t>terms</w:t>
      </w:r>
      <w:r w:rsidR="00A50145" w:rsidRPr="00B01EB5">
        <w:t xml:space="preserve"> and definitions</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0218E460" w14:textId="00B36B60" w:rsidR="00385735" w:rsidRPr="00B01EB5" w:rsidRDefault="00385735" w:rsidP="00C72647">
      <w:pPr>
        <w:pStyle w:val="SDMPara"/>
        <w:keepNext/>
      </w:pPr>
      <w:r w:rsidRPr="00B01EB5">
        <w:t xml:space="preserve">The following methodological terms and definitions are applied to </w:t>
      </w:r>
      <w:r w:rsidR="00AA0453" w:rsidRPr="00B01EB5">
        <w:t xml:space="preserve">the </w:t>
      </w:r>
      <w:r w:rsidRPr="00B01EB5">
        <w:t>methodological tool:</w:t>
      </w:r>
    </w:p>
    <w:p w14:paraId="0FFDECAD" w14:textId="224437C9" w:rsidR="005D03EF" w:rsidRPr="00B01EB5" w:rsidRDefault="000B7AA1">
      <w:pPr>
        <w:pStyle w:val="SDMSubPara1"/>
      </w:pPr>
      <w:r w:rsidRPr="00611017">
        <w:rPr>
          <w:b/>
          <w:bCs/>
        </w:rPr>
        <w:t>Connected electricity system:</w:t>
      </w:r>
      <w:r w:rsidRPr="00B01EB5">
        <w:t xml:space="preserve"> </w:t>
      </w:r>
      <w:r w:rsidR="009633AE">
        <w:t>A</w:t>
      </w:r>
      <w:r w:rsidR="00567ED9" w:rsidRPr="00B01EB5">
        <w:t xml:space="preserve">n </w:t>
      </w:r>
      <w:r w:rsidRPr="00B01EB5">
        <w:t>electricity system that is connected by transmission lines to the project electricity system;</w:t>
      </w:r>
    </w:p>
    <w:p w14:paraId="1B6D6C5D" w14:textId="2E1CE34D" w:rsidR="002F37B7" w:rsidRPr="00B01EB5" w:rsidRDefault="002F37B7">
      <w:pPr>
        <w:pStyle w:val="SDMSubPara1"/>
      </w:pPr>
      <w:r w:rsidRPr="00B01EB5">
        <w:rPr>
          <w:b/>
          <w:bCs/>
        </w:rPr>
        <w:t>Dispatch area</w:t>
      </w:r>
      <w:r w:rsidRPr="00B01EB5">
        <w:t xml:space="preserve">: </w:t>
      </w:r>
      <w:r w:rsidR="009633AE">
        <w:t>A</w:t>
      </w:r>
      <w:r w:rsidR="00567ED9" w:rsidRPr="00B01EB5">
        <w:t xml:space="preserve">n </w:t>
      </w:r>
      <w:r w:rsidRPr="00B01EB5">
        <w:t>electricity system or a part of the electricity system controlled by a dispatch centre. A</w:t>
      </w:r>
      <w:r w:rsidR="00735544" w:rsidRPr="00B01EB5">
        <w:t>n</w:t>
      </w:r>
      <w:r w:rsidRPr="00B01EB5">
        <w:t xml:space="preserve"> electricity system </w:t>
      </w:r>
      <w:r w:rsidR="000A31F5" w:rsidRPr="00B01EB5">
        <w:t>can</w:t>
      </w:r>
      <w:r w:rsidR="005959FA" w:rsidRPr="00B01EB5">
        <w:t xml:space="preserve"> </w:t>
      </w:r>
      <w:r w:rsidRPr="00B01EB5">
        <w:t xml:space="preserve">be controlled by </w:t>
      </w:r>
      <w:r w:rsidR="004B0CFD" w:rsidRPr="00B01EB5">
        <w:t>several</w:t>
      </w:r>
      <w:r w:rsidRPr="00B01EB5">
        <w:t xml:space="preserve"> dispatch centre</w:t>
      </w:r>
      <w:r w:rsidR="004B0CFD" w:rsidRPr="00B01EB5">
        <w:t>s</w:t>
      </w:r>
      <w:r w:rsidRPr="00B01EB5">
        <w:t xml:space="preserve"> that are organized </w:t>
      </w:r>
      <w:r w:rsidR="00A65759" w:rsidRPr="00B01EB5">
        <w:t xml:space="preserve">as </w:t>
      </w:r>
      <w:r w:rsidRPr="00B01EB5">
        <w:t>layered dispatch area</w:t>
      </w:r>
      <w:r w:rsidR="00A65759" w:rsidRPr="00B01EB5">
        <w:t>s</w:t>
      </w:r>
      <w:r w:rsidRPr="00B01EB5">
        <w:t xml:space="preserve"> or </w:t>
      </w:r>
      <w:r w:rsidR="008F3805" w:rsidRPr="00B01EB5">
        <w:t>by a single dispatch</w:t>
      </w:r>
      <w:r w:rsidR="003C1F14" w:rsidRPr="00B01EB5">
        <w:t xml:space="preserve"> centre</w:t>
      </w:r>
      <w:r w:rsidRPr="00B01EB5">
        <w:t xml:space="preserve">. An example of a layered dispatch area </w:t>
      </w:r>
      <w:r w:rsidR="00FE6CF4" w:rsidRPr="00B01EB5">
        <w:t>is one in which</w:t>
      </w:r>
      <w:r w:rsidRPr="00B01EB5">
        <w:t xml:space="preserve"> regional dispatch centres are required to comply with orders of </w:t>
      </w:r>
      <w:r w:rsidR="003B1F68" w:rsidRPr="00B01EB5">
        <w:t xml:space="preserve">a </w:t>
      </w:r>
      <w:r w:rsidR="00D66C61" w:rsidRPr="00B01EB5">
        <w:t>higher</w:t>
      </w:r>
      <w:r w:rsidR="7C69EA82" w:rsidRPr="00B01EB5">
        <w:t>-</w:t>
      </w:r>
      <w:r w:rsidR="00D66C61" w:rsidRPr="00B01EB5">
        <w:t xml:space="preserve">level </w:t>
      </w:r>
      <w:r w:rsidRPr="00B01EB5">
        <w:t>dispatch centre</w:t>
      </w:r>
      <w:r w:rsidR="00A23D18" w:rsidRPr="00B01EB5">
        <w:t xml:space="preserve"> (e.g.</w:t>
      </w:r>
      <w:r w:rsidR="3D2A5E3F" w:rsidRPr="00B01EB5">
        <w:t>,</w:t>
      </w:r>
      <w:r w:rsidR="00A23D18" w:rsidRPr="00B01EB5">
        <w:t xml:space="preserve"> a national or transboundary dispatch cent</w:t>
      </w:r>
      <w:r w:rsidR="000161F1" w:rsidRPr="00B01EB5">
        <w:t>re</w:t>
      </w:r>
      <w:r w:rsidR="00A23D18" w:rsidRPr="00B01EB5">
        <w:t>)</w:t>
      </w:r>
      <w:r w:rsidR="006E6F8C" w:rsidRPr="00B01EB5">
        <w:t>;</w:t>
      </w:r>
    </w:p>
    <w:p w14:paraId="4FE2E927" w14:textId="2548CD2D" w:rsidR="002F37B7" w:rsidRPr="00B01EB5" w:rsidRDefault="002F37B7">
      <w:pPr>
        <w:pStyle w:val="SDMSubPara1"/>
      </w:pPr>
      <w:r w:rsidRPr="00B01EB5">
        <w:rPr>
          <w:b/>
          <w:bCs/>
        </w:rPr>
        <w:t>Dispatch centre:</w:t>
      </w:r>
      <w:r w:rsidRPr="00B01EB5">
        <w:t xml:space="preserve"> </w:t>
      </w:r>
      <w:r w:rsidR="009633AE">
        <w:t>A</w:t>
      </w:r>
      <w:r w:rsidR="00567ED9" w:rsidRPr="00B01EB5">
        <w:t xml:space="preserve">n </w:t>
      </w:r>
      <w:r w:rsidRPr="00B01EB5">
        <w:t xml:space="preserve">entity responsible for </w:t>
      </w:r>
      <w:r w:rsidR="00FE6CF4" w:rsidRPr="00B01EB5">
        <w:t>maintaining</w:t>
      </w:r>
      <w:r w:rsidR="009D413B" w:rsidRPr="00B01EB5">
        <w:t xml:space="preserve"> synchronization of the electricity system</w:t>
      </w:r>
      <w:r w:rsidRPr="00B01EB5">
        <w:t xml:space="preserve"> within its dispatch area. The dispatch centre</w:t>
      </w:r>
      <w:r w:rsidR="375627EF" w:rsidRPr="00B01EB5">
        <w:t>’s</w:t>
      </w:r>
      <w:r w:rsidRPr="00B01EB5">
        <w:t xml:space="preserve"> responsibilities include scheduling generation and dispatching electricity from power plants to customers and, where applicable, to connected electricity system(s);</w:t>
      </w:r>
    </w:p>
    <w:p w14:paraId="4F174DF1" w14:textId="20A57E56" w:rsidR="00C04ACD" w:rsidRPr="00B01EB5" w:rsidRDefault="00C04ACD">
      <w:pPr>
        <w:pStyle w:val="SDMSubPara1"/>
      </w:pPr>
      <w:r w:rsidRPr="00B01EB5">
        <w:rPr>
          <w:b/>
          <w:bCs/>
        </w:rPr>
        <w:t xml:space="preserve">Electricity consumption </w:t>
      </w:r>
      <w:r w:rsidR="00B369A0" w:rsidRPr="00B01EB5">
        <w:rPr>
          <w:b/>
          <w:bCs/>
        </w:rPr>
        <w:t>source</w:t>
      </w:r>
      <w:r w:rsidRPr="00B01EB5">
        <w:rPr>
          <w:b/>
          <w:bCs/>
        </w:rPr>
        <w:t>:</w:t>
      </w:r>
      <w:r w:rsidRPr="00B01EB5">
        <w:t xml:space="preserve"> </w:t>
      </w:r>
      <w:r w:rsidR="009633AE">
        <w:t xml:space="preserve">The </w:t>
      </w:r>
      <w:r w:rsidR="00567ED9" w:rsidRPr="00B01EB5">
        <w:t xml:space="preserve">electric </w:t>
      </w:r>
      <w:r w:rsidRPr="00B01EB5">
        <w:t>equipment (e.g.</w:t>
      </w:r>
      <w:r w:rsidR="709FB2BC" w:rsidRPr="00B01EB5">
        <w:t>,</w:t>
      </w:r>
      <w:r w:rsidRPr="00B01EB5">
        <w:t xml:space="preserve"> pumps, electric motors, blowers, etc</w:t>
      </w:r>
      <w:r w:rsidR="000F0669" w:rsidRPr="00B01EB5">
        <w:t>.</w:t>
      </w:r>
      <w:r w:rsidRPr="00B01EB5">
        <w:t>) and</w:t>
      </w:r>
      <w:r w:rsidR="00E8418E" w:rsidRPr="00B01EB5">
        <w:t>/or</w:t>
      </w:r>
      <w:r w:rsidRPr="00B01EB5">
        <w:t xml:space="preserve"> electric appliances that consume electricity from </w:t>
      </w:r>
      <w:r w:rsidR="00BA1668" w:rsidRPr="00B01EB5">
        <w:t>an</w:t>
      </w:r>
      <w:r w:rsidRPr="00B01EB5">
        <w:t xml:space="preserve"> electric</w:t>
      </w:r>
      <w:r w:rsidR="00BA1668" w:rsidRPr="00B01EB5">
        <w:t>ity</w:t>
      </w:r>
      <w:r w:rsidRPr="00B01EB5">
        <w:t xml:space="preserve"> system </w:t>
      </w:r>
      <w:r w:rsidR="00273FF7" w:rsidRPr="00B01EB5">
        <w:t>and</w:t>
      </w:r>
      <w:r w:rsidR="004E24AF" w:rsidRPr="00B01EB5">
        <w:t>/</w:t>
      </w:r>
      <w:r w:rsidRPr="00B01EB5">
        <w:t>or from captive power plant(s)</w:t>
      </w:r>
      <w:r w:rsidR="00BA1668" w:rsidRPr="00B01EB5">
        <w:t>/unit(s)</w:t>
      </w:r>
      <w:r w:rsidRPr="00B01EB5">
        <w:t>;</w:t>
      </w:r>
    </w:p>
    <w:p w14:paraId="4C15E90C" w14:textId="332CF180" w:rsidR="00B9635E" w:rsidRPr="00B01EB5" w:rsidRDefault="00B9635E">
      <w:pPr>
        <w:pStyle w:val="SDMSubPara1"/>
      </w:pPr>
      <w:r w:rsidRPr="00B01EB5">
        <w:rPr>
          <w:b/>
          <w:bCs/>
        </w:rPr>
        <w:t>Electricity consumption source depending on intermittent generation:</w:t>
      </w:r>
      <w:r w:rsidRPr="00B01EB5">
        <w:t xml:space="preserve"> </w:t>
      </w:r>
      <w:r w:rsidR="009633AE">
        <w:t>A</w:t>
      </w:r>
      <w:r w:rsidR="00567ED9" w:rsidRPr="00B01EB5">
        <w:t xml:space="preserve">n </w:t>
      </w:r>
      <w:r w:rsidRPr="00B01EB5">
        <w:t xml:space="preserve">electricity consumption source where the pattern of electricity consumption </w:t>
      </w:r>
      <w:r w:rsidR="00234F98" w:rsidRPr="00B01EB5">
        <w:t xml:space="preserve">from the electricity system or a third party </w:t>
      </w:r>
      <w:r w:rsidRPr="00B01EB5">
        <w:t>depends on the availability of intermittent electricity supply</w:t>
      </w:r>
      <w:r w:rsidR="00CD7E9D" w:rsidRPr="00B01EB5">
        <w:t>;</w:t>
      </w:r>
      <w:r w:rsidR="009B336B">
        <w:rPr>
          <w:rStyle w:val="FootnoteReference"/>
        </w:rPr>
        <w:footnoteReference w:id="4"/>
      </w:r>
    </w:p>
    <w:p w14:paraId="7F9A4AAC" w14:textId="4CFBF115" w:rsidR="00C04ACD" w:rsidRPr="00B01EB5" w:rsidRDefault="00C04ACD">
      <w:pPr>
        <w:pStyle w:val="SDMSubPara1"/>
      </w:pPr>
      <w:r w:rsidRPr="00B01EB5">
        <w:rPr>
          <w:b/>
          <w:bCs/>
        </w:rPr>
        <w:t xml:space="preserve">Electricity generation </w:t>
      </w:r>
      <w:r w:rsidR="005F4D33" w:rsidRPr="00B01EB5">
        <w:rPr>
          <w:b/>
          <w:bCs/>
        </w:rPr>
        <w:t>source</w:t>
      </w:r>
      <w:r w:rsidRPr="00B01EB5">
        <w:rPr>
          <w:b/>
          <w:bCs/>
        </w:rPr>
        <w:t>:</w:t>
      </w:r>
      <w:r w:rsidRPr="00B01EB5">
        <w:t xml:space="preserve"> </w:t>
      </w:r>
      <w:r w:rsidR="009633AE">
        <w:t xml:space="preserve">The </w:t>
      </w:r>
      <w:r w:rsidR="00567ED9" w:rsidRPr="00B01EB5">
        <w:t xml:space="preserve">power </w:t>
      </w:r>
      <w:r w:rsidRPr="00B01EB5">
        <w:t>plant</w:t>
      </w:r>
      <w:r w:rsidR="00A406D5" w:rsidRPr="00B01EB5">
        <w:t xml:space="preserve">(s)/unit(s) that are </w:t>
      </w:r>
      <w:r w:rsidR="00A20E79" w:rsidRPr="00B01EB5">
        <w:t xml:space="preserve">connected to </w:t>
      </w:r>
      <w:r w:rsidR="00FD7F9F" w:rsidRPr="00B01EB5">
        <w:t>an</w:t>
      </w:r>
      <w:r w:rsidR="00A20E79" w:rsidRPr="00B01EB5">
        <w:t xml:space="preserve"> electric</w:t>
      </w:r>
      <w:r w:rsidR="00FD7F9F" w:rsidRPr="00B01EB5">
        <w:t>ity</w:t>
      </w:r>
      <w:r w:rsidR="00A20E79" w:rsidRPr="00B01EB5">
        <w:t xml:space="preserve"> system</w:t>
      </w:r>
      <w:r w:rsidR="00FD7F9F" w:rsidRPr="00B01EB5">
        <w:t xml:space="preserve"> or operate as captive power plant(s)/unit(s)</w:t>
      </w:r>
      <w:r w:rsidR="00A20E79" w:rsidRPr="00B01EB5">
        <w:t xml:space="preserve">) </w:t>
      </w:r>
      <w:r w:rsidRPr="00B01EB5">
        <w:t>in the baseline or in the project scenarios;</w:t>
      </w:r>
    </w:p>
    <w:p w14:paraId="5D2F961A" w14:textId="5E399470" w:rsidR="00BF569A" w:rsidRPr="00B01EB5" w:rsidRDefault="006025F5">
      <w:pPr>
        <w:pStyle w:val="SDMSubPara1"/>
      </w:pPr>
      <w:r w:rsidRPr="00B01EB5">
        <w:rPr>
          <w:b/>
          <w:bCs/>
        </w:rPr>
        <w:t xml:space="preserve">Intermittent </w:t>
      </w:r>
      <w:r w:rsidR="00F44EC8" w:rsidRPr="00B01EB5">
        <w:rPr>
          <w:b/>
          <w:bCs/>
        </w:rPr>
        <w:t>electricity generation</w:t>
      </w:r>
      <w:r w:rsidRPr="00B01EB5">
        <w:rPr>
          <w:b/>
          <w:bCs/>
        </w:rPr>
        <w:t xml:space="preserve"> source</w:t>
      </w:r>
      <w:r w:rsidR="00BF569A" w:rsidRPr="00B01EB5">
        <w:rPr>
          <w:b/>
          <w:bCs/>
        </w:rPr>
        <w:t>:</w:t>
      </w:r>
      <w:r w:rsidR="00BF569A" w:rsidRPr="00B01EB5">
        <w:t xml:space="preserve"> </w:t>
      </w:r>
      <w:r w:rsidR="009633AE">
        <w:t>A</w:t>
      </w:r>
      <w:r w:rsidR="009633AE" w:rsidRPr="00B01EB5">
        <w:t xml:space="preserve"> </w:t>
      </w:r>
      <w:r w:rsidRPr="00B01EB5">
        <w:t xml:space="preserve">renewable energy power plant/unit </w:t>
      </w:r>
      <w:r w:rsidR="008616CD" w:rsidRPr="00B01EB5">
        <w:t xml:space="preserve">where the pattern of electricity generation depends on natural, uncontrollable, and variable inputs such as sunlight, wind, </w:t>
      </w:r>
      <w:r w:rsidR="00504985" w:rsidRPr="00B01EB5">
        <w:t xml:space="preserve">tides, </w:t>
      </w:r>
      <w:r w:rsidR="008616CD" w:rsidRPr="00B01EB5">
        <w:t xml:space="preserve">or wave action. </w:t>
      </w:r>
      <w:r w:rsidR="00CB2408" w:rsidRPr="00B01EB5">
        <w:t>T</w:t>
      </w:r>
      <w:r w:rsidR="008616CD" w:rsidRPr="00B01EB5">
        <w:t xml:space="preserve">his </w:t>
      </w:r>
      <w:r w:rsidR="2F7FF669" w:rsidRPr="00B01EB5">
        <w:t>typically</w:t>
      </w:r>
      <w:r w:rsidR="008616CD" w:rsidRPr="00B01EB5">
        <w:t xml:space="preserve"> applies to wind</w:t>
      </w:r>
      <w:r w:rsidR="7A1A1C08" w:rsidRPr="00B01EB5">
        <w:t>,</w:t>
      </w:r>
      <w:r w:rsidR="008616CD" w:rsidRPr="00B01EB5">
        <w:t xml:space="preserve"> solar</w:t>
      </w:r>
      <w:r w:rsidR="00776E2C" w:rsidRPr="00B01EB5">
        <w:t>, tidal</w:t>
      </w:r>
      <w:r w:rsidR="008514C1" w:rsidRPr="00B01EB5">
        <w:t>,</w:t>
      </w:r>
      <w:r w:rsidR="008616CD" w:rsidRPr="00B01EB5">
        <w:t xml:space="preserve"> </w:t>
      </w:r>
      <w:r w:rsidR="383195F1" w:rsidRPr="00B01EB5">
        <w:t xml:space="preserve">and wave </w:t>
      </w:r>
      <w:r w:rsidR="008616CD" w:rsidRPr="00B01EB5">
        <w:t>power plants</w:t>
      </w:r>
      <w:r w:rsidR="09716DCB" w:rsidRPr="00B01EB5">
        <w:t>, etc</w:t>
      </w:r>
      <w:r w:rsidR="008616CD" w:rsidRPr="00B01EB5">
        <w:t>.;</w:t>
      </w:r>
    </w:p>
    <w:p w14:paraId="07364108" w14:textId="62007DD4" w:rsidR="002F2563" w:rsidRPr="00B01EB5" w:rsidRDefault="002F2563">
      <w:pPr>
        <w:pStyle w:val="SDMSubPara1"/>
      </w:pPr>
      <w:r w:rsidRPr="00B01EB5">
        <w:rPr>
          <w:b/>
          <w:bCs/>
        </w:rPr>
        <w:t>Must-run power plant/unit:</w:t>
      </w:r>
      <w:r w:rsidRPr="00B01EB5">
        <w:t xml:space="preserve"> </w:t>
      </w:r>
      <w:r w:rsidR="009633AE">
        <w:t>A</w:t>
      </w:r>
      <w:r w:rsidR="009633AE" w:rsidRPr="00B01EB5">
        <w:t xml:space="preserve"> </w:t>
      </w:r>
      <w:r w:rsidRPr="00B01EB5">
        <w:t>power plant/unit</w:t>
      </w:r>
      <w:r w:rsidRPr="00B01EB5" w:rsidDel="0075072B">
        <w:t xml:space="preserve"> </w:t>
      </w:r>
      <w:r w:rsidRPr="00B01EB5">
        <w:t>dispatched independently of the daily or seasonal electricity consumption load and the operation of intermittent electricity generation sources in the electricity system (e.g., because the plant has low marginal electricity generation costs);</w:t>
      </w:r>
    </w:p>
    <w:p w14:paraId="1910EB76" w14:textId="238DC22F" w:rsidR="00F759B1" w:rsidRPr="00B01EB5" w:rsidRDefault="002F2563">
      <w:pPr>
        <w:pStyle w:val="SDMSubPara1"/>
      </w:pPr>
      <w:r w:rsidRPr="00B01EB5">
        <w:rPr>
          <w:b/>
          <w:bCs/>
        </w:rPr>
        <w:t>Net electricity generation:</w:t>
      </w:r>
      <w:r w:rsidRPr="00B01EB5">
        <w:t xml:space="preserve"> </w:t>
      </w:r>
      <w:r w:rsidR="009633AE">
        <w:t>T</w:t>
      </w:r>
      <w:r w:rsidR="00567ED9" w:rsidRPr="00B01EB5">
        <w:t xml:space="preserve">he </w:t>
      </w:r>
      <w:r w:rsidRPr="00B01EB5">
        <w:t>difference between the total quantity of electricity generated by a power plant/unit and the auxiliary electricity consumption (also known as parasitic load) of the power plant/unit (e.g., for pumps, fans, control systems, etc.)</w:t>
      </w:r>
      <w:r w:rsidR="00451F27">
        <w:t>;</w:t>
      </w:r>
    </w:p>
    <w:p w14:paraId="059E59C3" w14:textId="05BC760A" w:rsidR="00814B71" w:rsidRPr="00B01EB5" w:rsidRDefault="64A45B41">
      <w:pPr>
        <w:pStyle w:val="SDMSubPara1"/>
      </w:pPr>
      <w:r w:rsidRPr="00B01EB5">
        <w:rPr>
          <w:b/>
          <w:bCs/>
        </w:rPr>
        <w:t>Non-intermittent electricity generation source:</w:t>
      </w:r>
      <w:r w:rsidRPr="00B01EB5">
        <w:t xml:space="preserve"> </w:t>
      </w:r>
      <w:r w:rsidR="009633AE">
        <w:t>A</w:t>
      </w:r>
      <w:r w:rsidR="009633AE" w:rsidRPr="00B01EB5">
        <w:t xml:space="preserve">n </w:t>
      </w:r>
      <w:r w:rsidRPr="00B01EB5">
        <w:t>electricity generation source where electricity generation can be ramped up or down by the operators of the power plant, regardless of external conditions such as sunlight, wind, or wave action</w:t>
      </w:r>
      <w:r w:rsidR="00814B71" w:rsidRPr="00B01EB5">
        <w:t>;</w:t>
      </w:r>
    </w:p>
    <w:p w14:paraId="66978313" w14:textId="392CED7B" w:rsidR="00C279CF" w:rsidRPr="00B01EB5" w:rsidRDefault="00C279CF">
      <w:pPr>
        <w:pStyle w:val="SDMSubPara1"/>
      </w:pPr>
      <w:r w:rsidRPr="00B01EB5">
        <w:rPr>
          <w:b/>
          <w:bCs/>
        </w:rPr>
        <w:t>Power plant/unit:</w:t>
      </w:r>
      <w:r w:rsidR="00567ED9" w:rsidRPr="00B01EB5" w:rsidDel="009633AE">
        <w:t xml:space="preserve"> </w:t>
      </w:r>
      <w:r w:rsidR="009633AE">
        <w:t>A</w:t>
      </w:r>
      <w:r w:rsidR="00567ED9" w:rsidRPr="00B01EB5">
        <w:t xml:space="preserve"> </w:t>
      </w:r>
      <w:r w:rsidRPr="00B01EB5">
        <w:t>facility that generates electric power. Several power units at one site comprise one power plant, whereas a power unit is characterized by the fact that it can operate independently from other power units at the same site. Where several identical power units (</w:t>
      </w:r>
      <w:r w:rsidR="001F289D" w:rsidRPr="00B01EB5">
        <w:t>i.e.,</w:t>
      </w:r>
      <w:r w:rsidRPr="00B01EB5">
        <w:t xml:space="preserve"> with the same capacity, age and efficiency) are installed at one site, they may be considered as </w:t>
      </w:r>
      <w:r w:rsidR="00A14EEF" w:rsidRPr="00B01EB5">
        <w:t xml:space="preserve">a </w:t>
      </w:r>
      <w:r w:rsidRPr="00B01EB5">
        <w:t>single power unit;</w:t>
      </w:r>
    </w:p>
    <w:p w14:paraId="5D8C6683" w14:textId="12358514" w:rsidR="002008A9" w:rsidRPr="00B01EB5" w:rsidRDefault="002008A9">
      <w:pPr>
        <w:pStyle w:val="SDMSubPara1"/>
      </w:pPr>
      <w:r w:rsidRPr="00B01EB5">
        <w:rPr>
          <w:b/>
          <w:bCs/>
        </w:rPr>
        <w:t>Project electric</w:t>
      </w:r>
      <w:r w:rsidR="00BF408E" w:rsidRPr="00B01EB5">
        <w:rPr>
          <w:b/>
          <w:bCs/>
        </w:rPr>
        <w:t>ity</w:t>
      </w:r>
      <w:r w:rsidRPr="00B01EB5">
        <w:rPr>
          <w:b/>
          <w:bCs/>
        </w:rPr>
        <w:t xml:space="preserve"> system:</w:t>
      </w:r>
      <w:r w:rsidRPr="00B01EB5">
        <w:t xml:space="preserve"> </w:t>
      </w:r>
      <w:r w:rsidR="009633AE">
        <w:t>T</w:t>
      </w:r>
      <w:r w:rsidR="00567ED9" w:rsidRPr="00B01EB5">
        <w:t xml:space="preserve">he </w:t>
      </w:r>
      <w:r w:rsidRPr="00B01EB5">
        <w:t xml:space="preserve">spatial extent of the power plants </w:t>
      </w:r>
      <w:r w:rsidR="00B354AD" w:rsidRPr="00B01EB5">
        <w:t xml:space="preserve">and electricity </w:t>
      </w:r>
      <w:r w:rsidR="00DB60F7" w:rsidRPr="00B01EB5">
        <w:t xml:space="preserve">end-users </w:t>
      </w:r>
      <w:r w:rsidRPr="00B01EB5">
        <w:t xml:space="preserve">that are physically connected through </w:t>
      </w:r>
      <w:r w:rsidR="00CA0773" w:rsidRPr="00B01EB5">
        <w:t xml:space="preserve">transmission and </w:t>
      </w:r>
      <w:r w:rsidRPr="00B01EB5">
        <w:t xml:space="preserve">distribution lines </w:t>
      </w:r>
      <w:r w:rsidR="0077542E" w:rsidRPr="00B01EB5">
        <w:t xml:space="preserve">with </w:t>
      </w:r>
      <w:r w:rsidRPr="00B01EB5">
        <w:t>the Article 6.4 activity (e.g.</w:t>
      </w:r>
      <w:r w:rsidR="58DC6F9A" w:rsidRPr="00B01EB5">
        <w:t>,</w:t>
      </w:r>
      <w:r w:rsidRPr="00B01EB5">
        <w:t xml:space="preserve"> </w:t>
      </w:r>
      <w:r w:rsidR="0077542E" w:rsidRPr="00B01EB5">
        <w:t xml:space="preserve">a </w:t>
      </w:r>
      <w:r w:rsidRPr="00B01EB5">
        <w:t xml:space="preserve">renewable power plant or the consumers </w:t>
      </w:r>
      <w:r w:rsidR="00B52D3A" w:rsidRPr="00B01EB5">
        <w:t>that are either being served with or saving electricity</w:t>
      </w:r>
      <w:r w:rsidRPr="00B01EB5">
        <w:t xml:space="preserve">) and that are covered by either </w:t>
      </w:r>
      <w:r w:rsidR="005D296A" w:rsidRPr="00B01EB5">
        <w:t xml:space="preserve">a </w:t>
      </w:r>
      <w:r w:rsidRPr="00B01EB5">
        <w:t xml:space="preserve">single or </w:t>
      </w:r>
      <w:r w:rsidR="005D296A" w:rsidRPr="00B01EB5">
        <w:t xml:space="preserve">a </w:t>
      </w:r>
      <w:r w:rsidRPr="00B01EB5">
        <w:t>layered dispatch area;</w:t>
      </w:r>
    </w:p>
    <w:p w14:paraId="6E459E08" w14:textId="2A3F1C8B" w:rsidR="00C93B2F" w:rsidRPr="00B01EB5" w:rsidRDefault="00C93B2F">
      <w:pPr>
        <w:pStyle w:val="SDMSubPara1"/>
      </w:pPr>
      <w:r w:rsidRPr="00B01EB5">
        <w:rPr>
          <w:b/>
          <w:bCs/>
        </w:rPr>
        <w:t>Top-level dispatch centre:</w:t>
      </w:r>
      <w:r w:rsidRPr="00B01EB5">
        <w:t xml:space="preserve"> </w:t>
      </w:r>
      <w:r w:rsidR="009633AE">
        <w:t>T</w:t>
      </w:r>
      <w:r w:rsidR="00567ED9" w:rsidRPr="00B01EB5">
        <w:t xml:space="preserve">he </w:t>
      </w:r>
      <w:r w:rsidRPr="00B01EB5">
        <w:t>dispatch centre that is at the highest level within a layered dispatch area or the single dispatch centre in a situation without a layered dispatch area</w:t>
      </w:r>
      <w:r w:rsidR="008D5F8B" w:rsidRPr="00B01EB5">
        <w:t>;</w:t>
      </w:r>
      <w:r w:rsidR="00567ED9" w:rsidRPr="00B01EB5">
        <w:t xml:space="preserve"> and</w:t>
      </w:r>
    </w:p>
    <w:p w14:paraId="7FCC8F11" w14:textId="0253F6E9" w:rsidR="00634BB3" w:rsidRPr="00B01EB5" w:rsidRDefault="008616CD">
      <w:pPr>
        <w:pStyle w:val="SDMSubPara1"/>
      </w:pPr>
      <w:r w:rsidRPr="00B01EB5">
        <w:rPr>
          <w:b/>
          <w:bCs/>
        </w:rPr>
        <w:t>Transmission and distribution losses:</w:t>
      </w:r>
      <w:r w:rsidRPr="00B01EB5">
        <w:t xml:space="preserve"> </w:t>
      </w:r>
      <w:r w:rsidR="003554B0">
        <w:t>T</w:t>
      </w:r>
      <w:r w:rsidR="00567ED9" w:rsidRPr="00B01EB5">
        <w:t xml:space="preserve">he </w:t>
      </w:r>
      <w:r w:rsidR="00041CDC" w:rsidRPr="00B01EB5">
        <w:t>fraction of electrical energy lost during the transmission and distribution of electricity from power plants to end-users</w:t>
      </w:r>
      <w:r w:rsidR="00273524" w:rsidRPr="00B01EB5">
        <w:t>.</w:t>
      </w:r>
    </w:p>
    <w:p w14:paraId="65996A3F" w14:textId="7C7601A2" w:rsidR="00056300" w:rsidRPr="00B01EB5" w:rsidRDefault="00056300">
      <w:pPr>
        <w:pStyle w:val="SDMPara"/>
      </w:pPr>
      <w:r w:rsidRPr="00B01EB5">
        <w:t xml:space="preserve">Further definitions from the </w:t>
      </w:r>
      <w:r w:rsidR="005579DA" w:rsidRPr="00B01EB5">
        <w:t>“</w:t>
      </w:r>
      <w:r w:rsidR="00E50715">
        <w:t xml:space="preserve">Glossary: </w:t>
      </w:r>
      <w:r w:rsidRPr="00B01EB5">
        <w:t xml:space="preserve">Article 6.4 </w:t>
      </w:r>
      <w:r w:rsidR="00495EAA">
        <w:t>mechanism terms</w:t>
      </w:r>
      <w:r w:rsidR="005579DA" w:rsidRPr="00B01EB5">
        <w:t>”</w:t>
      </w:r>
      <w:r w:rsidR="00663B8A">
        <w:t xml:space="preserve"> </w:t>
      </w:r>
      <w:r w:rsidR="005579DA" w:rsidRPr="00B01EB5">
        <w:t>shall also apply to this methodological tool</w:t>
      </w:r>
      <w:r w:rsidRPr="00B01EB5">
        <w:t>.</w:t>
      </w:r>
    </w:p>
    <w:p w14:paraId="498DE274" w14:textId="066E70C0" w:rsidR="00FB671C" w:rsidRPr="00B80EE1" w:rsidRDefault="00FB671C">
      <w:pPr>
        <w:pStyle w:val="SDMHead1"/>
      </w:pPr>
      <w:bookmarkStart w:id="169" w:name="_Toc478738153"/>
      <w:bookmarkStart w:id="170" w:name="_Toc202965397"/>
      <w:bookmarkStart w:id="171" w:name="_Toc212389900"/>
      <w:bookmarkStart w:id="172" w:name="_Toc215208594"/>
      <w:bookmarkStart w:id="173" w:name="_Toc215216113"/>
      <w:bookmarkStart w:id="174" w:name="_Toc215222849"/>
      <w:bookmarkStart w:id="175" w:name="_Toc215223037"/>
      <w:bookmarkStart w:id="176" w:name="_Toc215223259"/>
      <w:bookmarkStart w:id="177" w:name="_Toc215574881"/>
      <w:bookmarkStart w:id="178" w:name="_Toc215923320"/>
      <w:bookmarkStart w:id="179" w:name="_Toc216093016"/>
      <w:bookmarkStart w:id="180" w:name="_Toc216271745"/>
      <w:bookmarkStart w:id="181" w:name="_Toc216279362"/>
      <w:bookmarkStart w:id="182" w:name="_Toc216283400"/>
      <w:bookmarkStart w:id="183" w:name="_Toc216288018"/>
      <w:bookmarkStart w:id="184" w:name="_Toc219666125"/>
      <w:bookmarkStart w:id="185" w:name="_Toc220001386"/>
      <w:bookmarkStart w:id="186" w:name="_Toc221096409"/>
      <w:bookmarkStart w:id="187" w:name="_Toc221097961"/>
      <w:bookmarkStart w:id="188" w:name="_Toc221116257"/>
      <w:bookmarkStart w:id="189" w:name="_Toc221117273"/>
      <w:bookmarkStart w:id="190" w:name="_Toc222132111"/>
      <w:bookmarkStart w:id="191" w:name="_Toc222494912"/>
      <w:bookmarkStart w:id="192" w:name="_Toc222512428"/>
      <w:bookmarkStart w:id="193" w:name="_Toc222741748"/>
      <w:r w:rsidRPr="00FB671C">
        <w:t>Applicability</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6D47617D" w14:textId="0662D10C" w:rsidR="00761F63" w:rsidRPr="00985158" w:rsidRDefault="00761F63">
      <w:pPr>
        <w:pStyle w:val="SDMPara"/>
      </w:pPr>
      <w:r w:rsidRPr="00985158">
        <w:t>This</w:t>
      </w:r>
      <w:r w:rsidR="003F521D" w:rsidRPr="00985158">
        <w:t xml:space="preserve"> methodological</w:t>
      </w:r>
      <w:r w:rsidRPr="00985158">
        <w:t xml:space="preserve"> tool may be used by mechanism methodologies related to emission reductions.</w:t>
      </w:r>
    </w:p>
    <w:p w14:paraId="12D99135" w14:textId="121918D4" w:rsidR="009D5680" w:rsidRPr="003554B0" w:rsidRDefault="009D5680">
      <w:pPr>
        <w:pStyle w:val="SDMPara"/>
      </w:pPr>
      <w:r w:rsidRPr="003554B0">
        <w:t>Th</w:t>
      </w:r>
      <w:r w:rsidR="00601CDA" w:rsidRPr="003554B0">
        <w:t>is methodological</w:t>
      </w:r>
      <w:r w:rsidRPr="003554B0">
        <w:t xml:space="preserve"> tool is applicable to </w:t>
      </w:r>
      <w:r w:rsidR="004B7056" w:rsidRPr="003554B0">
        <w:t>Article 6.4 activities where it</w:t>
      </w:r>
      <w:r w:rsidR="00BC6F44" w:rsidRPr="003554B0">
        <w:t>s use is explicitly</w:t>
      </w:r>
      <w:r w:rsidR="004B7056" w:rsidRPr="003554B0">
        <w:t xml:space="preserve"> </w:t>
      </w:r>
      <w:r w:rsidR="00911865" w:rsidRPr="003554B0">
        <w:t>referenced</w:t>
      </w:r>
      <w:r w:rsidR="004B7056" w:rsidRPr="003554B0">
        <w:t xml:space="preserve"> in the </w:t>
      </w:r>
      <w:r w:rsidR="00911865" w:rsidRPr="003554B0">
        <w:t xml:space="preserve">applicable </w:t>
      </w:r>
      <w:r w:rsidR="004B7056" w:rsidRPr="003554B0">
        <w:t>mechanism methodology.</w:t>
      </w:r>
    </w:p>
    <w:p w14:paraId="3FA46609" w14:textId="746CF648" w:rsidR="00C443B7" w:rsidRPr="003554B0" w:rsidRDefault="00C443B7">
      <w:pPr>
        <w:pStyle w:val="SDMPara"/>
      </w:pPr>
      <w:r w:rsidRPr="003554B0">
        <w:t xml:space="preserve">This version of the methodological tool </w:t>
      </w:r>
      <w:r w:rsidR="00E96063" w:rsidRPr="003554B0">
        <w:t xml:space="preserve">is </w:t>
      </w:r>
      <w:r w:rsidR="003C02F9">
        <w:t>only</w:t>
      </w:r>
      <w:r w:rsidR="00E96063" w:rsidRPr="003554B0">
        <w:t xml:space="preserve"> applicable</w:t>
      </w:r>
      <w:r w:rsidRPr="003554B0">
        <w:t xml:space="preserve"> to Article 6.4 </w:t>
      </w:r>
      <w:r w:rsidR="169ACF39" w:rsidRPr="003554B0">
        <w:t xml:space="preserve">activities </w:t>
      </w:r>
      <w:r w:rsidR="00E96063" w:rsidRPr="003554B0">
        <w:t xml:space="preserve">implemented </w:t>
      </w:r>
      <w:r w:rsidR="169ACF39" w:rsidRPr="003554B0">
        <w:t>at the project level</w:t>
      </w:r>
      <w:r w:rsidR="00E96063" w:rsidRPr="003554B0">
        <w:t>.</w:t>
      </w:r>
      <w:r w:rsidR="48AF7DB2" w:rsidRPr="003554B0">
        <w:t xml:space="preserve"> </w:t>
      </w:r>
      <w:r w:rsidR="00FD3F33" w:rsidRPr="003554B0">
        <w:t xml:space="preserve">The methodological tool </w:t>
      </w:r>
      <w:r w:rsidRPr="003554B0">
        <w:t xml:space="preserve">may be amended in the future to </w:t>
      </w:r>
      <w:r w:rsidR="00FD3F33" w:rsidRPr="003554B0">
        <w:t xml:space="preserve">also </w:t>
      </w:r>
      <w:r w:rsidRPr="003554B0">
        <w:t xml:space="preserve">cover activities </w:t>
      </w:r>
      <w:r w:rsidR="00AE211B" w:rsidRPr="003554B0">
        <w:t xml:space="preserve">implemented </w:t>
      </w:r>
      <w:r w:rsidRPr="003554B0">
        <w:t>at other scales (e.g., programmes of activities, policies, sectoral approaches</w:t>
      </w:r>
      <w:r w:rsidR="00AE211B" w:rsidRPr="003554B0">
        <w:t>, etc.</w:t>
      </w:r>
      <w:r w:rsidRPr="003554B0">
        <w:t>).</w:t>
      </w:r>
    </w:p>
    <w:p w14:paraId="20EB418F" w14:textId="79E34608" w:rsidR="00CC0668" w:rsidRPr="00B01EB5" w:rsidRDefault="00CC0668" w:rsidP="00C72647">
      <w:pPr>
        <w:pStyle w:val="SDMPara"/>
        <w:keepNext/>
      </w:pPr>
      <w:r w:rsidRPr="00B01EB5">
        <w:t>This methodological tool may be used to determine baseline, project</w:t>
      </w:r>
      <w:r w:rsidR="00AB6E6C" w:rsidRPr="00B01EB5">
        <w:t>,</w:t>
      </w:r>
      <w:r w:rsidRPr="00B01EB5">
        <w:t xml:space="preserve"> </w:t>
      </w:r>
      <w:r w:rsidR="00D40E52" w:rsidRPr="00B01EB5">
        <w:t xml:space="preserve">and </w:t>
      </w:r>
      <w:r w:rsidRPr="00B01EB5">
        <w:t>leakage emissions from:</w:t>
      </w:r>
    </w:p>
    <w:p w14:paraId="1326D335" w14:textId="40278B37" w:rsidR="00CC0668" w:rsidRPr="00B01EB5" w:rsidRDefault="00CC0668">
      <w:pPr>
        <w:pStyle w:val="SDMSubPara1"/>
      </w:pPr>
      <w:r w:rsidRPr="00B01EB5">
        <w:t xml:space="preserve">The generation of electricity that is supplied to an electricity system or to </w:t>
      </w:r>
      <w:r w:rsidRPr="00B01EB5" w:rsidDel="003C0847">
        <w:t>captive consumers</w:t>
      </w:r>
      <w:r w:rsidR="00887AF6" w:rsidRPr="00B01EB5">
        <w:t>,</w:t>
      </w:r>
      <w:r w:rsidRPr="00B01EB5">
        <w:t xml:space="preserve"> which may or may not be connected to an electricity system; and</w:t>
      </w:r>
      <w:r w:rsidR="00FD647F" w:rsidRPr="00B01EB5" w:rsidDel="007963CF">
        <w:t>/or</w:t>
      </w:r>
    </w:p>
    <w:p w14:paraId="647EEA4F" w14:textId="0B3D2BC8" w:rsidR="00921526" w:rsidRPr="00B01EB5" w:rsidRDefault="00503089">
      <w:pPr>
        <w:pStyle w:val="SDMSubPara1"/>
      </w:pPr>
      <w:r w:rsidRPr="00B01EB5">
        <w:t>The consumption of electricity from an electricity system or from captive fossil fuel power plant(s)/unit(s).</w:t>
      </w:r>
    </w:p>
    <w:p w14:paraId="53814270" w14:textId="328AB906" w:rsidR="00CC0668" w:rsidRPr="00B01EB5" w:rsidRDefault="00CC0668">
      <w:pPr>
        <w:pStyle w:val="SDMPara"/>
      </w:pPr>
      <w:r w:rsidRPr="00B01EB5">
        <w:t>This methodological tool also provides approaches and options to determine the respective emission factors for electricity generation and consumption in the baseline scenario and/or the project scenario.</w:t>
      </w:r>
    </w:p>
    <w:p w14:paraId="20DEA6A5" w14:textId="0FFAB453" w:rsidR="00FF70B5" w:rsidRPr="00B01EB5" w:rsidRDefault="122D112B" w:rsidP="00C72647">
      <w:pPr>
        <w:pStyle w:val="SDMPara"/>
        <w:keepNext/>
      </w:pPr>
      <w:r w:rsidRPr="00B01EB5">
        <w:t xml:space="preserve">This version of the methodological tool is not applicable </w:t>
      </w:r>
      <w:r w:rsidR="00D676AB" w:rsidRPr="00B01EB5">
        <w:t xml:space="preserve">to </w:t>
      </w:r>
      <w:r w:rsidR="006F4303" w:rsidRPr="00B01EB5">
        <w:t>Article 6.4 activities where a captive renewable power plant is installed at the</w:t>
      </w:r>
      <w:r w:rsidR="005E73F7" w:rsidRPr="00B01EB5">
        <w:t xml:space="preserve"> site of the Article 6.4</w:t>
      </w:r>
      <w:r w:rsidR="4E53D2CD" w:rsidRPr="00B01EB5">
        <w:t xml:space="preserve"> activities</w:t>
      </w:r>
      <w:r w:rsidR="00FF70B5" w:rsidRPr="00B01EB5">
        <w:t>:</w:t>
      </w:r>
    </w:p>
    <w:p w14:paraId="48C003E2" w14:textId="2146FC46" w:rsidR="00A61A0B" w:rsidRPr="00B01EB5" w:rsidRDefault="009067DC" w:rsidP="00C72647">
      <w:pPr>
        <w:pStyle w:val="SDMPara"/>
        <w:keepNext/>
      </w:pPr>
      <w:r w:rsidRPr="00B01EB5">
        <w:t>This version of the methodological tool does not include procedures for estimating the following emission sources:</w:t>
      </w:r>
    </w:p>
    <w:p w14:paraId="1107F51D" w14:textId="76C4C061" w:rsidR="122D112B" w:rsidRPr="00B01EB5" w:rsidRDefault="00CC0668">
      <w:pPr>
        <w:pStyle w:val="SDMSubPara1"/>
      </w:pPr>
      <w:r w:rsidRPr="00B01EB5">
        <w:t>U</w:t>
      </w:r>
      <w:r w:rsidR="122D112B" w:rsidRPr="00B01EB5">
        <w:t>pstream emissions associated with electricity generati</w:t>
      </w:r>
      <w:r w:rsidR="1D45A313" w:rsidRPr="00B01EB5">
        <w:t>on/consumption</w:t>
      </w:r>
      <w:r w:rsidR="122D112B" w:rsidRPr="00B01EB5">
        <w:t>;</w:t>
      </w:r>
      <w:r w:rsidR="009439F9" w:rsidRPr="00B01EB5">
        <w:t xml:space="preserve"> and</w:t>
      </w:r>
    </w:p>
    <w:p w14:paraId="79530D9B" w14:textId="77777777" w:rsidR="122D112B" w:rsidRPr="00B01EB5" w:rsidRDefault="00CC0668">
      <w:pPr>
        <w:pStyle w:val="SDMSubPara1"/>
      </w:pPr>
      <w:r w:rsidRPr="00B01EB5">
        <w:t>G</w:t>
      </w:r>
      <w:r w:rsidR="122D112B" w:rsidRPr="00B01EB5">
        <w:t>reenhouse gas (GHG) emissions other than CO</w:t>
      </w:r>
      <w:r w:rsidR="122D112B" w:rsidRPr="00B01EB5">
        <w:rPr>
          <w:rFonts w:ascii="Cambria Math" w:hAnsi="Cambria Math" w:cs="Cambria Math"/>
        </w:rPr>
        <w:t>₂</w:t>
      </w:r>
      <w:r w:rsidR="122D112B" w:rsidRPr="00B01EB5">
        <w:t>.</w:t>
      </w:r>
    </w:p>
    <w:p w14:paraId="023DFCBB" w14:textId="28472665" w:rsidR="00E61C12" w:rsidRPr="00E61C12" w:rsidRDefault="00545BF5" w:rsidP="00C72647">
      <w:pPr>
        <w:pStyle w:val="SDMPara"/>
        <w:keepNext/>
        <w:rPr>
          <w:lang w:val="en-US" w:eastAsia="en-US"/>
        </w:rPr>
      </w:pPr>
      <w:bookmarkStart w:id="194" w:name="_Ref210999125"/>
      <w:r w:rsidRPr="00545BF5">
        <w:rPr>
          <w:lang w:val="en-US" w:eastAsia="en-US"/>
        </w:rPr>
        <w:t>This methodological tool is only applicable where mechanism methodologies include a reference to this methodological tool and specif</w:t>
      </w:r>
      <w:r w:rsidR="00876E5A">
        <w:rPr>
          <w:lang w:val="en-US" w:eastAsia="en-US"/>
        </w:rPr>
        <w:t>y</w:t>
      </w:r>
      <w:r w:rsidR="00E61C12" w:rsidRPr="00545BF5">
        <w:rPr>
          <w:lang w:val="en-US" w:eastAsia="en-US"/>
        </w:rPr>
        <w:t>:</w:t>
      </w:r>
    </w:p>
    <w:p w14:paraId="1F154A82" w14:textId="408C5357" w:rsidR="00E61C12" w:rsidRPr="00B01EB5" w:rsidRDefault="00E61C12">
      <w:pPr>
        <w:pStyle w:val="SDMSubPara1"/>
        <w:rPr>
          <w:lang w:val="en-US" w:eastAsia="en-US"/>
        </w:rPr>
      </w:pPr>
      <w:r w:rsidRPr="00B01EB5">
        <w:rPr>
          <w:lang w:val="en-US" w:eastAsia="en-US"/>
        </w:rPr>
        <w:t>Which sources of baseline, project</w:t>
      </w:r>
      <w:r w:rsidR="00AB1B5C" w:rsidRPr="00B01EB5">
        <w:rPr>
          <w:lang w:val="en-US" w:eastAsia="en-US"/>
        </w:rPr>
        <w:t>,</w:t>
      </w:r>
      <w:r w:rsidRPr="00B01EB5">
        <w:rPr>
          <w:lang w:val="en-US" w:eastAsia="en-US"/>
        </w:rPr>
        <w:t xml:space="preserve"> and leakage emissions</w:t>
      </w:r>
      <w:r w:rsidR="00AB1B5C" w:rsidRPr="00B01EB5">
        <w:rPr>
          <w:lang w:val="en-US" w:eastAsia="en-US"/>
        </w:rPr>
        <w:t>,</w:t>
      </w:r>
      <w:r w:rsidRPr="00B01EB5">
        <w:rPr>
          <w:lang w:val="en-US" w:eastAsia="en-US"/>
        </w:rPr>
        <w:t xml:space="preserve"> </w:t>
      </w:r>
      <w:r w:rsidR="00AB1B5C" w:rsidRPr="00B01EB5">
        <w:rPr>
          <w:lang w:val="en-US" w:eastAsia="en-US"/>
        </w:rPr>
        <w:t xml:space="preserve">and </w:t>
      </w:r>
      <w:r w:rsidRPr="00B01EB5">
        <w:rPr>
          <w:lang w:val="en-US" w:eastAsia="en-US"/>
        </w:rPr>
        <w:t xml:space="preserve">from </w:t>
      </w:r>
      <w:r w:rsidR="00EC1F24" w:rsidRPr="00B01EB5">
        <w:rPr>
          <w:lang w:val="en-US" w:eastAsia="en-US"/>
        </w:rPr>
        <w:t>which</w:t>
      </w:r>
      <w:r w:rsidRPr="00B01EB5">
        <w:rPr>
          <w:lang w:val="en-US" w:eastAsia="en-US"/>
        </w:rPr>
        <w:t xml:space="preserve"> electricity generation </w:t>
      </w:r>
      <w:r w:rsidR="00933A75" w:rsidRPr="00B01EB5">
        <w:rPr>
          <w:lang w:val="en-US" w:eastAsia="en-US"/>
        </w:rPr>
        <w:t xml:space="preserve">or </w:t>
      </w:r>
      <w:r w:rsidRPr="00B01EB5">
        <w:rPr>
          <w:lang w:val="en-US" w:eastAsia="en-US"/>
        </w:rPr>
        <w:t xml:space="preserve">consumption </w:t>
      </w:r>
      <w:r w:rsidR="000E60B2" w:rsidRPr="00B01EB5">
        <w:rPr>
          <w:lang w:val="en-US" w:eastAsia="en-US"/>
        </w:rPr>
        <w:t>source</w:t>
      </w:r>
      <w:r w:rsidR="00101451" w:rsidRPr="00B01EB5">
        <w:rPr>
          <w:lang w:val="en-US" w:eastAsia="en-US"/>
        </w:rPr>
        <w:t> </w:t>
      </w:r>
      <w:r w:rsidR="00101451" w:rsidRPr="00B01EB5">
        <w:rPr>
          <w:i/>
          <w:iCs/>
          <w:lang w:val="en-US" w:eastAsia="en-US"/>
        </w:rPr>
        <w:t>s</w:t>
      </w:r>
      <w:r w:rsidR="009078D3" w:rsidRPr="00B01EB5">
        <w:rPr>
          <w:i/>
          <w:iCs/>
          <w:lang w:val="en-US" w:eastAsia="en-US"/>
        </w:rPr>
        <w:t>,</w:t>
      </w:r>
      <w:r w:rsidR="00101451" w:rsidRPr="00B01EB5">
        <w:rPr>
          <w:lang w:val="en-US" w:eastAsia="en-US"/>
        </w:rPr>
        <w:t xml:space="preserve"> </w:t>
      </w:r>
      <w:r w:rsidRPr="00B01EB5">
        <w:rPr>
          <w:lang w:val="en-US" w:eastAsia="en-US"/>
        </w:rPr>
        <w:t xml:space="preserve">are to be calculated </w:t>
      </w:r>
      <w:r w:rsidR="009078D3" w:rsidRPr="00B01EB5">
        <w:rPr>
          <w:lang w:val="en-US" w:eastAsia="en-US"/>
        </w:rPr>
        <w:t xml:space="preserve">using </w:t>
      </w:r>
      <w:r w:rsidRPr="00B01EB5">
        <w:rPr>
          <w:lang w:val="en-US" w:eastAsia="en-US"/>
        </w:rPr>
        <w:t xml:space="preserve">this </w:t>
      </w:r>
      <w:r w:rsidR="00F47D10" w:rsidRPr="00B01EB5">
        <w:rPr>
          <w:lang w:val="en-US" w:eastAsia="en-US"/>
        </w:rPr>
        <w:t xml:space="preserve">methodological </w:t>
      </w:r>
      <w:r w:rsidRPr="00B01EB5">
        <w:rPr>
          <w:lang w:val="en-US" w:eastAsia="en-US"/>
        </w:rPr>
        <w:t>tool;</w:t>
      </w:r>
      <w:r w:rsidR="00D55ADA">
        <w:rPr>
          <w:rStyle w:val="FootnoteReference"/>
          <w:lang w:val="en-US" w:eastAsia="en-US"/>
        </w:rPr>
        <w:footnoteReference w:id="5"/>
      </w:r>
    </w:p>
    <w:p w14:paraId="0ED81607" w14:textId="3507D102" w:rsidR="00E61C12" w:rsidRPr="00E61C12" w:rsidRDefault="00E61C12">
      <w:pPr>
        <w:pStyle w:val="SDMSubPara1"/>
        <w:rPr>
          <w:lang w:val="en-US" w:eastAsia="en-US"/>
        </w:rPr>
      </w:pPr>
      <w:r w:rsidRPr="00E61C12">
        <w:rPr>
          <w:lang w:val="en-US" w:eastAsia="en-US"/>
        </w:rPr>
        <w:t xml:space="preserve">How the amount of electricity generated or consumed is determined for each relevant </w:t>
      </w:r>
      <w:r w:rsidR="00101451">
        <w:t xml:space="preserve">electricity generation </w:t>
      </w:r>
      <w:r w:rsidR="00101451" w:rsidRPr="001B426A">
        <w:t>or</w:t>
      </w:r>
      <w:r w:rsidR="00101451">
        <w:t xml:space="preserve"> consumption source </w:t>
      </w:r>
      <w:r w:rsidR="00101451">
        <w:rPr>
          <w:i/>
        </w:rPr>
        <w:t>s</w:t>
      </w:r>
      <w:r w:rsidRPr="00E61C12">
        <w:rPr>
          <w:lang w:val="en-US" w:eastAsia="en-US"/>
        </w:rPr>
        <w:t>;</w:t>
      </w:r>
    </w:p>
    <w:p w14:paraId="12D1C8E3" w14:textId="290D8D5F" w:rsidR="00E61C12" w:rsidRPr="00E61C12" w:rsidRDefault="7D1C7FAA">
      <w:pPr>
        <w:pStyle w:val="SDMSubPara1"/>
        <w:rPr>
          <w:lang w:val="en-US" w:eastAsia="en-US"/>
        </w:rPr>
      </w:pPr>
      <w:r w:rsidRPr="3B057DA6">
        <w:rPr>
          <w:lang w:val="en-US" w:eastAsia="en-US"/>
        </w:rPr>
        <w:t xml:space="preserve">Whether any specific options provided in this </w:t>
      </w:r>
      <w:r w:rsidR="004C2F13">
        <w:rPr>
          <w:lang w:val="en-US" w:eastAsia="en-US"/>
        </w:rPr>
        <w:t xml:space="preserve">methodological </w:t>
      </w:r>
      <w:r w:rsidRPr="3B057DA6">
        <w:rPr>
          <w:lang w:val="en-US" w:eastAsia="en-US"/>
        </w:rPr>
        <w:t>tool shall be applied by activity participants;</w:t>
      </w:r>
    </w:p>
    <w:p w14:paraId="151464BD" w14:textId="05ABB761" w:rsidR="00E61C12" w:rsidRPr="00E61C12" w:rsidRDefault="7D1C7FAA">
      <w:pPr>
        <w:pStyle w:val="SDMSubPara1"/>
        <w:rPr>
          <w:lang w:val="en-US" w:eastAsia="en-US"/>
        </w:rPr>
      </w:pPr>
      <w:r w:rsidRPr="3B057DA6">
        <w:rPr>
          <w:lang w:val="en-US" w:eastAsia="en-US"/>
        </w:rPr>
        <w:t xml:space="preserve">Which scenarios </w:t>
      </w:r>
      <w:r w:rsidR="00121DE1">
        <w:rPr>
          <w:lang w:val="en-US" w:eastAsia="en-US"/>
        </w:rPr>
        <w:t>(</w:t>
      </w:r>
      <w:r w:rsidRPr="3B057DA6">
        <w:rPr>
          <w:lang w:val="en-US" w:eastAsia="en-US"/>
        </w:rPr>
        <w:t>A, B</w:t>
      </w:r>
      <w:r w:rsidR="00E0183D">
        <w:rPr>
          <w:lang w:val="en-US" w:eastAsia="en-US"/>
        </w:rPr>
        <w:t>,</w:t>
      </w:r>
      <w:r w:rsidRPr="3B057DA6">
        <w:rPr>
          <w:lang w:val="en-US" w:eastAsia="en-US"/>
        </w:rPr>
        <w:t xml:space="preserve"> or C</w:t>
      </w:r>
      <w:r w:rsidR="18664369" w:rsidRPr="3B057DA6">
        <w:rPr>
          <w:lang w:val="en-US" w:eastAsia="en-US"/>
        </w:rPr>
        <w:t>, as specified in section</w:t>
      </w:r>
      <w:r w:rsidR="00877272">
        <w:rPr>
          <w:lang w:val="en-US" w:eastAsia="en-US"/>
        </w:rPr>
        <w:t> </w:t>
      </w:r>
      <w:r w:rsidR="00C92220">
        <w:rPr>
          <w:lang w:val="en-US" w:eastAsia="en-US"/>
        </w:rPr>
        <w:fldChar w:fldCharType="begin"/>
      </w:r>
      <w:r w:rsidR="00C92220">
        <w:rPr>
          <w:lang w:val="en-US" w:eastAsia="en-US"/>
        </w:rPr>
        <w:instrText xml:space="preserve"> REF _Ref221036450 \w \h </w:instrText>
      </w:r>
      <w:r w:rsidR="00C92220">
        <w:rPr>
          <w:lang w:val="en-US" w:eastAsia="en-US"/>
        </w:rPr>
      </w:r>
      <w:r w:rsidR="00C92220">
        <w:rPr>
          <w:lang w:val="en-US" w:eastAsia="en-US"/>
        </w:rPr>
        <w:fldChar w:fldCharType="separate"/>
      </w:r>
      <w:r w:rsidR="00D811A8">
        <w:rPr>
          <w:cs/>
          <w:lang w:val="en-US" w:eastAsia="en-US"/>
        </w:rPr>
        <w:t>‎</w:t>
      </w:r>
      <w:r w:rsidR="00D811A8">
        <w:rPr>
          <w:lang w:val="en-US" w:eastAsia="en-US"/>
        </w:rPr>
        <w:t>5.2</w:t>
      </w:r>
      <w:r w:rsidR="00C92220">
        <w:rPr>
          <w:lang w:val="en-US" w:eastAsia="en-US"/>
        </w:rPr>
        <w:fldChar w:fldCharType="end"/>
      </w:r>
      <w:r w:rsidR="00121DE1">
        <w:rPr>
          <w:lang w:val="en-US" w:eastAsia="en-US"/>
        </w:rPr>
        <w:t>)</w:t>
      </w:r>
      <w:r w:rsidRPr="3B057DA6">
        <w:rPr>
          <w:lang w:val="en-US" w:eastAsia="en-US"/>
        </w:rPr>
        <w:t xml:space="preserve"> </w:t>
      </w:r>
      <w:r w:rsidR="00E52843" w:rsidRPr="3B057DA6">
        <w:rPr>
          <w:lang w:val="en-US" w:eastAsia="en-US"/>
        </w:rPr>
        <w:t>appl</w:t>
      </w:r>
      <w:r w:rsidR="00E52843">
        <w:rPr>
          <w:lang w:val="en-US" w:eastAsia="en-US"/>
        </w:rPr>
        <w:t>y</w:t>
      </w:r>
      <w:r w:rsidR="00E52843" w:rsidRPr="3B057DA6">
        <w:rPr>
          <w:lang w:val="en-US" w:eastAsia="en-US"/>
        </w:rPr>
        <w:t xml:space="preserve"> </w:t>
      </w:r>
      <w:r w:rsidRPr="3B057DA6">
        <w:rPr>
          <w:lang w:val="en-US" w:eastAsia="en-US"/>
        </w:rPr>
        <w:t xml:space="preserve">to each </w:t>
      </w:r>
      <w:r w:rsidR="00EB72BC">
        <w:t>electricity generation or consumption source </w:t>
      </w:r>
      <w:r w:rsidR="00EB72BC">
        <w:rPr>
          <w:i/>
        </w:rPr>
        <w:t>s</w:t>
      </w:r>
      <w:r w:rsidR="0026201B">
        <w:rPr>
          <w:i/>
        </w:rPr>
        <w:t>,</w:t>
      </w:r>
      <w:r w:rsidRPr="3B057DA6">
        <w:rPr>
          <w:lang w:val="en-US" w:eastAsia="en-US"/>
        </w:rPr>
        <w:t xml:space="preserve"> or how activity participants shall determine which of these scenarios </w:t>
      </w:r>
      <w:r w:rsidR="00A70C82" w:rsidRPr="3B057DA6">
        <w:rPr>
          <w:lang w:val="en-US" w:eastAsia="en-US"/>
        </w:rPr>
        <w:t>appl</w:t>
      </w:r>
      <w:r w:rsidR="00A70C82">
        <w:rPr>
          <w:lang w:val="en-US" w:eastAsia="en-US"/>
        </w:rPr>
        <w:t>y</w:t>
      </w:r>
      <w:r w:rsidR="00FF70B5">
        <w:rPr>
          <w:lang w:val="en-US" w:eastAsia="en-US"/>
        </w:rPr>
        <w:t>;</w:t>
      </w:r>
      <w:r w:rsidR="003E57FA">
        <w:rPr>
          <w:lang w:val="en-US" w:eastAsia="en-US"/>
        </w:rPr>
        <w:t xml:space="preserve"> </w:t>
      </w:r>
      <w:r w:rsidR="6E2E42B1" w:rsidRPr="3B057DA6">
        <w:rPr>
          <w:lang w:val="en-US" w:eastAsia="en-US"/>
        </w:rPr>
        <w:t>and</w:t>
      </w:r>
    </w:p>
    <w:p w14:paraId="4A6969F2" w14:textId="005BADD4" w:rsidR="00CF3186" w:rsidRPr="00B01EB5" w:rsidRDefault="39BF9108">
      <w:pPr>
        <w:pStyle w:val="SDMSubPara1"/>
      </w:pPr>
      <w:r w:rsidRPr="00B01EB5">
        <w:t>How the uncertainty of the emission factor</w:t>
      </w:r>
      <w:r w:rsidR="00DC1E35" w:rsidRPr="00B01EB5">
        <w:t xml:space="preserve">, </w:t>
      </w:r>
      <w:r w:rsidR="00A14F35" w:rsidRPr="00B01EB5">
        <w:t xml:space="preserve">the quantification of </w:t>
      </w:r>
      <w:r w:rsidR="1A9B00E3" w:rsidRPr="00B01EB5">
        <w:t>the</w:t>
      </w:r>
      <w:r w:rsidR="00A14F35" w:rsidRPr="00B01EB5">
        <w:t xml:space="preserve"> amount of electricity generated or consumed, and the transmission and distribution losses </w:t>
      </w:r>
      <w:r w:rsidR="6B0A270A" w:rsidRPr="00B01EB5">
        <w:t>shall be</w:t>
      </w:r>
      <w:r w:rsidRPr="00B01EB5">
        <w:t xml:space="preserve"> </w:t>
      </w:r>
      <w:r w:rsidR="00192689" w:rsidRPr="00B01EB5">
        <w:t xml:space="preserve">considered </w:t>
      </w:r>
      <w:r w:rsidRPr="00B01EB5">
        <w:t xml:space="preserve">in </w:t>
      </w:r>
      <w:r w:rsidR="007345F4" w:rsidRPr="00B01EB5">
        <w:t xml:space="preserve">the </w:t>
      </w:r>
      <w:r w:rsidRPr="00B01EB5">
        <w:t>emission redu</w:t>
      </w:r>
      <w:r w:rsidR="237CEDD2" w:rsidRPr="00B01EB5">
        <w:t>c</w:t>
      </w:r>
      <w:r w:rsidRPr="00B01EB5">
        <w:t>tion calculation.</w:t>
      </w:r>
    </w:p>
    <w:p w14:paraId="1CEEBDD9" w14:textId="6256BC59" w:rsidR="2F0A9B0E" w:rsidRPr="009A5D20" w:rsidRDefault="2F0A9B0E">
      <w:pPr>
        <w:pStyle w:val="SDMPara"/>
        <w:rPr>
          <w:rFonts w:eastAsia="Arial"/>
        </w:rPr>
      </w:pPr>
      <w:r w:rsidRPr="009A5D20">
        <w:rPr>
          <w:rFonts w:eastAsia="Arial"/>
        </w:rPr>
        <w:t xml:space="preserve">Where a standardized baseline is developed using this methodological tool, all provisions pertaining to the PDD and/or monitoring report as specified in this tool shall be </w:t>
      </w:r>
      <w:r w:rsidR="00C75D1B" w:rsidRPr="009A5D20">
        <w:rPr>
          <w:rFonts w:eastAsia="Arial"/>
        </w:rPr>
        <w:t>documented in the</w:t>
      </w:r>
      <w:r w:rsidR="00585A70" w:rsidRPr="009A5D20">
        <w:rPr>
          <w:rFonts w:eastAsia="Arial"/>
        </w:rPr>
        <w:t xml:space="preserve"> </w:t>
      </w:r>
      <w:r w:rsidR="000B59D4" w:rsidRPr="009A5D20">
        <w:rPr>
          <w:rFonts w:eastAsia="Arial"/>
        </w:rPr>
        <w:t>submission of the proposed standardized baseline</w:t>
      </w:r>
      <w:r w:rsidRPr="009A5D20">
        <w:rPr>
          <w:rFonts w:eastAsia="Arial"/>
        </w:rPr>
        <w:t>.</w:t>
      </w:r>
    </w:p>
    <w:p w14:paraId="49124719" w14:textId="77777777" w:rsidR="00A41BA3" w:rsidRPr="00B01EB5" w:rsidRDefault="00CF3186">
      <w:pPr>
        <w:pStyle w:val="SDMPara"/>
      </w:pPr>
      <w:r w:rsidRPr="00B01EB5">
        <w:t>Where the mechanism methodology referring to this methodological tool specifies approaches that differ from those described in this methodological tool, the requirements contained in the mechanism methodology shall take precedence.</w:t>
      </w:r>
    </w:p>
    <w:p w14:paraId="5D3E7048" w14:textId="77777777" w:rsidR="00F42D86" w:rsidRPr="00DB635B" w:rsidRDefault="00F42D86">
      <w:pPr>
        <w:pStyle w:val="SDMHead1"/>
      </w:pPr>
      <w:bookmarkStart w:id="195" w:name="_Toc215208595"/>
      <w:bookmarkStart w:id="196" w:name="_Toc215216114"/>
      <w:bookmarkStart w:id="197" w:name="_Toc215222850"/>
      <w:bookmarkStart w:id="198" w:name="_Toc215223038"/>
      <w:bookmarkStart w:id="199" w:name="_Toc215223260"/>
      <w:bookmarkStart w:id="200" w:name="_Toc346039902"/>
      <w:bookmarkStart w:id="201" w:name="_Toc352521232"/>
      <w:bookmarkStart w:id="202" w:name="_Toc353201622"/>
      <w:bookmarkStart w:id="203" w:name="_Toc354405687"/>
      <w:bookmarkStart w:id="204" w:name="_Toc354405701"/>
      <w:bookmarkStart w:id="205" w:name="_Toc354503032"/>
      <w:bookmarkStart w:id="206" w:name="_Toc202965398"/>
      <w:bookmarkStart w:id="207" w:name="_Toc212389901"/>
      <w:bookmarkStart w:id="208" w:name="_Toc215208596"/>
      <w:bookmarkStart w:id="209" w:name="_Toc215216115"/>
      <w:bookmarkStart w:id="210" w:name="_Toc215222851"/>
      <w:bookmarkStart w:id="211" w:name="_Toc215223039"/>
      <w:bookmarkStart w:id="212" w:name="_Toc215223261"/>
      <w:bookmarkStart w:id="213" w:name="_Toc215574882"/>
      <w:bookmarkStart w:id="214" w:name="_Toc215923321"/>
      <w:bookmarkStart w:id="215" w:name="_Toc216093017"/>
      <w:bookmarkStart w:id="216" w:name="_Toc216271746"/>
      <w:bookmarkStart w:id="217" w:name="_Toc216279363"/>
      <w:bookmarkStart w:id="218" w:name="_Toc216283401"/>
      <w:bookmarkStart w:id="219" w:name="_Toc216288019"/>
      <w:bookmarkStart w:id="220" w:name="_Toc219666126"/>
      <w:bookmarkStart w:id="221" w:name="_Toc220001387"/>
      <w:bookmarkStart w:id="222" w:name="_Toc221096410"/>
      <w:bookmarkStart w:id="223" w:name="_Toc221097962"/>
      <w:bookmarkStart w:id="224" w:name="_Toc221116258"/>
      <w:bookmarkStart w:id="225" w:name="_Toc221117274"/>
      <w:bookmarkStart w:id="226" w:name="_Toc222132112"/>
      <w:bookmarkStart w:id="227" w:name="_Toc222494913"/>
      <w:bookmarkStart w:id="228" w:name="_Toc222512429"/>
      <w:bookmarkStart w:id="229" w:name="_Toc222741749"/>
      <w:bookmarkEnd w:id="194"/>
      <w:bookmarkEnd w:id="195"/>
      <w:bookmarkEnd w:id="196"/>
      <w:bookmarkEnd w:id="197"/>
      <w:bookmarkEnd w:id="198"/>
      <w:bookmarkEnd w:id="199"/>
      <w:r w:rsidRPr="00DB635B">
        <w:t xml:space="preserve">Normative </w:t>
      </w:r>
      <w:r w:rsidR="001816C9" w:rsidRPr="00DB635B">
        <w:t xml:space="preserve">and informative </w:t>
      </w:r>
      <w:r w:rsidRPr="00DB635B">
        <w:t>references</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580C7D21" w14:textId="678F0647" w:rsidR="00FB671C" w:rsidRPr="00B01EB5" w:rsidRDefault="0070626D">
      <w:pPr>
        <w:pStyle w:val="SDMPara"/>
      </w:pPr>
      <w:bookmarkStart w:id="230" w:name="_Toc346039903"/>
      <w:bookmarkStart w:id="231" w:name="_Toc352521233"/>
      <w:bookmarkStart w:id="232" w:name="_Toc353201623"/>
      <w:bookmarkStart w:id="233" w:name="_Toc354405688"/>
      <w:bookmarkStart w:id="234" w:name="_Toc354405702"/>
      <w:bookmarkStart w:id="235" w:name="_Toc354503033"/>
      <w:r w:rsidRPr="00B01EB5">
        <w:t>This</w:t>
      </w:r>
      <w:r w:rsidR="00E2583B" w:rsidRPr="00B01EB5">
        <w:t xml:space="preserve"> normative document is indispensable for the application of this methodological tool. The most recent version of </w:t>
      </w:r>
      <w:r w:rsidRPr="00B01EB5">
        <w:t xml:space="preserve">this </w:t>
      </w:r>
      <w:r w:rsidR="00E2583B" w:rsidRPr="00B01EB5">
        <w:t>document</w:t>
      </w:r>
      <w:r w:rsidR="0061185A" w:rsidRPr="00B01EB5">
        <w:t xml:space="preserve"> </w:t>
      </w:r>
      <w:r w:rsidR="00E2583B" w:rsidRPr="00B01EB5">
        <w:t>shall apply:</w:t>
      </w:r>
      <w:r w:rsidR="000F0DBF" w:rsidRPr="00B01EB5">
        <w:t xml:space="preserve"> </w:t>
      </w:r>
      <w:r w:rsidR="005B7902" w:rsidRPr="00B01EB5">
        <w:t>Intergovernmental Panel on Climate Change (2019)</w:t>
      </w:r>
      <w:r w:rsidR="00A41714" w:rsidRPr="00B01EB5">
        <w:t>.</w:t>
      </w:r>
      <w:r w:rsidR="005B7902" w:rsidRPr="00B01EB5">
        <w:t xml:space="preserve"> 2019 Refinement to the 2006 IPCC Guidelines for National Greenhouse Gas Inventories</w:t>
      </w:r>
      <w:r w:rsidR="009B305F" w:rsidRPr="00B01EB5">
        <w:t>.</w:t>
      </w:r>
      <w:r w:rsidR="009B336B">
        <w:rPr>
          <w:rStyle w:val="FootnoteReference"/>
        </w:rPr>
        <w:footnoteReference w:id="6"/>
      </w:r>
    </w:p>
    <w:p w14:paraId="722940AA" w14:textId="77777777" w:rsidR="009D0F50" w:rsidRPr="00DB635B" w:rsidRDefault="009D0F50">
      <w:pPr>
        <w:pStyle w:val="SDMHead1"/>
      </w:pPr>
      <w:bookmarkStart w:id="236" w:name="_Toc478738158"/>
      <w:bookmarkStart w:id="237" w:name="_Toc202965400"/>
      <w:bookmarkStart w:id="238" w:name="_Toc212389902"/>
      <w:bookmarkStart w:id="239" w:name="_Toc215208597"/>
      <w:bookmarkStart w:id="240" w:name="_Toc215216116"/>
      <w:bookmarkStart w:id="241" w:name="_Toc215222852"/>
      <w:bookmarkStart w:id="242" w:name="_Toc215223040"/>
      <w:bookmarkStart w:id="243" w:name="_Toc215223262"/>
      <w:bookmarkStart w:id="244" w:name="_Toc215574883"/>
      <w:bookmarkStart w:id="245" w:name="_Toc215923322"/>
      <w:bookmarkStart w:id="246" w:name="_Toc216093018"/>
      <w:bookmarkStart w:id="247" w:name="_Toc216271747"/>
      <w:bookmarkStart w:id="248" w:name="_Toc216279364"/>
      <w:bookmarkStart w:id="249" w:name="_Toc216283402"/>
      <w:bookmarkStart w:id="250" w:name="_Toc216288020"/>
      <w:bookmarkStart w:id="251" w:name="_Toc219666127"/>
      <w:bookmarkStart w:id="252" w:name="_Toc220001388"/>
      <w:bookmarkStart w:id="253" w:name="_Toc221096411"/>
      <w:bookmarkStart w:id="254" w:name="_Toc221097963"/>
      <w:bookmarkStart w:id="255" w:name="_Toc221116259"/>
      <w:bookmarkStart w:id="256" w:name="_Toc221117275"/>
      <w:bookmarkStart w:id="257" w:name="_Toc222132113"/>
      <w:bookmarkStart w:id="258" w:name="_Toc222494914"/>
      <w:bookmarkStart w:id="259" w:name="_Toc222512430"/>
      <w:bookmarkStart w:id="260" w:name="_Toc222741750"/>
      <w:bookmarkEnd w:id="230"/>
      <w:bookmarkEnd w:id="231"/>
      <w:bookmarkEnd w:id="232"/>
      <w:bookmarkEnd w:id="233"/>
      <w:bookmarkEnd w:id="234"/>
      <w:bookmarkEnd w:id="235"/>
      <w:r w:rsidRPr="00DB635B">
        <w:t>Methodolog</w:t>
      </w:r>
      <w:r w:rsidR="009F0083" w:rsidRPr="00DB635B">
        <w:t>ical</w:t>
      </w:r>
      <w:r w:rsidRPr="00DB635B">
        <w:t xml:space="preserve"> </w:t>
      </w:r>
      <w:bookmarkEnd w:id="236"/>
      <w:bookmarkEnd w:id="237"/>
      <w:r w:rsidR="009F0083" w:rsidRPr="00DB635B">
        <w:t>approaches</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33A2A641" w14:textId="069393CC" w:rsidR="00841D39" w:rsidRDefault="00841D39">
      <w:pPr>
        <w:pStyle w:val="SDMPara"/>
      </w:pPr>
      <w:bookmarkStart w:id="261" w:name="_Toc478738159"/>
      <w:bookmarkStart w:id="262" w:name="_Toc202965401"/>
      <w:r w:rsidRPr="00841D39">
        <w:t>Activity participants shall determine emissions from electricity consumption and/or generation through the steps</w:t>
      </w:r>
      <w:r w:rsidR="00886AB3">
        <w:t xml:space="preserve"> </w:t>
      </w:r>
      <w:r w:rsidR="0091047D">
        <w:t xml:space="preserve">listed below. A flowchart is included in </w:t>
      </w:r>
      <w:r w:rsidR="114580D6">
        <w:t>a</w:t>
      </w:r>
      <w:r w:rsidR="0091047D">
        <w:t>ppendix</w:t>
      </w:r>
      <w:r w:rsidR="001E6F49">
        <w:t> </w:t>
      </w:r>
      <w:r w:rsidR="00951AAE">
        <w:t>1</w:t>
      </w:r>
      <w:r w:rsidR="0091047D">
        <w:t xml:space="preserve"> illustrating </w:t>
      </w:r>
      <w:r w:rsidR="00951AAE">
        <w:t xml:space="preserve">the application of these steps for </w:t>
      </w:r>
      <w:r w:rsidR="00322DDE">
        <w:t>the different scenarios discussed under Step</w:t>
      </w:r>
      <w:r w:rsidR="001E6F49">
        <w:t> </w:t>
      </w:r>
      <w:r w:rsidR="00322DDE">
        <w:t>2</w:t>
      </w:r>
      <w:r w:rsidR="008106BC">
        <w:t>.</w:t>
      </w:r>
    </w:p>
    <w:p w14:paraId="01D0E60E" w14:textId="425E5397" w:rsidR="001D6F3F" w:rsidRPr="00F4050B" w:rsidRDefault="001D6F3F">
      <w:pPr>
        <w:pStyle w:val="SDMSubPara1"/>
      </w:pPr>
      <w:r w:rsidRPr="00F4050B">
        <w:rPr>
          <w:b/>
          <w:bCs/>
        </w:rPr>
        <w:t>Step</w:t>
      </w:r>
      <w:r w:rsidR="00F7210B" w:rsidRPr="00F4050B">
        <w:rPr>
          <w:b/>
          <w:bCs/>
        </w:rPr>
        <w:t> </w:t>
      </w:r>
      <w:r w:rsidRPr="00F4050B">
        <w:rPr>
          <w:b/>
          <w:bCs/>
        </w:rPr>
        <w:t>1:</w:t>
      </w:r>
      <w:r w:rsidRPr="00F4050B">
        <w:t xml:space="preserve"> </w:t>
      </w:r>
      <w:bookmarkStart w:id="263" w:name="_Hlk215688443"/>
      <w:r w:rsidR="00AA7C0C" w:rsidRPr="00F4050B">
        <w:t>identify</w:t>
      </w:r>
      <w:r w:rsidR="00AA7C0C" w:rsidRPr="00F4050B" w:rsidDel="005263B7">
        <w:t xml:space="preserve"> </w:t>
      </w:r>
      <w:r w:rsidR="00F46BA2" w:rsidRPr="00F4050B">
        <w:t>all</w:t>
      </w:r>
      <w:r w:rsidR="005263B7" w:rsidRPr="00F4050B">
        <w:t xml:space="preserve"> </w:t>
      </w:r>
      <w:r w:rsidRPr="00F4050B">
        <w:t xml:space="preserve">relevant </w:t>
      </w:r>
      <w:r w:rsidR="005F316C" w:rsidRPr="00F4050B">
        <w:t xml:space="preserve">electricity generation </w:t>
      </w:r>
      <w:r w:rsidR="0007208C" w:rsidRPr="00F4050B">
        <w:t>and</w:t>
      </w:r>
      <w:r w:rsidR="005F316C" w:rsidRPr="00F4050B">
        <w:t xml:space="preserve"> consumption source</w:t>
      </w:r>
      <w:r w:rsidR="00C01AB4" w:rsidRPr="00F4050B">
        <w:t>s</w:t>
      </w:r>
      <w:r w:rsidR="005F316C" w:rsidRPr="00F4050B">
        <w:t> </w:t>
      </w:r>
      <w:r w:rsidR="005F316C" w:rsidRPr="00842253">
        <w:rPr>
          <w:i/>
          <w:iCs/>
        </w:rPr>
        <w:t>s</w:t>
      </w:r>
      <w:r w:rsidR="005F316C" w:rsidRPr="00F4050B">
        <w:t xml:space="preserve"> </w:t>
      </w:r>
      <w:r w:rsidRPr="00F4050B">
        <w:t>in relation to the Article 6.4 activity</w:t>
      </w:r>
      <w:bookmarkEnd w:id="263"/>
      <w:r w:rsidRPr="00F4050B">
        <w:t xml:space="preserve"> (</w:t>
      </w:r>
      <w:r w:rsidR="002A0259" w:rsidRPr="00F4050B">
        <w:t xml:space="preserve">see </w:t>
      </w:r>
      <w:r w:rsidRPr="00F4050B">
        <w:t>section</w:t>
      </w:r>
      <w:r w:rsidR="00451F27">
        <w:t> </w:t>
      </w:r>
      <w:r w:rsidR="00F53C82">
        <w:fldChar w:fldCharType="begin"/>
      </w:r>
      <w:r w:rsidR="00F53C82">
        <w:instrText xml:space="preserve"> REF _Ref221036476 \w \h </w:instrText>
      </w:r>
      <w:r w:rsidR="00F53C82">
        <w:fldChar w:fldCharType="separate"/>
      </w:r>
      <w:r w:rsidR="00D811A8">
        <w:rPr>
          <w:cs/>
        </w:rPr>
        <w:t>‎</w:t>
      </w:r>
      <w:r w:rsidR="00D811A8">
        <w:t>5.1</w:t>
      </w:r>
      <w:r w:rsidR="00F53C82">
        <w:fldChar w:fldCharType="end"/>
      </w:r>
      <w:r w:rsidRPr="00F4050B">
        <w:t>);</w:t>
      </w:r>
    </w:p>
    <w:p w14:paraId="461663C7" w14:textId="699C42E4" w:rsidR="001D6F3F" w:rsidRPr="00F4050B" w:rsidRDefault="5D1B63AA">
      <w:pPr>
        <w:pStyle w:val="SDMSubPara1"/>
      </w:pPr>
      <w:r w:rsidRPr="00F4050B">
        <w:rPr>
          <w:b/>
          <w:bCs/>
        </w:rPr>
        <w:t>Step</w:t>
      </w:r>
      <w:r w:rsidR="622BEDE1" w:rsidRPr="00F4050B">
        <w:rPr>
          <w:b/>
          <w:bCs/>
        </w:rPr>
        <w:t> </w:t>
      </w:r>
      <w:r w:rsidRPr="00F4050B">
        <w:rPr>
          <w:b/>
          <w:bCs/>
        </w:rPr>
        <w:t>2:</w:t>
      </w:r>
      <w:r w:rsidRPr="00F4050B">
        <w:t xml:space="preserve"> </w:t>
      </w:r>
      <w:r w:rsidR="00AA7C0C" w:rsidRPr="00F4050B">
        <w:t>determine</w:t>
      </w:r>
      <w:r w:rsidR="00C56B20" w:rsidRPr="00F4050B">
        <w:t>,</w:t>
      </w:r>
      <w:r w:rsidRPr="00F4050B">
        <w:t xml:space="preserve"> for each </w:t>
      </w:r>
      <w:r w:rsidR="3834969F" w:rsidRPr="00F4050B">
        <w:t>electricity generation or consumption source </w:t>
      </w:r>
      <w:r w:rsidR="3834969F" w:rsidRPr="00604F4C">
        <w:rPr>
          <w:i/>
        </w:rPr>
        <w:t>s</w:t>
      </w:r>
      <w:r w:rsidR="00C56B20" w:rsidRPr="00F4050B">
        <w:t>,</w:t>
      </w:r>
      <w:r w:rsidR="3834969F" w:rsidRPr="00F4050B">
        <w:t xml:space="preserve"> </w:t>
      </w:r>
      <w:r w:rsidRPr="00F4050B">
        <w:t xml:space="preserve">whether electricity is </w:t>
      </w:r>
      <w:r w:rsidR="4A20D65A" w:rsidRPr="00F4050B">
        <w:t xml:space="preserve">consumed </w:t>
      </w:r>
      <w:r w:rsidRPr="00F4050B">
        <w:t xml:space="preserve">from </w:t>
      </w:r>
      <w:r w:rsidR="2FF6FEB8" w:rsidRPr="00F4050B">
        <w:t>or fed into</w:t>
      </w:r>
      <w:r w:rsidRPr="00F4050B">
        <w:t xml:space="preserve"> </w:t>
      </w:r>
      <w:r w:rsidR="1B35D584" w:rsidRPr="00F4050B">
        <w:t>an</w:t>
      </w:r>
      <w:r w:rsidR="17D5FC47" w:rsidRPr="00F4050B">
        <w:t xml:space="preserve"> electric</w:t>
      </w:r>
      <w:r w:rsidR="341E3A0B" w:rsidRPr="00F4050B">
        <w:t>ity</w:t>
      </w:r>
      <w:r w:rsidR="17D5FC47" w:rsidRPr="00F4050B">
        <w:t xml:space="preserve"> system</w:t>
      </w:r>
      <w:r w:rsidR="002A0259" w:rsidRPr="00F4050B">
        <w:t>,</w:t>
      </w:r>
      <w:r w:rsidR="17D5FC47" w:rsidRPr="00F4050B">
        <w:t xml:space="preserve"> </w:t>
      </w:r>
      <w:r w:rsidRPr="00F4050B">
        <w:t xml:space="preserve">or </w:t>
      </w:r>
      <w:r w:rsidR="2FF6FEB8" w:rsidRPr="00F4050B">
        <w:t xml:space="preserve">whether it is consumed </w:t>
      </w:r>
      <w:r w:rsidR="17D5FC47" w:rsidRPr="00F4050B">
        <w:t xml:space="preserve">from </w:t>
      </w:r>
      <w:r w:rsidR="2FF6FEB8" w:rsidRPr="00F4050B">
        <w:t>or avoids power</w:t>
      </w:r>
      <w:r w:rsidR="39B1CFD7" w:rsidRPr="00F4050B">
        <w:t xml:space="preserve"> generation by </w:t>
      </w:r>
      <w:r w:rsidR="000B302C">
        <w:t>fossil</w:t>
      </w:r>
      <w:r w:rsidR="1C2D3AB8">
        <w:t>-</w:t>
      </w:r>
      <w:r w:rsidR="000B302C">
        <w:t xml:space="preserve">fuel fired </w:t>
      </w:r>
      <w:r w:rsidRPr="00F4050B">
        <w:t xml:space="preserve">captive power </w:t>
      </w:r>
      <w:r w:rsidR="79B2ECE3" w:rsidRPr="00F4050B">
        <w:t>plant(s)</w:t>
      </w:r>
      <w:r w:rsidRPr="00F4050B">
        <w:t xml:space="preserve"> (</w:t>
      </w:r>
      <w:r w:rsidR="002A0259" w:rsidRPr="00F4050B">
        <w:t xml:space="preserve">see </w:t>
      </w:r>
      <w:r w:rsidRPr="00F4050B">
        <w:t>section</w:t>
      </w:r>
      <w:r w:rsidR="27827080" w:rsidRPr="00F4050B">
        <w:t> </w:t>
      </w:r>
      <w:r w:rsidR="00F53C82">
        <w:fldChar w:fldCharType="begin"/>
      </w:r>
      <w:r w:rsidR="00F53C82">
        <w:instrText xml:space="preserve"> REF _Ref221036493 \w \h </w:instrText>
      </w:r>
      <w:r w:rsidR="00F53C82">
        <w:fldChar w:fldCharType="separate"/>
      </w:r>
      <w:r w:rsidR="00D811A8">
        <w:rPr>
          <w:cs/>
        </w:rPr>
        <w:t>‎</w:t>
      </w:r>
      <w:r w:rsidR="00D811A8">
        <w:t>5.2</w:t>
      </w:r>
      <w:r w:rsidR="00F53C82">
        <w:fldChar w:fldCharType="end"/>
      </w:r>
      <w:r w:rsidRPr="00F4050B">
        <w:t>);</w:t>
      </w:r>
    </w:p>
    <w:p w14:paraId="63FEA814" w14:textId="002DAA67" w:rsidR="001D6F3F" w:rsidRPr="00F4050B" w:rsidRDefault="001D6F3F">
      <w:pPr>
        <w:pStyle w:val="SDMSubPara1"/>
      </w:pPr>
      <w:r w:rsidRPr="00F4050B">
        <w:rPr>
          <w:b/>
          <w:bCs/>
        </w:rPr>
        <w:t>Step</w:t>
      </w:r>
      <w:r w:rsidR="00F7210B" w:rsidRPr="00F4050B">
        <w:rPr>
          <w:b/>
          <w:bCs/>
        </w:rPr>
        <w:t> </w:t>
      </w:r>
      <w:r w:rsidRPr="00F4050B">
        <w:rPr>
          <w:b/>
          <w:bCs/>
        </w:rPr>
        <w:t>3:</w:t>
      </w:r>
      <w:r w:rsidRPr="00F4050B">
        <w:t xml:space="preserve"> </w:t>
      </w:r>
      <w:r w:rsidR="00AA7C0C" w:rsidRPr="00F4050B">
        <w:t xml:space="preserve">identify </w:t>
      </w:r>
      <w:r w:rsidRPr="00F4050B">
        <w:t>the relevant electricity system</w:t>
      </w:r>
      <w:r w:rsidR="007C7087" w:rsidRPr="00F4050B">
        <w:t>(</w:t>
      </w:r>
      <w:r w:rsidRPr="00F4050B">
        <w:t>s</w:t>
      </w:r>
      <w:r w:rsidR="007C7087" w:rsidRPr="00F4050B">
        <w:t>)</w:t>
      </w:r>
      <w:r w:rsidRPr="00F4050B">
        <w:t>, where applicable (</w:t>
      </w:r>
      <w:r w:rsidR="002A0259" w:rsidRPr="00F4050B">
        <w:t xml:space="preserve">see </w:t>
      </w:r>
      <w:r w:rsidRPr="00F4050B">
        <w:t>section</w:t>
      </w:r>
      <w:r w:rsidR="00F53C82">
        <w:t xml:space="preserve"> </w:t>
      </w:r>
      <w:r w:rsidR="00F53C82">
        <w:fldChar w:fldCharType="begin"/>
      </w:r>
      <w:r w:rsidR="00F53C82">
        <w:instrText xml:space="preserve"> REF _Ref221036511 \w \h </w:instrText>
      </w:r>
      <w:r w:rsidR="00F53C82">
        <w:fldChar w:fldCharType="separate"/>
      </w:r>
      <w:r w:rsidR="00D811A8">
        <w:rPr>
          <w:cs/>
        </w:rPr>
        <w:t>‎</w:t>
      </w:r>
      <w:r w:rsidR="00D811A8">
        <w:t>5.3</w:t>
      </w:r>
      <w:r w:rsidR="00F53C82">
        <w:fldChar w:fldCharType="end"/>
      </w:r>
      <w:r w:rsidRPr="00F4050B">
        <w:t>);</w:t>
      </w:r>
    </w:p>
    <w:p w14:paraId="3B82EF7E" w14:textId="5370C41D" w:rsidR="00FF70B5" w:rsidRPr="00F4050B" w:rsidRDefault="0030784C">
      <w:pPr>
        <w:pStyle w:val="SDMSubPara1"/>
      </w:pPr>
      <w:r w:rsidRPr="00F4050B">
        <w:rPr>
          <w:b/>
          <w:bCs/>
        </w:rPr>
        <w:t>Step</w:t>
      </w:r>
      <w:r w:rsidR="00F7210B" w:rsidRPr="00F4050B">
        <w:rPr>
          <w:b/>
          <w:bCs/>
        </w:rPr>
        <w:t> </w:t>
      </w:r>
      <w:r w:rsidRPr="00F4050B">
        <w:rPr>
          <w:b/>
          <w:bCs/>
        </w:rPr>
        <w:t>4:</w:t>
      </w:r>
      <w:r w:rsidRPr="00F4050B">
        <w:t xml:space="preserve"> </w:t>
      </w:r>
      <w:r w:rsidR="00AA7C0C" w:rsidRPr="00F4050B">
        <w:t xml:space="preserve">determine </w:t>
      </w:r>
      <w:r w:rsidR="00A73F1E" w:rsidRPr="00F4050B">
        <w:t xml:space="preserve">whether </w:t>
      </w:r>
      <w:r w:rsidR="00837DF4" w:rsidRPr="00F4050B">
        <w:t xml:space="preserve">applying </w:t>
      </w:r>
      <w:r w:rsidR="008139F3" w:rsidRPr="00F4050B">
        <w:t xml:space="preserve">a </w:t>
      </w:r>
      <w:r w:rsidR="00A73F1E" w:rsidRPr="00F4050B">
        <w:t xml:space="preserve">higher or </w:t>
      </w:r>
      <w:r w:rsidR="00F857DB" w:rsidRPr="00F4050B">
        <w:t xml:space="preserve">a </w:t>
      </w:r>
      <w:r w:rsidR="00A73F1E" w:rsidRPr="00F4050B">
        <w:t>lower</w:t>
      </w:r>
      <w:r w:rsidR="005450C8" w:rsidRPr="00F4050B">
        <w:t xml:space="preserve"> value</w:t>
      </w:r>
      <w:r w:rsidR="008139F3" w:rsidRPr="00F4050B">
        <w:t xml:space="preserve"> </w:t>
      </w:r>
      <w:r w:rsidRPr="00F4050B">
        <w:t>for emission</w:t>
      </w:r>
      <w:r w:rsidR="0021414E" w:rsidRPr="00F4050B">
        <w:t>s</w:t>
      </w:r>
      <w:r w:rsidR="00EB5D11" w:rsidRPr="00F4050B">
        <w:t xml:space="preserve"> </w:t>
      </w:r>
      <w:r w:rsidRPr="00F4050B">
        <w:t>from electricity generation</w:t>
      </w:r>
      <w:r w:rsidR="00EB5D11" w:rsidRPr="00F4050B">
        <w:t xml:space="preserve"> </w:t>
      </w:r>
      <w:r w:rsidR="00C029DC" w:rsidRPr="00F4050B">
        <w:t>and/</w:t>
      </w:r>
      <w:r w:rsidR="00EB5D11" w:rsidRPr="00F4050B">
        <w:t xml:space="preserve">or </w:t>
      </w:r>
      <w:r w:rsidRPr="00F4050B">
        <w:t>consumption</w:t>
      </w:r>
      <w:r w:rsidR="00EB5D11" w:rsidRPr="00F4050B">
        <w:t xml:space="preserve"> is more conservative</w:t>
      </w:r>
      <w:r w:rsidR="00FF70B5" w:rsidRPr="00F4050B">
        <w:t xml:space="preserve"> </w:t>
      </w:r>
      <w:r w:rsidRPr="00F4050B">
        <w:t>(</w:t>
      </w:r>
      <w:r w:rsidR="002B3856" w:rsidRPr="00F4050B">
        <w:t xml:space="preserve">see </w:t>
      </w:r>
      <w:r w:rsidRPr="00F4050B">
        <w:t>section</w:t>
      </w:r>
      <w:r w:rsidR="00F53C82">
        <w:t xml:space="preserve"> </w:t>
      </w:r>
      <w:r w:rsidR="00F53C82">
        <w:fldChar w:fldCharType="begin"/>
      </w:r>
      <w:r w:rsidR="00F53C82">
        <w:instrText xml:space="preserve"> REF _Ref221036530 \w \h </w:instrText>
      </w:r>
      <w:r w:rsidR="00F53C82">
        <w:fldChar w:fldCharType="separate"/>
      </w:r>
      <w:r w:rsidR="00D811A8">
        <w:rPr>
          <w:cs/>
        </w:rPr>
        <w:t>‎</w:t>
      </w:r>
      <w:r w:rsidR="00D811A8">
        <w:t>5.4</w:t>
      </w:r>
      <w:r w:rsidR="00F53C82">
        <w:fldChar w:fldCharType="end"/>
      </w:r>
      <w:r w:rsidRPr="00F4050B">
        <w:t>);</w:t>
      </w:r>
    </w:p>
    <w:p w14:paraId="292A81A7" w14:textId="7CCDD083" w:rsidR="001D6F3F" w:rsidRPr="00F4050B" w:rsidRDefault="001D6F3F">
      <w:pPr>
        <w:pStyle w:val="SDMSubPara1"/>
      </w:pPr>
      <w:r w:rsidRPr="00F4050B">
        <w:rPr>
          <w:b/>
          <w:bCs/>
        </w:rPr>
        <w:t>Step</w:t>
      </w:r>
      <w:r w:rsidR="00F7210B" w:rsidRPr="00F4050B">
        <w:rPr>
          <w:b/>
          <w:bCs/>
        </w:rPr>
        <w:t> </w:t>
      </w:r>
      <w:r w:rsidR="0030784C" w:rsidRPr="00F4050B">
        <w:rPr>
          <w:b/>
          <w:bCs/>
        </w:rPr>
        <w:t>5</w:t>
      </w:r>
      <w:r w:rsidRPr="00F4050B">
        <w:rPr>
          <w:b/>
          <w:bCs/>
        </w:rPr>
        <w:t>:</w:t>
      </w:r>
      <w:r w:rsidRPr="00F4050B">
        <w:t xml:space="preserve"> </w:t>
      </w:r>
      <w:r w:rsidR="00AA7C0C" w:rsidRPr="00F4050B">
        <w:t xml:space="preserve">determine </w:t>
      </w:r>
      <w:r w:rsidRPr="00F4050B">
        <w:t xml:space="preserve">the amount of electricity </w:t>
      </w:r>
      <w:r w:rsidR="001A234D" w:rsidRPr="00F4050B">
        <w:t xml:space="preserve">generation </w:t>
      </w:r>
      <w:r w:rsidR="00C029DC" w:rsidRPr="00F4050B">
        <w:t>and/</w:t>
      </w:r>
      <w:r w:rsidRPr="00F4050B">
        <w:t xml:space="preserve">or </w:t>
      </w:r>
      <w:r w:rsidR="001A234D" w:rsidRPr="00F4050B">
        <w:t>consumption</w:t>
      </w:r>
      <w:r w:rsidR="00400CBF" w:rsidRPr="00F4050B">
        <w:t xml:space="preserve"> </w:t>
      </w:r>
      <w:r w:rsidRPr="00F4050B">
        <w:t>(</w:t>
      </w:r>
      <w:r w:rsidR="002B3856" w:rsidRPr="00F4050B">
        <w:t xml:space="preserve">see </w:t>
      </w:r>
      <w:r w:rsidRPr="00F4050B">
        <w:t>sectio</w:t>
      </w:r>
      <w:r w:rsidR="00CF4B2C" w:rsidRPr="00F4050B">
        <w:t xml:space="preserve">n </w:t>
      </w:r>
      <w:r w:rsidR="00F53C82">
        <w:fldChar w:fldCharType="begin"/>
      </w:r>
      <w:r w:rsidR="00F53C82">
        <w:instrText xml:space="preserve"> REF _Ref221036542 \w \h </w:instrText>
      </w:r>
      <w:r w:rsidR="00F53C82">
        <w:fldChar w:fldCharType="separate"/>
      </w:r>
      <w:r w:rsidR="00D811A8">
        <w:rPr>
          <w:cs/>
        </w:rPr>
        <w:t>‎</w:t>
      </w:r>
      <w:r w:rsidR="00D811A8">
        <w:t>5.5</w:t>
      </w:r>
      <w:r w:rsidR="00F53C82">
        <w:fldChar w:fldCharType="end"/>
      </w:r>
      <w:r w:rsidRPr="00F4050B">
        <w:t>);</w:t>
      </w:r>
    </w:p>
    <w:p w14:paraId="5EBCA514" w14:textId="6BB865A6" w:rsidR="001D6F3F" w:rsidRPr="00F4050B" w:rsidRDefault="00CB2392">
      <w:pPr>
        <w:pStyle w:val="SDMSubPara1"/>
      </w:pPr>
      <w:r w:rsidRPr="00F4050B">
        <w:rPr>
          <w:b/>
          <w:bCs/>
        </w:rPr>
        <w:t>Step</w:t>
      </w:r>
      <w:r w:rsidR="00F7210B" w:rsidRPr="00F4050B">
        <w:rPr>
          <w:b/>
          <w:bCs/>
        </w:rPr>
        <w:t> </w:t>
      </w:r>
      <w:r w:rsidRPr="00F4050B">
        <w:rPr>
          <w:b/>
          <w:bCs/>
        </w:rPr>
        <w:t>6:</w:t>
      </w:r>
      <w:r w:rsidRPr="00F4050B">
        <w:t xml:space="preserve"> </w:t>
      </w:r>
      <w:r w:rsidR="00AA7C0C" w:rsidRPr="00F4050B">
        <w:t xml:space="preserve">determine </w:t>
      </w:r>
      <w:r w:rsidR="00737805" w:rsidRPr="00F4050B">
        <w:t xml:space="preserve">which emission factor is applicable </w:t>
      </w:r>
      <w:r w:rsidRPr="00F4050B">
        <w:t>(</w:t>
      </w:r>
      <w:r w:rsidR="002B3856" w:rsidRPr="00F4050B">
        <w:t xml:space="preserve">see </w:t>
      </w:r>
      <w:r w:rsidRPr="00F4050B">
        <w:t>section</w:t>
      </w:r>
      <w:r w:rsidR="00F53C82">
        <w:t xml:space="preserve"> </w:t>
      </w:r>
      <w:r w:rsidR="00084BC3">
        <w:fldChar w:fldCharType="begin"/>
      </w:r>
      <w:r w:rsidR="00084BC3">
        <w:instrText xml:space="preserve"> REF _Ref212234563 \w \h </w:instrText>
      </w:r>
      <w:r w:rsidR="00084BC3">
        <w:fldChar w:fldCharType="separate"/>
      </w:r>
      <w:r w:rsidR="00D811A8">
        <w:rPr>
          <w:cs/>
        </w:rPr>
        <w:t>‎</w:t>
      </w:r>
      <w:r w:rsidR="00D811A8">
        <w:t>5.6</w:t>
      </w:r>
      <w:r w:rsidR="00084BC3">
        <w:fldChar w:fldCharType="end"/>
      </w:r>
      <w:r w:rsidRPr="00F4050B">
        <w:t>)</w:t>
      </w:r>
      <w:r w:rsidR="00D5077E" w:rsidRPr="00F4050B">
        <w:t>;</w:t>
      </w:r>
    </w:p>
    <w:p w14:paraId="0615E010" w14:textId="26EE4BD2" w:rsidR="002A3C11" w:rsidRPr="00F4050B" w:rsidRDefault="002A3C11">
      <w:pPr>
        <w:pStyle w:val="SDMSubPara1"/>
      </w:pPr>
      <w:r w:rsidRPr="00F4050B">
        <w:rPr>
          <w:b/>
          <w:bCs/>
        </w:rPr>
        <w:t>Step</w:t>
      </w:r>
      <w:r w:rsidR="00F7210B" w:rsidRPr="00F4050B">
        <w:rPr>
          <w:b/>
          <w:bCs/>
        </w:rPr>
        <w:t> </w:t>
      </w:r>
      <w:r w:rsidRPr="00F4050B">
        <w:rPr>
          <w:b/>
          <w:bCs/>
        </w:rPr>
        <w:t>7</w:t>
      </w:r>
      <w:r w:rsidR="00FD3DBC" w:rsidRPr="00F4050B">
        <w:rPr>
          <w:b/>
          <w:bCs/>
        </w:rPr>
        <w:t>:</w:t>
      </w:r>
      <w:r w:rsidRPr="00F4050B">
        <w:t xml:space="preserve"> </w:t>
      </w:r>
      <w:r w:rsidR="00AA7C0C" w:rsidRPr="00F4050B">
        <w:t xml:space="preserve">determine </w:t>
      </w:r>
      <w:r w:rsidRPr="00F4050B">
        <w:t>the emission factor of the electricity system</w:t>
      </w:r>
      <w:r w:rsidR="00A24448" w:rsidRPr="00F4050B">
        <w:t>, where applicable</w:t>
      </w:r>
      <w:r w:rsidRPr="00F4050B">
        <w:t xml:space="preserve"> (</w:t>
      </w:r>
      <w:r w:rsidR="002B3856" w:rsidRPr="00F4050B">
        <w:t xml:space="preserve">see </w:t>
      </w:r>
      <w:r w:rsidRPr="00F4050B">
        <w:t xml:space="preserve">section </w:t>
      </w:r>
      <w:r w:rsidR="00084BC3">
        <w:fldChar w:fldCharType="begin"/>
      </w:r>
      <w:r w:rsidR="00084BC3">
        <w:instrText xml:space="preserve"> REF _Ref215680223 \w \h </w:instrText>
      </w:r>
      <w:r w:rsidR="00084BC3">
        <w:fldChar w:fldCharType="separate"/>
      </w:r>
      <w:r w:rsidR="00D811A8">
        <w:rPr>
          <w:cs/>
        </w:rPr>
        <w:t>‎</w:t>
      </w:r>
      <w:r w:rsidR="00D811A8">
        <w:t>5.7</w:t>
      </w:r>
      <w:r w:rsidR="00084BC3">
        <w:fldChar w:fldCharType="end"/>
      </w:r>
      <w:r w:rsidRPr="00F4050B">
        <w:t>);</w:t>
      </w:r>
    </w:p>
    <w:p w14:paraId="10417997" w14:textId="01C6D10D" w:rsidR="002A3C11" w:rsidRPr="00F4050B" w:rsidRDefault="009205D6">
      <w:pPr>
        <w:pStyle w:val="SDMSubPara1"/>
      </w:pPr>
      <w:r w:rsidRPr="00F4050B">
        <w:rPr>
          <w:b/>
          <w:bCs/>
        </w:rPr>
        <w:t>Step</w:t>
      </w:r>
      <w:r w:rsidR="00F7210B" w:rsidRPr="00F4050B">
        <w:rPr>
          <w:b/>
          <w:bCs/>
        </w:rPr>
        <w:t> </w:t>
      </w:r>
      <w:r w:rsidRPr="00F4050B">
        <w:rPr>
          <w:b/>
          <w:bCs/>
        </w:rPr>
        <w:t>8:</w:t>
      </w:r>
      <w:r w:rsidRPr="00F4050B">
        <w:t xml:space="preserve"> </w:t>
      </w:r>
      <w:r w:rsidR="00AA7C0C" w:rsidRPr="00F4050B">
        <w:t xml:space="preserve">determine </w:t>
      </w:r>
      <w:r w:rsidRPr="00F4050B">
        <w:t>the emission factor for electricity sourced from captive fossil</w:t>
      </w:r>
      <w:r w:rsidR="194344CD">
        <w:t>-</w:t>
      </w:r>
      <w:r w:rsidRPr="00F4050B">
        <w:t xml:space="preserve">fuel </w:t>
      </w:r>
      <w:r w:rsidR="194344CD">
        <w:t xml:space="preserve">fired </w:t>
      </w:r>
      <w:r w:rsidRPr="00F4050B">
        <w:t>power plants</w:t>
      </w:r>
      <w:r w:rsidR="008E0FBB" w:rsidRPr="00F4050B">
        <w:t>, where applicable</w:t>
      </w:r>
      <w:r w:rsidRPr="00F4050B">
        <w:t xml:space="preserve"> (</w:t>
      </w:r>
      <w:r w:rsidR="00436AC3" w:rsidRPr="00F4050B">
        <w:t xml:space="preserve">see </w:t>
      </w:r>
      <w:r w:rsidRPr="00F4050B">
        <w:t xml:space="preserve">section </w:t>
      </w:r>
      <w:r w:rsidR="001E655D">
        <w:fldChar w:fldCharType="begin"/>
      </w:r>
      <w:r w:rsidR="001E655D">
        <w:instrText xml:space="preserve"> REF _Ref215680292 \w \h </w:instrText>
      </w:r>
      <w:r w:rsidR="001E655D">
        <w:fldChar w:fldCharType="separate"/>
      </w:r>
      <w:r w:rsidR="00D811A8">
        <w:rPr>
          <w:cs/>
        </w:rPr>
        <w:t>‎</w:t>
      </w:r>
      <w:r w:rsidR="00D811A8">
        <w:t>5.8</w:t>
      </w:r>
      <w:r w:rsidR="001E655D">
        <w:fldChar w:fldCharType="end"/>
      </w:r>
      <w:r w:rsidRPr="00F4050B">
        <w:t>)</w:t>
      </w:r>
      <w:r w:rsidR="00F61D61" w:rsidRPr="00F4050B">
        <w:t>;</w:t>
      </w:r>
    </w:p>
    <w:p w14:paraId="3AE25D0A" w14:textId="3A3AE8A4" w:rsidR="001D6F3F" w:rsidRPr="00F4050B" w:rsidRDefault="00CB2392">
      <w:pPr>
        <w:pStyle w:val="SDMSubPara1"/>
      </w:pPr>
      <w:r w:rsidRPr="00F4050B">
        <w:rPr>
          <w:b/>
          <w:bCs/>
        </w:rPr>
        <w:t>Step</w:t>
      </w:r>
      <w:r w:rsidR="00F7210B" w:rsidRPr="00F4050B">
        <w:rPr>
          <w:b/>
          <w:bCs/>
        </w:rPr>
        <w:t> </w:t>
      </w:r>
      <w:r w:rsidR="002A3C11" w:rsidRPr="00F4050B">
        <w:rPr>
          <w:b/>
          <w:bCs/>
        </w:rPr>
        <w:t>9</w:t>
      </w:r>
      <w:r w:rsidRPr="00F4050B">
        <w:rPr>
          <w:b/>
          <w:bCs/>
        </w:rPr>
        <w:t>:</w:t>
      </w:r>
      <w:r w:rsidRPr="00F4050B">
        <w:t xml:space="preserve"> </w:t>
      </w:r>
      <w:bookmarkStart w:id="264" w:name="_Hlk215689744"/>
      <w:r w:rsidR="00AA7C0C" w:rsidRPr="00F4050B">
        <w:t xml:space="preserve">determine </w:t>
      </w:r>
      <w:r w:rsidR="0094340B" w:rsidRPr="00F4050B">
        <w:t>the</w:t>
      </w:r>
      <w:r w:rsidR="001D6F3F" w:rsidRPr="00F4050B">
        <w:t xml:space="preserve"> transmission and distribution losses</w:t>
      </w:r>
      <w:r w:rsidR="004767EA" w:rsidRPr="00F4050B">
        <w:t xml:space="preserve"> </w:t>
      </w:r>
      <w:r w:rsidR="00436AC3" w:rsidRPr="00F4050B">
        <w:t xml:space="preserve">in </w:t>
      </w:r>
      <w:r w:rsidR="004767EA" w:rsidRPr="00F4050B">
        <w:t>the electricity system</w:t>
      </w:r>
      <w:r w:rsidR="0094340B" w:rsidRPr="00F4050B">
        <w:t>, where applicable</w:t>
      </w:r>
      <w:bookmarkEnd w:id="264"/>
      <w:r w:rsidR="001D6F3F" w:rsidRPr="00F4050B">
        <w:t xml:space="preserve"> </w:t>
      </w:r>
      <w:r w:rsidRPr="00F4050B">
        <w:t>(</w:t>
      </w:r>
      <w:r w:rsidR="00436AC3" w:rsidRPr="00F4050B">
        <w:t xml:space="preserve">see </w:t>
      </w:r>
      <w:r w:rsidRPr="00F4050B">
        <w:t>section</w:t>
      </w:r>
      <w:r w:rsidR="001E655D">
        <w:t xml:space="preserve"> </w:t>
      </w:r>
      <w:r w:rsidR="001E655D">
        <w:fldChar w:fldCharType="begin"/>
      </w:r>
      <w:r w:rsidR="001E655D">
        <w:instrText xml:space="preserve"> REF _Ref221036644 \w \h </w:instrText>
      </w:r>
      <w:r w:rsidR="001E655D">
        <w:fldChar w:fldCharType="separate"/>
      </w:r>
      <w:r w:rsidR="00D811A8">
        <w:rPr>
          <w:cs/>
        </w:rPr>
        <w:t>‎</w:t>
      </w:r>
      <w:r w:rsidR="00D811A8">
        <w:t>5.9</w:t>
      </w:r>
      <w:r w:rsidR="001E655D">
        <w:fldChar w:fldCharType="end"/>
      </w:r>
      <w:r w:rsidRPr="00F4050B">
        <w:t>)</w:t>
      </w:r>
      <w:r w:rsidR="001D6F3F" w:rsidRPr="00F4050B">
        <w:t>;</w:t>
      </w:r>
      <w:r w:rsidR="00110D83" w:rsidRPr="00F4050B">
        <w:t xml:space="preserve"> and</w:t>
      </w:r>
    </w:p>
    <w:p w14:paraId="1918118A" w14:textId="50973C22" w:rsidR="001D6F3F" w:rsidRDefault="00CB2392">
      <w:pPr>
        <w:pStyle w:val="SDMSubPara1"/>
      </w:pPr>
      <w:r w:rsidRPr="00F4050B">
        <w:rPr>
          <w:b/>
          <w:bCs/>
        </w:rPr>
        <w:t>Step</w:t>
      </w:r>
      <w:r w:rsidR="00F7210B" w:rsidRPr="00F4050B">
        <w:rPr>
          <w:b/>
          <w:bCs/>
        </w:rPr>
        <w:t> </w:t>
      </w:r>
      <w:r w:rsidR="002A3C11" w:rsidRPr="00F4050B">
        <w:rPr>
          <w:b/>
          <w:bCs/>
        </w:rPr>
        <w:t>10</w:t>
      </w:r>
      <w:r w:rsidRPr="00F4050B">
        <w:rPr>
          <w:b/>
          <w:bCs/>
        </w:rPr>
        <w:t>:</w:t>
      </w:r>
      <w:r w:rsidRPr="00F4050B">
        <w:t xml:space="preserve"> </w:t>
      </w:r>
      <w:r w:rsidR="00AA7C0C" w:rsidRPr="00F4050B">
        <w:t xml:space="preserve">determine </w:t>
      </w:r>
      <w:r w:rsidR="001D6F3F" w:rsidRPr="00F4050B">
        <w:t xml:space="preserve">the emissions from electricity generation and/or consumption </w:t>
      </w:r>
      <w:r w:rsidRPr="00F4050B">
        <w:t>(</w:t>
      </w:r>
      <w:r w:rsidR="00110D83" w:rsidRPr="00F4050B">
        <w:t xml:space="preserve">see </w:t>
      </w:r>
      <w:r w:rsidRPr="00F4050B">
        <w:t>section</w:t>
      </w:r>
      <w:r w:rsidR="001E655D">
        <w:t xml:space="preserve"> </w:t>
      </w:r>
      <w:r w:rsidR="001E655D">
        <w:fldChar w:fldCharType="begin"/>
      </w:r>
      <w:r w:rsidR="001E655D">
        <w:instrText xml:space="preserve"> REF _Ref212234592 \w \h </w:instrText>
      </w:r>
      <w:r w:rsidR="001E655D">
        <w:fldChar w:fldCharType="separate"/>
      </w:r>
      <w:r w:rsidR="00D811A8">
        <w:rPr>
          <w:cs/>
        </w:rPr>
        <w:t>‎</w:t>
      </w:r>
      <w:r w:rsidR="00D811A8">
        <w:t>5.10</w:t>
      </w:r>
      <w:r w:rsidR="001E655D">
        <w:fldChar w:fldCharType="end"/>
      </w:r>
      <w:r w:rsidRPr="00F4050B">
        <w:t>)</w:t>
      </w:r>
      <w:r w:rsidR="001D6F3F" w:rsidRPr="00F4050B">
        <w:t>.</w:t>
      </w:r>
    </w:p>
    <w:p w14:paraId="4B65AADB" w14:textId="76B3253B" w:rsidR="001D6F3F" w:rsidRDefault="009A4242">
      <w:pPr>
        <w:pStyle w:val="SDMHead2"/>
      </w:pPr>
      <w:bookmarkStart w:id="265" w:name="_Ref212202647"/>
      <w:bookmarkStart w:id="266" w:name="_Toc212389903"/>
      <w:bookmarkStart w:id="267" w:name="_Toc215208598"/>
      <w:bookmarkStart w:id="268" w:name="_Toc215216117"/>
      <w:bookmarkStart w:id="269" w:name="_Toc215222853"/>
      <w:bookmarkStart w:id="270" w:name="_Toc215223041"/>
      <w:bookmarkStart w:id="271" w:name="_Toc215223263"/>
      <w:bookmarkStart w:id="272" w:name="_Toc215574884"/>
      <w:bookmarkStart w:id="273" w:name="_Toc215923323"/>
      <w:bookmarkStart w:id="274" w:name="_Toc216093019"/>
      <w:bookmarkStart w:id="275" w:name="_Toc216271748"/>
      <w:bookmarkStart w:id="276" w:name="_Toc216279365"/>
      <w:bookmarkStart w:id="277" w:name="_Toc216283403"/>
      <w:bookmarkStart w:id="278" w:name="_Toc216288021"/>
      <w:bookmarkStart w:id="279" w:name="_Toc219666128"/>
      <w:bookmarkStart w:id="280" w:name="_Ref221036476"/>
      <w:bookmarkStart w:id="281" w:name="_Ref221036703"/>
      <w:bookmarkStart w:id="282" w:name="_Toc221096412"/>
      <w:bookmarkStart w:id="283" w:name="_Toc221097964"/>
      <w:bookmarkStart w:id="284" w:name="_Toc221116260"/>
      <w:bookmarkStart w:id="285" w:name="_Toc221117276"/>
      <w:bookmarkStart w:id="286" w:name="_Toc222132114"/>
      <w:bookmarkStart w:id="287" w:name="_Toc222494915"/>
      <w:bookmarkStart w:id="288" w:name="_Toc222512431"/>
      <w:bookmarkStart w:id="289" w:name="_Toc222741751"/>
      <w:r w:rsidRPr="00A67D25">
        <w:t>Step</w:t>
      </w:r>
      <w:r w:rsidR="00126F8A">
        <w:t> </w:t>
      </w:r>
      <w:r w:rsidRPr="00A67D25">
        <w:t>1:</w:t>
      </w:r>
      <w:r>
        <w:t xml:space="preserve"> </w:t>
      </w:r>
      <w:bookmarkEnd w:id="265"/>
      <w:bookmarkEnd w:id="266"/>
      <w:bookmarkEnd w:id="267"/>
      <w:bookmarkEnd w:id="268"/>
      <w:bookmarkEnd w:id="269"/>
      <w:bookmarkEnd w:id="270"/>
      <w:bookmarkEnd w:id="271"/>
      <w:bookmarkEnd w:id="272"/>
      <w:r w:rsidR="00A27C0C" w:rsidRPr="00A27C0C">
        <w:t>Identify all relevant electricity generation and consumption source</w:t>
      </w:r>
      <w:r w:rsidR="00A67D25">
        <w:t>s </w:t>
      </w:r>
      <w:r w:rsidR="00A27C0C" w:rsidRPr="00FA589B">
        <w:rPr>
          <w:i/>
          <w:iCs/>
        </w:rPr>
        <w:t>s</w:t>
      </w:r>
      <w:r w:rsidR="00A27C0C" w:rsidRPr="00A27C0C">
        <w:t xml:space="preserve"> in relation to the Article 6.4 activity</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16587797" w14:textId="311B9178" w:rsidR="00BA4DEB" w:rsidRPr="00F4050B" w:rsidRDefault="00BA4DEB">
      <w:pPr>
        <w:pStyle w:val="SDMPara"/>
      </w:pPr>
      <w:r w:rsidRPr="00F4050B">
        <w:t>Activity participants shall</w:t>
      </w:r>
      <w:r w:rsidR="00563F84" w:rsidRPr="00F4050B">
        <w:t xml:space="preserve"> </w:t>
      </w:r>
      <w:r w:rsidRPr="00F4050B">
        <w:t xml:space="preserve">identify all </w:t>
      </w:r>
      <w:r w:rsidR="00F46BA2" w:rsidRPr="00F4050B">
        <w:t xml:space="preserve">electricity generation </w:t>
      </w:r>
      <w:r w:rsidR="00871E6B" w:rsidRPr="00F4050B">
        <w:t>and</w:t>
      </w:r>
      <w:r w:rsidR="00F46BA2" w:rsidRPr="00F4050B">
        <w:t xml:space="preserve"> consumption sources </w:t>
      </w:r>
      <w:r w:rsidR="00F46BA2" w:rsidRPr="007D4CE1">
        <w:rPr>
          <w:i/>
          <w:iCs/>
        </w:rPr>
        <w:t>s</w:t>
      </w:r>
      <w:r w:rsidR="00F46BA2" w:rsidRPr="00F4050B">
        <w:t xml:space="preserve"> </w:t>
      </w:r>
      <w:r w:rsidRPr="00F4050B">
        <w:t>in relation to the Article 6.4 activity</w:t>
      </w:r>
      <w:r w:rsidR="00563F84" w:rsidRPr="00F4050B">
        <w:t>, in accordance with the methodology referring to this methodological tool</w:t>
      </w:r>
      <w:r w:rsidRPr="00F4050B">
        <w:t xml:space="preserve">. This may include </w:t>
      </w:r>
      <w:r w:rsidR="00830AE5" w:rsidRPr="00F4050B">
        <w:t xml:space="preserve">electricity generation and consumption sources </w:t>
      </w:r>
      <w:r w:rsidR="002555DE" w:rsidRPr="00F4050B">
        <w:t>which may occur</w:t>
      </w:r>
      <w:r w:rsidRPr="00F4050B">
        <w:t xml:space="preserve"> in the project scenario and/or in the baseline scenario. It may also include </w:t>
      </w:r>
      <w:r w:rsidR="00830AE5" w:rsidRPr="00F4050B">
        <w:t>electricity generation and consumption source</w:t>
      </w:r>
      <w:r w:rsidR="002E42BB" w:rsidRPr="00F4050B">
        <w:t>s</w:t>
      </w:r>
      <w:r w:rsidR="00830AE5" w:rsidRPr="00F4050B">
        <w:t xml:space="preserve"> </w:t>
      </w:r>
      <w:r w:rsidRPr="00F4050B">
        <w:t>classified as leakage sources</w:t>
      </w:r>
      <w:r w:rsidR="00521539" w:rsidRPr="00F4050B">
        <w:t>,</w:t>
      </w:r>
      <w:r w:rsidRPr="00F4050B">
        <w:t xml:space="preserve"> where these are considered </w:t>
      </w:r>
      <w:r w:rsidR="00521539" w:rsidRPr="00F4050B">
        <w:t>in accordance with</w:t>
      </w:r>
      <w:r w:rsidRPr="00F4050B">
        <w:t xml:space="preserve"> the mechanism methodology referring to this </w:t>
      </w:r>
      <w:r w:rsidR="007D4801" w:rsidRPr="00F4050B">
        <w:t xml:space="preserve">methodological </w:t>
      </w:r>
      <w:r w:rsidRPr="00F4050B">
        <w:t xml:space="preserve">tool. Note that any net “positive leakage” shall not be accounted for, </w:t>
      </w:r>
      <w:r w:rsidR="00F108F2" w:rsidRPr="00F4050B">
        <w:t>in accordance with</w:t>
      </w:r>
      <w:r w:rsidRPr="00F4050B">
        <w:t xml:space="preserve"> the provisions </w:t>
      </w:r>
      <w:r w:rsidR="00F108F2" w:rsidRPr="00F4050B">
        <w:t xml:space="preserve">of </w:t>
      </w:r>
      <w:r w:rsidRPr="00F4050B">
        <w:t xml:space="preserve">the </w:t>
      </w:r>
      <w:r w:rsidR="008C5EBA" w:rsidRPr="00F4050B">
        <w:t>“</w:t>
      </w:r>
      <w:r w:rsidR="008B423E" w:rsidRPr="00F4050B">
        <w:t>Standard:</w:t>
      </w:r>
      <w:r w:rsidR="00CA4663" w:rsidRPr="00F4050B">
        <w:t xml:space="preserve"> </w:t>
      </w:r>
      <w:r w:rsidRPr="00F4050B">
        <w:t>Addressing leakage in mechanism methodologies” (A6.4-STAN-METH-005</w:t>
      </w:r>
      <w:r w:rsidR="00C85FE7" w:rsidRPr="00F4050B">
        <w:t>, hereinafter referred as</w:t>
      </w:r>
      <w:r w:rsidR="00CC2F55" w:rsidRPr="00F4050B">
        <w:t xml:space="preserve"> the</w:t>
      </w:r>
      <w:r w:rsidR="00C85FE7" w:rsidRPr="00F4050B">
        <w:t xml:space="preserve"> “leakage standard”</w:t>
      </w:r>
      <w:r w:rsidRPr="00F4050B">
        <w:t>).</w:t>
      </w:r>
      <w:r w:rsidR="009B336B">
        <w:rPr>
          <w:rStyle w:val="FootnoteReference"/>
        </w:rPr>
        <w:footnoteReference w:id="7"/>
      </w:r>
    </w:p>
    <w:p w14:paraId="5AF0A223" w14:textId="3AFCF4CF" w:rsidR="00BA4DEB" w:rsidRPr="00F4050B" w:rsidRDefault="00BA4DEB" w:rsidP="00C72647">
      <w:pPr>
        <w:pStyle w:val="SDMPara"/>
        <w:keepNext/>
      </w:pPr>
      <w:r w:rsidRPr="00F4050B">
        <w:t xml:space="preserve">For each identified </w:t>
      </w:r>
      <w:r w:rsidR="004D66C6" w:rsidRPr="00F4050B">
        <w:t>electricity generation or consumption source </w:t>
      </w:r>
      <w:r w:rsidR="004D66C6" w:rsidRPr="00046E43">
        <w:rPr>
          <w:i/>
          <w:iCs/>
        </w:rPr>
        <w:t>s</w:t>
      </w:r>
      <w:r w:rsidRPr="00F4050B">
        <w:t>, activity participants shall</w:t>
      </w:r>
      <w:r w:rsidR="008C5638" w:rsidRPr="00F4050B">
        <w:t>,</w:t>
      </w:r>
      <w:r w:rsidRPr="00F4050B">
        <w:t xml:space="preserve"> in the project design document (PDD):</w:t>
      </w:r>
    </w:p>
    <w:p w14:paraId="5C890117" w14:textId="1E78DDC0" w:rsidR="009B5FEF" w:rsidRPr="00F4050B" w:rsidRDefault="009B5FEF">
      <w:pPr>
        <w:pStyle w:val="SDMSubPara1"/>
      </w:pPr>
      <w:r w:rsidRPr="00F4050B">
        <w:t>Assign a unique number</w:t>
      </w:r>
      <w:r w:rsidR="00E52A9C" w:rsidRPr="00F4050B">
        <w:t xml:space="preserve"> </w:t>
      </w:r>
      <w:r w:rsidRPr="00F4050B">
        <w:t xml:space="preserve">to </w:t>
      </w:r>
      <w:r w:rsidR="00E52A9C" w:rsidRPr="00F4050B">
        <w:t xml:space="preserve">the </w:t>
      </w:r>
      <w:r w:rsidRPr="00F4050B">
        <w:t xml:space="preserve">identified </w:t>
      </w:r>
      <w:r w:rsidR="00551A71" w:rsidRPr="00F4050B">
        <w:t>source</w:t>
      </w:r>
      <w:r w:rsidRPr="00F4050B">
        <w:t>;</w:t>
      </w:r>
    </w:p>
    <w:p w14:paraId="0EFBAA2C" w14:textId="77777777" w:rsidR="00BA4DEB" w:rsidRPr="00F4050B" w:rsidRDefault="00BA4DEB">
      <w:pPr>
        <w:pStyle w:val="SDMSubPara1"/>
      </w:pPr>
      <w:r w:rsidRPr="00F4050B">
        <w:t xml:space="preserve">Describe the electricity generation or consumption </w:t>
      </w:r>
      <w:r w:rsidR="00C24DFE" w:rsidRPr="00F4050B">
        <w:t>source</w:t>
      </w:r>
      <w:r w:rsidRPr="00F4050B">
        <w:t xml:space="preserve"> and its location;</w:t>
      </w:r>
    </w:p>
    <w:p w14:paraId="67BC1327" w14:textId="1DE73DB1" w:rsidR="5019A4AA" w:rsidRPr="00F4050B" w:rsidRDefault="5019A4AA">
      <w:pPr>
        <w:pStyle w:val="SDMSubPara1"/>
      </w:pPr>
      <w:r w:rsidRPr="00F4050B">
        <w:t>Classify an electricity generation source as either intermittent or non-intermittent</w:t>
      </w:r>
      <w:r w:rsidR="3A8B4133" w:rsidRPr="00F4050B">
        <w:t>,</w:t>
      </w:r>
      <w:r w:rsidRPr="00F4050B">
        <w:t xml:space="preserve"> and an electricity consumption source</w:t>
      </w:r>
      <w:r w:rsidR="76601815" w:rsidRPr="00F4050B">
        <w:t xml:space="preserve"> as either depending </w:t>
      </w:r>
      <w:r w:rsidR="00B730E9" w:rsidRPr="00F4050B">
        <w:t xml:space="preserve">on </w:t>
      </w:r>
      <w:r w:rsidR="76601815" w:rsidRPr="00F4050B">
        <w:t>or not depending on intermittent electricity supply</w:t>
      </w:r>
      <w:r w:rsidR="4BAA5A58" w:rsidRPr="00F4050B">
        <w:t>;</w:t>
      </w:r>
    </w:p>
    <w:p w14:paraId="3537AFB6" w14:textId="4A07FB29" w:rsidR="00BA4DEB" w:rsidRPr="00F4050B" w:rsidRDefault="00BA4DEB">
      <w:pPr>
        <w:pStyle w:val="SDMSubPara1"/>
      </w:pPr>
      <w:r w:rsidRPr="00F4050B">
        <w:t>Specify how electricity generation or consumption is quantified</w:t>
      </w:r>
      <w:r w:rsidR="005F57C2" w:rsidRPr="00F4050B">
        <w:t xml:space="preserve"> for that source</w:t>
      </w:r>
      <w:r w:rsidRPr="00F4050B">
        <w:t>;</w:t>
      </w:r>
      <w:r w:rsidR="000C2CDB" w:rsidRPr="00F4050B">
        <w:t xml:space="preserve"> and</w:t>
      </w:r>
    </w:p>
    <w:p w14:paraId="345CAC37" w14:textId="083282BA" w:rsidR="009A4242" w:rsidRPr="00F4050B" w:rsidRDefault="00BA4DEB">
      <w:pPr>
        <w:pStyle w:val="SDMSubPara1"/>
      </w:pPr>
      <w:r w:rsidRPr="00F4050B">
        <w:t xml:space="preserve">Specify whether the electricity generation or consumption </w:t>
      </w:r>
      <w:r w:rsidR="00C24DFE" w:rsidRPr="00F4050B">
        <w:t>source</w:t>
      </w:r>
      <w:r w:rsidRPr="00F4050B">
        <w:t xml:space="preserve"> occurs in the project scenario, the baseline scenario, or both, including in relation to any leakage sources</w:t>
      </w:r>
      <w:r w:rsidR="00A032BE" w:rsidRPr="00F4050B">
        <w:t>.</w:t>
      </w:r>
    </w:p>
    <w:p w14:paraId="62477E50" w14:textId="3EC6B4AC" w:rsidR="009A4242" w:rsidRDefault="0DEE5B42">
      <w:pPr>
        <w:pStyle w:val="SDMHead2"/>
      </w:pPr>
      <w:bookmarkStart w:id="290" w:name="_Ref212202718"/>
      <w:bookmarkStart w:id="291" w:name="_Toc212389904"/>
      <w:bookmarkStart w:id="292" w:name="_Toc215208599"/>
      <w:bookmarkStart w:id="293" w:name="_Toc215216118"/>
      <w:bookmarkStart w:id="294" w:name="_Toc215222854"/>
      <w:bookmarkStart w:id="295" w:name="_Toc215223042"/>
      <w:bookmarkStart w:id="296" w:name="_Toc215223264"/>
      <w:bookmarkStart w:id="297" w:name="_Toc215574885"/>
      <w:bookmarkStart w:id="298" w:name="_Ref215680024"/>
      <w:bookmarkStart w:id="299" w:name="_Toc215923324"/>
      <w:bookmarkStart w:id="300" w:name="_Toc216093020"/>
      <w:bookmarkStart w:id="301" w:name="_Toc216271749"/>
      <w:bookmarkStart w:id="302" w:name="_Toc216279366"/>
      <w:bookmarkStart w:id="303" w:name="_Toc216283404"/>
      <w:bookmarkStart w:id="304" w:name="_Toc216288022"/>
      <w:bookmarkStart w:id="305" w:name="_Toc219666129"/>
      <w:bookmarkStart w:id="306" w:name="_Toc220001389"/>
      <w:bookmarkStart w:id="307" w:name="_Ref221036450"/>
      <w:bookmarkStart w:id="308" w:name="_Ref221036493"/>
      <w:bookmarkStart w:id="309" w:name="_Toc221096413"/>
      <w:bookmarkStart w:id="310" w:name="_Toc221097965"/>
      <w:bookmarkStart w:id="311" w:name="_Toc221116261"/>
      <w:bookmarkStart w:id="312" w:name="_Toc221117277"/>
      <w:bookmarkStart w:id="313" w:name="_Toc222132115"/>
      <w:bookmarkStart w:id="314" w:name="_Toc222494916"/>
      <w:bookmarkStart w:id="315" w:name="_Toc222512432"/>
      <w:bookmarkStart w:id="316" w:name="_Toc222741752"/>
      <w:r w:rsidRPr="6BB59D32">
        <w:rPr>
          <w:lang w:eastAsia="ja-JP"/>
        </w:rPr>
        <w:t>Step</w:t>
      </w:r>
      <w:r w:rsidR="00126F8A">
        <w:rPr>
          <w:lang w:eastAsia="ja-JP"/>
        </w:rPr>
        <w:t> </w:t>
      </w:r>
      <w:r w:rsidRPr="6BB59D32">
        <w:rPr>
          <w:lang w:eastAsia="ja-JP"/>
        </w:rPr>
        <w:t xml:space="preserve">2: </w:t>
      </w:r>
      <w:r w:rsidR="0B54D08D">
        <w:t>Determin</w:t>
      </w:r>
      <w:r w:rsidR="6B0B06B7">
        <w:t>e</w:t>
      </w:r>
      <w:r w:rsidR="005F554A">
        <w:t>,</w:t>
      </w:r>
      <w:r w:rsidR="218A55A8">
        <w:t xml:space="preserve"> </w:t>
      </w:r>
      <w:r w:rsidR="17D5FC47">
        <w:t xml:space="preserve">for </w:t>
      </w:r>
      <w:r w:rsidR="7FE94091">
        <w:t xml:space="preserve">each </w:t>
      </w:r>
      <w:r w:rsidR="37E9CD1D">
        <w:t>electricity generation or consumption source </w:t>
      </w:r>
      <w:r w:rsidR="37E9CD1D" w:rsidRPr="6BB59D32">
        <w:rPr>
          <w:i/>
          <w:iCs/>
        </w:rPr>
        <w:t>s</w:t>
      </w:r>
      <w:r w:rsidR="005F554A">
        <w:rPr>
          <w:i/>
          <w:iCs/>
        </w:rPr>
        <w:t>,</w:t>
      </w:r>
      <w:r w:rsidR="37E9CD1D">
        <w:t xml:space="preserve"> </w:t>
      </w:r>
      <w:r w:rsidR="218A55A8">
        <w:t xml:space="preserve">whether electricity is </w:t>
      </w:r>
      <w:r w:rsidR="506E6446">
        <w:t xml:space="preserve">consumed </w:t>
      </w:r>
      <w:r w:rsidR="218A55A8">
        <w:t xml:space="preserve">from </w:t>
      </w:r>
      <w:r w:rsidR="506E6446">
        <w:t>or fed into</w:t>
      </w:r>
      <w:r w:rsidR="218A55A8">
        <w:t xml:space="preserve"> </w:t>
      </w:r>
      <w:r w:rsidR="1B35D584">
        <w:t>an</w:t>
      </w:r>
      <w:r w:rsidR="17D5FC47">
        <w:t xml:space="preserve"> electric</w:t>
      </w:r>
      <w:r w:rsidR="0772EAA0">
        <w:t>ity</w:t>
      </w:r>
      <w:r w:rsidR="17D5FC47">
        <w:t xml:space="preserve"> system</w:t>
      </w:r>
      <w:r w:rsidR="00C93D8A">
        <w:t>,</w:t>
      </w:r>
      <w:r w:rsidR="17D5FC47">
        <w:t xml:space="preserve"> </w:t>
      </w:r>
      <w:r w:rsidR="218A55A8">
        <w:t xml:space="preserve">or </w:t>
      </w:r>
      <w:r w:rsidR="0F57E483">
        <w:t>whether it is consumed</w:t>
      </w:r>
      <w:r w:rsidR="3751E100">
        <w:t xml:space="preserve"> </w:t>
      </w:r>
      <w:r w:rsidR="17D5FC47">
        <w:t xml:space="preserve">from </w:t>
      </w:r>
      <w:r w:rsidR="3751E100">
        <w:t xml:space="preserve">or avoids power generation by </w:t>
      </w:r>
      <w:r w:rsidR="00C72D5E">
        <w:t>fossil</w:t>
      </w:r>
      <w:r w:rsidR="3CF1A715">
        <w:t>-</w:t>
      </w:r>
      <w:r w:rsidR="00C72D5E">
        <w:t xml:space="preserve">fuel fired </w:t>
      </w:r>
      <w:r w:rsidR="218A55A8">
        <w:t xml:space="preserve">captive power </w:t>
      </w:r>
      <w:bookmarkEnd w:id="290"/>
      <w:r w:rsidR="01EA9F69">
        <w:t>plant</w:t>
      </w:r>
      <w:r w:rsidR="17D5FC47">
        <w:t>(s)</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6BC5B613" w14:textId="4CE5770E" w:rsidR="003E2BCD" w:rsidRPr="00F4050B" w:rsidRDefault="76C73928" w:rsidP="00C72647">
      <w:pPr>
        <w:pStyle w:val="SDMPara"/>
        <w:keepNext/>
      </w:pPr>
      <w:r w:rsidRPr="00F4050B">
        <w:t>Activity participants shall identify</w:t>
      </w:r>
      <w:r w:rsidR="00C93D8A" w:rsidRPr="00F4050B">
        <w:t>,</w:t>
      </w:r>
      <w:r w:rsidRPr="00F4050B">
        <w:t xml:space="preserve"> for each electricity generation or consumption </w:t>
      </w:r>
      <w:r w:rsidR="00813B8F" w:rsidRPr="00F4050B">
        <w:t>source </w:t>
      </w:r>
      <w:r w:rsidR="00813B8F" w:rsidRPr="0002058D">
        <w:rPr>
          <w:i/>
          <w:iCs/>
        </w:rPr>
        <w:t>s</w:t>
      </w:r>
      <w:r w:rsidRPr="00F4050B" w:rsidDel="00C93D8A">
        <w:t xml:space="preserve"> </w:t>
      </w:r>
      <w:r w:rsidRPr="00F4050B">
        <w:t>identified in section</w:t>
      </w:r>
      <w:r w:rsidR="00877272">
        <w:t> </w:t>
      </w:r>
      <w:r w:rsidR="005977B2">
        <w:fldChar w:fldCharType="begin"/>
      </w:r>
      <w:r w:rsidR="005977B2">
        <w:instrText xml:space="preserve"> REF _Ref221036703 \w \h </w:instrText>
      </w:r>
      <w:r w:rsidR="005977B2">
        <w:fldChar w:fldCharType="separate"/>
      </w:r>
      <w:r w:rsidR="00D811A8">
        <w:rPr>
          <w:cs/>
        </w:rPr>
        <w:t>‎</w:t>
      </w:r>
      <w:r w:rsidR="00D811A8">
        <w:t>5.1</w:t>
      </w:r>
      <w:r w:rsidR="005977B2">
        <w:fldChar w:fldCharType="end"/>
      </w:r>
      <w:r w:rsidR="2437096B" w:rsidRPr="00F4050B">
        <w:t>,</w:t>
      </w:r>
      <w:r w:rsidRPr="00F4050B">
        <w:t xml:space="preserve"> which of the following scenarios applies:</w:t>
      </w:r>
    </w:p>
    <w:p w14:paraId="1AE6F024" w14:textId="643787D2" w:rsidR="003E2BCD" w:rsidRPr="00F4050B" w:rsidRDefault="003E2BCD">
      <w:pPr>
        <w:pStyle w:val="SDMSubPara1"/>
      </w:pPr>
      <w:r w:rsidRPr="00F4050B">
        <w:t>Scenario</w:t>
      </w:r>
      <w:r w:rsidR="00882BB1">
        <w:t> </w:t>
      </w:r>
      <w:r w:rsidRPr="00F4050B">
        <w:t xml:space="preserve">A: </w:t>
      </w:r>
      <w:r w:rsidR="0052497E" w:rsidRPr="00F4050B">
        <w:t>e</w:t>
      </w:r>
      <w:r w:rsidRPr="00F4050B">
        <w:t xml:space="preserve">lectricity is consumed from or fed into </w:t>
      </w:r>
      <w:r w:rsidR="00CB697F" w:rsidRPr="00F4050B">
        <w:t xml:space="preserve">an </w:t>
      </w:r>
      <w:r w:rsidRPr="00F4050B">
        <w:t xml:space="preserve">electricity </w:t>
      </w:r>
      <w:r w:rsidR="00400D95" w:rsidRPr="00F4050B">
        <w:t xml:space="preserve">system </w:t>
      </w:r>
      <w:r w:rsidRPr="00F4050B">
        <w:t>only</w:t>
      </w:r>
      <w:r w:rsidR="0012718E" w:rsidRPr="00F4050B">
        <w:t>;</w:t>
      </w:r>
    </w:p>
    <w:p w14:paraId="289744A9" w14:textId="7AF0EF3A" w:rsidR="003E2BCD" w:rsidRPr="00F4050B" w:rsidRDefault="58C31EBD">
      <w:pPr>
        <w:pStyle w:val="SDMSubPara1"/>
      </w:pPr>
      <w:r w:rsidRPr="00F4050B">
        <w:t>Scenario</w:t>
      </w:r>
      <w:r w:rsidR="00882BB1">
        <w:t> </w:t>
      </w:r>
      <w:r w:rsidRPr="00F4050B">
        <w:t xml:space="preserve">B: </w:t>
      </w:r>
      <w:r w:rsidR="0052497E" w:rsidRPr="00F4050B">
        <w:t>e</w:t>
      </w:r>
      <w:r w:rsidRPr="00F4050B">
        <w:t xml:space="preserve">lectricity </w:t>
      </w:r>
      <w:r w:rsidR="177D2C14" w:rsidRPr="00F4050B">
        <w:t>is</w:t>
      </w:r>
      <w:r w:rsidRPr="00F4050B">
        <w:t xml:space="preserve"> consumed from or avoids power generation by fossil-fuel fired captive power plant</w:t>
      </w:r>
      <w:r w:rsidR="000A55D3">
        <w:t>(s)</w:t>
      </w:r>
      <w:r w:rsidRPr="00F4050B">
        <w:t xml:space="preserve"> only</w:t>
      </w:r>
      <w:r w:rsidR="1625356D" w:rsidRPr="00F4050B">
        <w:t>;</w:t>
      </w:r>
      <w:r w:rsidRPr="00F4050B">
        <w:t xml:space="preserve"> or</w:t>
      </w:r>
    </w:p>
    <w:p w14:paraId="4E31C7FB" w14:textId="62A6A58F" w:rsidR="003E2BCD" w:rsidRPr="00F4050B" w:rsidRDefault="003E2BCD">
      <w:pPr>
        <w:pStyle w:val="SDMSubPara1"/>
      </w:pPr>
      <w:r w:rsidRPr="00F4050B">
        <w:t>Scenario</w:t>
      </w:r>
      <w:r w:rsidR="00882BB1">
        <w:t> </w:t>
      </w:r>
      <w:r w:rsidRPr="00F4050B">
        <w:t>C:</w:t>
      </w:r>
      <w:r w:rsidRPr="00F4050B" w:rsidDel="0052497E">
        <w:t xml:space="preserve"> </w:t>
      </w:r>
      <w:r w:rsidR="0052497E" w:rsidRPr="00F4050B">
        <w:t xml:space="preserve">a </w:t>
      </w:r>
      <w:r w:rsidRPr="00F4050B">
        <w:t>combination of scenario</w:t>
      </w:r>
      <w:r w:rsidR="0033712A" w:rsidRPr="00F4050B">
        <w:t>s</w:t>
      </w:r>
      <w:r w:rsidRPr="00F4050B">
        <w:t xml:space="preserve"> A and B, i.e.</w:t>
      </w:r>
      <w:r w:rsidR="4DA3EF20" w:rsidRPr="00F4050B">
        <w:t>,</w:t>
      </w:r>
      <w:r w:rsidRPr="00F4050B">
        <w:t xml:space="preserve"> the electricity is consumed from or fed into </w:t>
      </w:r>
      <w:r w:rsidR="008B45FF" w:rsidRPr="00F4050B">
        <w:t xml:space="preserve">an </w:t>
      </w:r>
      <w:r w:rsidR="007742A3" w:rsidRPr="00F4050B">
        <w:t>electricity sy</w:t>
      </w:r>
      <w:r w:rsidR="0037336D" w:rsidRPr="00F4050B">
        <w:t>s</w:t>
      </w:r>
      <w:r w:rsidR="007742A3" w:rsidRPr="00F4050B">
        <w:t xml:space="preserve">tem </w:t>
      </w:r>
      <w:r w:rsidRPr="00F4050B">
        <w:t xml:space="preserve">and </w:t>
      </w:r>
      <w:r w:rsidR="0033712A" w:rsidRPr="00F4050B">
        <w:t xml:space="preserve">is </w:t>
      </w:r>
      <w:r w:rsidRPr="00F4050B">
        <w:t>consumed from or avoids power</w:t>
      </w:r>
      <w:r w:rsidR="00891C67" w:rsidRPr="00F4050B">
        <w:t xml:space="preserve"> </w:t>
      </w:r>
      <w:r w:rsidRPr="00F4050B">
        <w:t>generation by fossil</w:t>
      </w:r>
      <w:r w:rsidR="00595124" w:rsidRPr="00F4050B">
        <w:t xml:space="preserve"> </w:t>
      </w:r>
      <w:r w:rsidR="009A37EE" w:rsidRPr="00F4050B">
        <w:t>fuel-</w:t>
      </w:r>
      <w:r w:rsidRPr="00F4050B">
        <w:t xml:space="preserve">fired </w:t>
      </w:r>
      <w:r w:rsidR="26FF574E" w:rsidRPr="00F4050B">
        <w:t>captive power plant</w:t>
      </w:r>
      <w:r w:rsidR="000A55D3">
        <w:t>(s)</w:t>
      </w:r>
      <w:r w:rsidR="26FF574E" w:rsidRPr="00F4050B">
        <w:t>.</w:t>
      </w:r>
    </w:p>
    <w:p w14:paraId="66D1D80D" w14:textId="24FC8D1E" w:rsidR="003E2BCD" w:rsidRPr="00F4050B" w:rsidRDefault="003E2BCD" w:rsidP="00C72647">
      <w:pPr>
        <w:pStyle w:val="SDMPara"/>
        <w:keepNext/>
      </w:pPr>
      <w:r w:rsidRPr="00F4050B">
        <w:rPr>
          <w:b/>
          <w:bCs/>
        </w:rPr>
        <w:t>Scenario</w:t>
      </w:r>
      <w:r w:rsidR="00882BB1">
        <w:rPr>
          <w:b/>
          <w:bCs/>
        </w:rPr>
        <w:t> </w:t>
      </w:r>
      <w:r w:rsidRPr="00F4050B">
        <w:rPr>
          <w:b/>
          <w:bCs/>
        </w:rPr>
        <w:t>A</w:t>
      </w:r>
      <w:r w:rsidRPr="00F4050B">
        <w:t xml:space="preserve"> applies where:</w:t>
      </w:r>
    </w:p>
    <w:p w14:paraId="1B5A4BD5" w14:textId="74AD748F" w:rsidR="003E2BCD" w:rsidRPr="00F4050B" w:rsidRDefault="003E2BCD">
      <w:pPr>
        <w:pStyle w:val="SDMSubPara1"/>
      </w:pPr>
      <w:r w:rsidRPr="00F4050B">
        <w:t xml:space="preserve">The electricity generation or </w:t>
      </w:r>
      <w:r w:rsidR="6D8B9ACC" w:rsidRPr="00F4050B">
        <w:t>consumption</w:t>
      </w:r>
      <w:r w:rsidRPr="00F4050B">
        <w:t xml:space="preserve"> </w:t>
      </w:r>
      <w:r w:rsidR="002361E6" w:rsidRPr="00F4050B">
        <w:t>source</w:t>
      </w:r>
      <w:r w:rsidRPr="00F4050B">
        <w:t xml:space="preserve"> is connected</w:t>
      </w:r>
      <w:r w:rsidR="001A5981" w:rsidRPr="00F4050B">
        <w:t xml:space="preserve"> only</w:t>
      </w:r>
      <w:r w:rsidRPr="00F4050B">
        <w:t xml:space="preserve"> to </w:t>
      </w:r>
      <w:r w:rsidR="2B8F8839" w:rsidRPr="00F4050B">
        <w:t>an</w:t>
      </w:r>
      <w:r w:rsidRPr="00F4050B" w:rsidDel="003E2BCD">
        <w:t xml:space="preserve"> </w:t>
      </w:r>
      <w:r w:rsidR="006B16E5" w:rsidRPr="00F4050B">
        <w:t>electric</w:t>
      </w:r>
      <w:r w:rsidR="00843914" w:rsidRPr="00F4050B">
        <w:t>ity</w:t>
      </w:r>
      <w:r w:rsidR="006B16E5" w:rsidRPr="00F4050B">
        <w:t xml:space="preserve"> system </w:t>
      </w:r>
      <w:r w:rsidRPr="00F4050B">
        <w:t>and no</w:t>
      </w:r>
      <w:r w:rsidR="006B16E5" w:rsidRPr="00F4050B">
        <w:t>t to any</w:t>
      </w:r>
      <w:r w:rsidRPr="00F4050B">
        <w:t xml:space="preserve"> </w:t>
      </w:r>
      <w:r w:rsidR="4F29D8DA">
        <w:t>fossil-fuel fired</w:t>
      </w:r>
      <w:r>
        <w:t xml:space="preserve"> </w:t>
      </w:r>
      <w:r w:rsidRPr="00F4050B">
        <w:t>captive power plant; or</w:t>
      </w:r>
    </w:p>
    <w:p w14:paraId="721BED70" w14:textId="40971A95" w:rsidR="003E2BCD" w:rsidRPr="00F4050B" w:rsidRDefault="003E2BCD" w:rsidP="00C72647">
      <w:pPr>
        <w:pStyle w:val="SDMSubPara1"/>
        <w:keepNext/>
      </w:pPr>
      <w:r w:rsidRPr="00F4050B">
        <w:t xml:space="preserve">The electricity generation or </w:t>
      </w:r>
      <w:r w:rsidR="6D8B9ACC" w:rsidRPr="00F4050B">
        <w:t>consumption</w:t>
      </w:r>
      <w:r w:rsidRPr="00F4050B">
        <w:t xml:space="preserve"> </w:t>
      </w:r>
      <w:r w:rsidR="002059F1" w:rsidRPr="00F4050B">
        <w:t>source</w:t>
      </w:r>
      <w:r w:rsidRPr="00F4050B">
        <w:t xml:space="preserve"> is connected to both </w:t>
      </w:r>
      <w:r w:rsidR="2B8F8839" w:rsidRPr="00F4050B">
        <w:t>an</w:t>
      </w:r>
      <w:r w:rsidRPr="00F4050B" w:rsidDel="003E2BCD">
        <w:t xml:space="preserve"> </w:t>
      </w:r>
      <w:r w:rsidR="006B16E5" w:rsidRPr="00F4050B">
        <w:t>electric</w:t>
      </w:r>
      <w:r w:rsidR="00843914" w:rsidRPr="00F4050B">
        <w:t>ity</w:t>
      </w:r>
      <w:r w:rsidR="006B16E5" w:rsidRPr="00F4050B">
        <w:t xml:space="preserve"> system </w:t>
      </w:r>
      <w:r w:rsidRPr="00F4050B">
        <w:t xml:space="preserve">and </w:t>
      </w:r>
      <w:r w:rsidR="324D3DF7">
        <w:t>fossil-fuel fired</w:t>
      </w:r>
      <w:r>
        <w:t xml:space="preserve"> </w:t>
      </w:r>
      <w:r w:rsidRPr="00F4050B">
        <w:t>captive power plant</w:t>
      </w:r>
      <w:r w:rsidR="00D9137E">
        <w:t>(s)</w:t>
      </w:r>
      <w:r w:rsidR="00723BB8" w:rsidRPr="00F4050B">
        <w:t>;</w:t>
      </w:r>
      <w:r w:rsidRPr="00F4050B">
        <w:t xml:space="preserve"> </w:t>
      </w:r>
      <w:r w:rsidR="001F2EAD" w:rsidRPr="00F4050B">
        <w:t>however,</w:t>
      </w:r>
      <w:r w:rsidRPr="00F4050B">
        <w:t xml:space="preserve"> the implementation of the </w:t>
      </w:r>
      <w:r w:rsidR="006B16E5" w:rsidRPr="00F4050B">
        <w:t xml:space="preserve">Article 6.4 </w:t>
      </w:r>
      <w:r w:rsidRPr="00F4050B">
        <w:t xml:space="preserve">activity affects </w:t>
      </w:r>
      <w:r w:rsidR="00587E9D" w:rsidRPr="00F4050B">
        <w:t xml:space="preserve">only </w:t>
      </w:r>
      <w:r w:rsidRPr="00F4050B">
        <w:t xml:space="preserve">the quantity of electricity consumed from or fed into the </w:t>
      </w:r>
      <w:r w:rsidR="00722D8D" w:rsidRPr="00F4050B">
        <w:t>electric</w:t>
      </w:r>
      <w:r w:rsidR="00AA3FF5" w:rsidRPr="00F4050B">
        <w:t>ity</w:t>
      </w:r>
      <w:r w:rsidR="00722D8D" w:rsidRPr="00F4050B">
        <w:t xml:space="preserve"> system </w:t>
      </w:r>
      <w:r w:rsidRPr="00F4050B">
        <w:t xml:space="preserve">and </w:t>
      </w:r>
      <w:r w:rsidR="00E2729E" w:rsidRPr="00F4050B">
        <w:t xml:space="preserve">does </w:t>
      </w:r>
      <w:r w:rsidRPr="00F4050B">
        <w:t>not</w:t>
      </w:r>
      <w:r w:rsidR="00587E9D" w:rsidRPr="00F4050B">
        <w:t xml:space="preserve"> affect</w:t>
      </w:r>
      <w:r w:rsidRPr="00F4050B">
        <w:t xml:space="preserve"> the operation of the </w:t>
      </w:r>
      <w:r w:rsidR="2854A66F">
        <w:t>fossil-fuel fired</w:t>
      </w:r>
      <w:r>
        <w:t xml:space="preserve"> </w:t>
      </w:r>
      <w:r w:rsidRPr="00F4050B">
        <w:t>captive power plant</w:t>
      </w:r>
      <w:r w:rsidR="00D9137E">
        <w:t>(s)</w:t>
      </w:r>
      <w:r w:rsidRPr="00F4050B">
        <w:t>. This applies, for example</w:t>
      </w:r>
      <w:r w:rsidR="00587E9D" w:rsidRPr="00F4050B">
        <w:t>, where</w:t>
      </w:r>
      <w:r w:rsidRPr="00F4050B">
        <w:t>:</w:t>
      </w:r>
    </w:p>
    <w:p w14:paraId="607A319F" w14:textId="4C69B29A" w:rsidR="00F74E46" w:rsidRPr="00F4050B" w:rsidRDefault="00587E9D">
      <w:pPr>
        <w:pStyle w:val="SDMSubPara2"/>
      </w:pPr>
      <w:r w:rsidRPr="00F4050B">
        <w:t>At</w:t>
      </w:r>
      <w:r w:rsidR="003E2BCD" w:rsidRPr="00F4050B">
        <w:t xml:space="preserve"> all times during the monitored period, the total electricity demand at the site of the </w:t>
      </w:r>
      <w:r w:rsidR="4412B451">
        <w:t>fossil-fuel fired</w:t>
      </w:r>
      <w:r w:rsidR="4C3E14D6">
        <w:t xml:space="preserve"> </w:t>
      </w:r>
      <w:r w:rsidR="003E2BCD" w:rsidRPr="00F4050B">
        <w:t xml:space="preserve">captive power plant(s) is </w:t>
      </w:r>
      <w:r w:rsidR="00800B2A" w:rsidRPr="00F4050B">
        <w:t xml:space="preserve">greater </w:t>
      </w:r>
      <w:r w:rsidR="003E2BCD" w:rsidRPr="00F4050B">
        <w:t xml:space="preserve">than the electricity generation capacity of the </w:t>
      </w:r>
      <w:r w:rsidR="4A2D00BE">
        <w:t>fossil-fuel fired</w:t>
      </w:r>
      <w:r w:rsidR="003E2BCD">
        <w:t xml:space="preserve"> </w:t>
      </w:r>
      <w:r w:rsidR="003E2BCD" w:rsidRPr="00F4050B">
        <w:t xml:space="preserve">captive power plant(s) </w:t>
      </w:r>
      <w:r w:rsidR="00800B2A" w:rsidRPr="00F4050B">
        <w:t xml:space="preserve">in </w:t>
      </w:r>
      <w:r w:rsidR="003E2BCD" w:rsidRPr="00F4050B">
        <w:t xml:space="preserve">both the </w:t>
      </w:r>
      <w:r w:rsidR="00D47564" w:rsidRPr="00F4050B">
        <w:t xml:space="preserve">project scenario </w:t>
      </w:r>
      <w:r w:rsidR="003E2BCD" w:rsidRPr="00F4050B">
        <w:t>and the baseline</w:t>
      </w:r>
      <w:r w:rsidR="00D47564" w:rsidRPr="00F4050B">
        <w:t xml:space="preserve"> scenario</w:t>
      </w:r>
      <w:r w:rsidR="26FF574E" w:rsidRPr="00F4050B">
        <w:t>;</w:t>
      </w:r>
      <w:r w:rsidR="003E2BCD" w:rsidRPr="00F4050B">
        <w:t xml:space="preserve"> or</w:t>
      </w:r>
    </w:p>
    <w:p w14:paraId="671B763B" w14:textId="26BE2A47" w:rsidR="003E2BCD" w:rsidRPr="00F4050B" w:rsidRDefault="00800B2A">
      <w:pPr>
        <w:pStyle w:val="SDMSubPara2"/>
      </w:pPr>
      <w:r w:rsidRPr="00F4050B">
        <w:t>T</w:t>
      </w:r>
      <w:r w:rsidR="003E2BCD" w:rsidRPr="00F4050B">
        <w:t xml:space="preserve">he </w:t>
      </w:r>
      <w:r w:rsidR="541BF16B">
        <w:t>fossil-fuel fired</w:t>
      </w:r>
      <w:r w:rsidR="003E2BCD" w:rsidRPr="00F4050B">
        <w:t xml:space="preserve"> captive power plant</w:t>
      </w:r>
      <w:r w:rsidR="009B4F99">
        <w:t>(s)</w:t>
      </w:r>
      <w:r w:rsidR="003E2BCD" w:rsidRPr="00F4050B">
        <w:t xml:space="preserve"> </w:t>
      </w:r>
      <w:r w:rsidR="009B4F99">
        <w:t>are</w:t>
      </w:r>
      <w:r w:rsidR="003E2BCD" w:rsidRPr="00F4050B">
        <w:t xml:space="preserve"> operated continuously (apart from maintenance) and feed any excess electricity into the </w:t>
      </w:r>
      <w:r w:rsidR="001777C4" w:rsidRPr="00F4050B">
        <w:t>electricity system</w:t>
      </w:r>
      <w:r w:rsidR="003E2BCD" w:rsidRPr="00F4050B">
        <w:t xml:space="preserve"> because revenues </w:t>
      </w:r>
      <w:r w:rsidRPr="00F4050B">
        <w:t xml:space="preserve">from </w:t>
      </w:r>
      <w:r w:rsidR="003E2BCD" w:rsidRPr="00F4050B">
        <w:t xml:space="preserve">feeding electricity into the </w:t>
      </w:r>
      <w:r w:rsidR="004275A8" w:rsidRPr="00F4050B">
        <w:t xml:space="preserve">electricity system </w:t>
      </w:r>
      <w:r w:rsidRPr="00F4050B">
        <w:t>exceed</w:t>
      </w:r>
      <w:r w:rsidR="003E2BCD" w:rsidRPr="00F4050B">
        <w:t xml:space="preserve"> the plant</w:t>
      </w:r>
      <w:r w:rsidRPr="00F4050B">
        <w:t>s</w:t>
      </w:r>
      <w:r w:rsidR="003329BA">
        <w:t>’</w:t>
      </w:r>
      <w:r w:rsidR="003E2BCD" w:rsidRPr="00F4050B">
        <w:t xml:space="preserve"> operation costs</w:t>
      </w:r>
      <w:r w:rsidR="00440F4F" w:rsidRPr="00F4050B">
        <w:t>; or</w:t>
      </w:r>
    </w:p>
    <w:p w14:paraId="239392CC" w14:textId="23C562FA" w:rsidR="003E2BCD" w:rsidRPr="00F4050B" w:rsidRDefault="006503C9">
      <w:pPr>
        <w:pStyle w:val="SDMSubPara2"/>
      </w:pPr>
      <w:r>
        <w:t>T</w:t>
      </w:r>
      <w:r w:rsidR="003E2BCD">
        <w:t>he</w:t>
      </w:r>
      <w:r w:rsidR="227F6CAD">
        <w:t xml:space="preserve"> fossil-fuel fired</w:t>
      </w:r>
      <w:r w:rsidR="003E2BCD" w:rsidRPr="00F4050B">
        <w:t xml:space="preserve"> captive power plant</w:t>
      </w:r>
      <w:r w:rsidR="003329BA">
        <w:t>(s)</w:t>
      </w:r>
      <w:r w:rsidR="003E2BCD" w:rsidRPr="00F4050B">
        <w:t xml:space="preserve"> </w:t>
      </w:r>
      <w:r w:rsidR="003329BA">
        <w:t>are</w:t>
      </w:r>
      <w:r w:rsidR="003329BA" w:rsidRPr="00F4050B">
        <w:t xml:space="preserve"> </w:t>
      </w:r>
      <w:r w:rsidR="003E2BCD" w:rsidRPr="00F4050B">
        <w:t>centrally dispatched</w:t>
      </w:r>
      <w:r w:rsidRPr="00F4050B">
        <w:t>,</w:t>
      </w:r>
      <w:r w:rsidR="003E2BCD" w:rsidRPr="00F4050B">
        <w:t xml:space="preserve"> and </w:t>
      </w:r>
      <w:r w:rsidR="003329BA">
        <w:t>their</w:t>
      </w:r>
      <w:r w:rsidR="003329BA" w:rsidRPr="00F4050B">
        <w:t xml:space="preserve"> </w:t>
      </w:r>
      <w:r w:rsidR="003E2BCD" w:rsidRPr="00F4050B">
        <w:t>dispatch is</w:t>
      </w:r>
      <w:r w:rsidR="003E2BCD" w:rsidRPr="00F4050B" w:rsidDel="006503C9">
        <w:t xml:space="preserve"> </w:t>
      </w:r>
      <w:r w:rsidRPr="00F4050B">
        <w:t>therefor</w:t>
      </w:r>
      <w:r w:rsidR="001133A1" w:rsidRPr="00F4050B">
        <w:t>e</w:t>
      </w:r>
      <w:r w:rsidRPr="00F4050B">
        <w:t xml:space="preserve"> </w:t>
      </w:r>
      <w:r w:rsidR="003E2BCD" w:rsidRPr="00F4050B">
        <w:t>outside the control of the activity participants</w:t>
      </w:r>
      <w:r w:rsidR="32DDBD44" w:rsidRPr="00F4050B">
        <w:t>.</w:t>
      </w:r>
    </w:p>
    <w:p w14:paraId="6F735C05" w14:textId="3154DA97" w:rsidR="003E2BCD" w:rsidRDefault="003E2BCD" w:rsidP="00C72647">
      <w:pPr>
        <w:pStyle w:val="SDMPara"/>
        <w:keepNext/>
      </w:pPr>
      <w:r w:rsidRPr="00F4050B">
        <w:rPr>
          <w:b/>
          <w:bCs/>
        </w:rPr>
        <w:t>Scenario</w:t>
      </w:r>
      <w:r w:rsidR="00882BB1">
        <w:rPr>
          <w:b/>
          <w:bCs/>
        </w:rPr>
        <w:t> </w:t>
      </w:r>
      <w:r w:rsidRPr="00F4050B">
        <w:rPr>
          <w:b/>
          <w:bCs/>
        </w:rPr>
        <w:t>B</w:t>
      </w:r>
      <w:r>
        <w:t xml:space="preserve"> applies where:</w:t>
      </w:r>
    </w:p>
    <w:p w14:paraId="379E29B2" w14:textId="3880FD94" w:rsidR="003E2BCD" w:rsidRPr="00F4050B" w:rsidRDefault="003E2BCD">
      <w:pPr>
        <w:pStyle w:val="SDMSubPara1"/>
      </w:pPr>
      <w:r w:rsidRPr="00F4050B">
        <w:t xml:space="preserve">The electricity generation or </w:t>
      </w:r>
      <w:r w:rsidR="6D8B9ACC" w:rsidRPr="00F4050B">
        <w:t>consumption</w:t>
      </w:r>
      <w:r w:rsidRPr="00F4050B">
        <w:t xml:space="preserve"> </w:t>
      </w:r>
      <w:r w:rsidR="00146B22" w:rsidRPr="00F4050B">
        <w:t>source</w:t>
      </w:r>
      <w:r w:rsidRPr="00F4050B">
        <w:t xml:space="preserve"> is connected</w:t>
      </w:r>
      <w:r w:rsidR="001208FB" w:rsidRPr="00F4050B">
        <w:t xml:space="preserve"> only</w:t>
      </w:r>
      <w:r w:rsidRPr="00F4050B">
        <w:t xml:space="preserve"> to </w:t>
      </w:r>
      <w:r w:rsidR="6F54A6FF">
        <w:t>fossil-fuel fired</w:t>
      </w:r>
      <w:r w:rsidR="7675EC23">
        <w:t xml:space="preserve"> </w:t>
      </w:r>
      <w:r w:rsidRPr="00F4050B">
        <w:t>captive power plant</w:t>
      </w:r>
      <w:r w:rsidR="00717D5A">
        <w:t>(s)</w:t>
      </w:r>
      <w:r w:rsidRPr="00F4050B">
        <w:t xml:space="preserve"> and not to </w:t>
      </w:r>
      <w:r w:rsidR="785921CD" w:rsidRPr="00F4050B">
        <w:t xml:space="preserve">an </w:t>
      </w:r>
      <w:r w:rsidR="16D50E80" w:rsidRPr="00F4050B">
        <w:t>electric</w:t>
      </w:r>
      <w:r w:rsidR="785921CD" w:rsidRPr="00F4050B">
        <w:t>ity</w:t>
      </w:r>
      <w:r w:rsidR="00F325D3" w:rsidRPr="00F4050B">
        <w:t xml:space="preserve"> system</w:t>
      </w:r>
      <w:r w:rsidRPr="00F4050B">
        <w:t>; or</w:t>
      </w:r>
    </w:p>
    <w:p w14:paraId="1C89496A" w14:textId="2F99637F" w:rsidR="003E2BCD" w:rsidRPr="00F4050B" w:rsidRDefault="003E2BCD">
      <w:pPr>
        <w:pStyle w:val="SDMSubPara1"/>
      </w:pPr>
      <w:r w:rsidRPr="00F4050B">
        <w:t xml:space="preserve">The implementation of the </w:t>
      </w:r>
      <w:r w:rsidR="00FD5CD2" w:rsidRPr="00F4050B">
        <w:t xml:space="preserve">Article 6.4 </w:t>
      </w:r>
      <w:r w:rsidRPr="00F4050B">
        <w:t xml:space="preserve">activity is clearly demonstrated to affect </w:t>
      </w:r>
      <w:r w:rsidR="00F12804" w:rsidRPr="00F4050B">
        <w:t xml:space="preserve">only </w:t>
      </w:r>
      <w:r w:rsidRPr="00F4050B">
        <w:t>the quantity of electricity generated</w:t>
      </w:r>
      <w:r w:rsidRPr="00F4050B" w:rsidDel="00D55B53">
        <w:t xml:space="preserve"> </w:t>
      </w:r>
      <w:r w:rsidR="00D55B53" w:rsidRPr="00F4050B">
        <w:t xml:space="preserve">by </w:t>
      </w:r>
      <w:r w:rsidRPr="00F4050B">
        <w:t xml:space="preserve">the </w:t>
      </w:r>
      <w:r w:rsidR="34D25E2F">
        <w:t>fossil-fuel fired</w:t>
      </w:r>
      <w:r>
        <w:t xml:space="preserve"> </w:t>
      </w:r>
      <w:r w:rsidRPr="00F4050B">
        <w:t xml:space="preserve">captive power plant(s) and does not affect the quantity of electricity consumed from or fed into the </w:t>
      </w:r>
      <w:r w:rsidR="16D50E80" w:rsidRPr="00F4050B">
        <w:t>electric</w:t>
      </w:r>
      <w:r w:rsidR="785921CD" w:rsidRPr="00F4050B">
        <w:t>ity</w:t>
      </w:r>
      <w:r w:rsidR="00F325D3" w:rsidRPr="00F4050B">
        <w:t xml:space="preserve"> system</w:t>
      </w:r>
      <w:r w:rsidRPr="00F4050B">
        <w:t>. This applies, for example</w:t>
      </w:r>
      <w:r w:rsidR="00D55B53" w:rsidRPr="00F4050B">
        <w:t>, where</w:t>
      </w:r>
      <w:r w:rsidR="00EC590C" w:rsidRPr="00F4050B" w:rsidDel="00517F33">
        <w:t>,</w:t>
      </w:r>
      <w:r w:rsidRPr="00F4050B" w:rsidDel="00517F33">
        <w:t xml:space="preserve"> at</w:t>
      </w:r>
      <w:r w:rsidRPr="00F4050B">
        <w:t xml:space="preserve"> all times during the monitored period, the total electricity </w:t>
      </w:r>
      <w:r w:rsidR="2FDCA5A3" w:rsidRPr="00F4050B">
        <w:t>demand</w:t>
      </w:r>
      <w:r w:rsidRPr="00F4050B">
        <w:t xml:space="preserve"> at the site of the </w:t>
      </w:r>
      <w:r w:rsidR="1428437E">
        <w:t xml:space="preserve">fossil-fuel fired </w:t>
      </w:r>
      <w:r w:rsidRPr="00F4050B">
        <w:t xml:space="preserve">captive power plant(s) </w:t>
      </w:r>
      <w:r w:rsidR="00517F33" w:rsidRPr="00F4050B">
        <w:t>exceeds</w:t>
      </w:r>
      <w:r w:rsidRPr="00F4050B">
        <w:t xml:space="preserve"> the quantity of electricity that can physically be supplied by the </w:t>
      </w:r>
      <w:r w:rsidR="002779C8" w:rsidRPr="00F4050B">
        <w:t>electric</w:t>
      </w:r>
      <w:r w:rsidR="00683887" w:rsidRPr="00F4050B">
        <w:t>ity</w:t>
      </w:r>
      <w:r w:rsidR="002779C8" w:rsidRPr="00F4050B">
        <w:t xml:space="preserve"> system </w:t>
      </w:r>
      <w:r w:rsidR="005212AA" w:rsidRPr="00F4050B">
        <w:t xml:space="preserve">in </w:t>
      </w:r>
      <w:r w:rsidRPr="00F4050B">
        <w:t xml:space="preserve">both the </w:t>
      </w:r>
      <w:r w:rsidR="00683887" w:rsidRPr="00F4050B">
        <w:t xml:space="preserve">project scenario </w:t>
      </w:r>
      <w:r w:rsidRPr="00F4050B">
        <w:t>and the baseline</w:t>
      </w:r>
      <w:r w:rsidR="00683887" w:rsidRPr="00F4050B">
        <w:t xml:space="preserve"> scenario</w:t>
      </w:r>
      <w:r w:rsidR="002779C8" w:rsidRPr="00F4050B">
        <w:t>.</w:t>
      </w:r>
    </w:p>
    <w:p w14:paraId="59D22D57" w14:textId="3D70CB9C" w:rsidR="003E2BCD" w:rsidRDefault="003E2BCD">
      <w:pPr>
        <w:pStyle w:val="SDMPara"/>
      </w:pPr>
      <w:r w:rsidRPr="00B74251">
        <w:rPr>
          <w:b/>
          <w:bCs/>
        </w:rPr>
        <w:t>Scenario</w:t>
      </w:r>
      <w:r w:rsidR="00882BB1">
        <w:rPr>
          <w:b/>
          <w:bCs/>
        </w:rPr>
        <w:t> </w:t>
      </w:r>
      <w:r w:rsidRPr="00B74251">
        <w:rPr>
          <w:b/>
          <w:bCs/>
        </w:rPr>
        <w:t>C</w:t>
      </w:r>
      <w:r>
        <w:t xml:space="preserve"> applies </w:t>
      </w:r>
      <w:r w:rsidR="00C019F1">
        <w:t xml:space="preserve">in </w:t>
      </w:r>
      <w:r>
        <w:t xml:space="preserve">all other cases where the electricity generation or consumption </w:t>
      </w:r>
      <w:r w:rsidR="00800E83">
        <w:t>source</w:t>
      </w:r>
      <w:r>
        <w:t xml:space="preserve"> is connected to both </w:t>
      </w:r>
      <w:r w:rsidR="4344D6AD">
        <w:t>an</w:t>
      </w:r>
      <w:r w:rsidDel="004D7F29">
        <w:t xml:space="preserve"> </w:t>
      </w:r>
      <w:r w:rsidR="004D7F29">
        <w:t>electric</w:t>
      </w:r>
      <w:r w:rsidR="00E8522A">
        <w:t>ity</w:t>
      </w:r>
      <w:r w:rsidR="004D7F29">
        <w:t xml:space="preserve"> system </w:t>
      </w:r>
      <w:r>
        <w:t xml:space="preserve">and </w:t>
      </w:r>
      <w:r w:rsidR="011D8384">
        <w:t>fossil-fuel fired</w:t>
      </w:r>
      <w:r>
        <w:t xml:space="preserve"> captive power plant</w:t>
      </w:r>
      <w:r w:rsidR="00A07160">
        <w:t>(s)</w:t>
      </w:r>
      <w:r>
        <w:t>.</w:t>
      </w:r>
    </w:p>
    <w:p w14:paraId="6F224788" w14:textId="257951A3" w:rsidR="009A4242" w:rsidRDefault="003E2BCD">
      <w:pPr>
        <w:pStyle w:val="SDMPara"/>
      </w:pPr>
      <w:r>
        <w:t>Activity participants shall document</w:t>
      </w:r>
      <w:r w:rsidR="00DC0FB2">
        <w:t>,</w:t>
      </w:r>
      <w:r>
        <w:t xml:space="preserve"> in the PDD and in monitoring reports</w:t>
      </w:r>
      <w:r w:rsidR="00DC0FB2">
        <w:t>,</w:t>
      </w:r>
      <w:r>
        <w:t xml:space="preserve"> which scenario applies, justify why the scenario applies</w:t>
      </w:r>
      <w:r w:rsidR="00DC0FB2">
        <w:t>,</w:t>
      </w:r>
      <w:r>
        <w:t xml:space="preserve"> and provide relevant evidence. </w:t>
      </w:r>
      <w:r w:rsidRPr="00F4050B">
        <w:rPr>
          <w:b/>
          <w:bCs/>
        </w:rPr>
        <w:t>Scenario</w:t>
      </w:r>
      <w:r w:rsidR="00882BB1">
        <w:rPr>
          <w:b/>
          <w:bCs/>
        </w:rPr>
        <w:t> </w:t>
      </w:r>
      <w:r w:rsidRPr="00F4050B">
        <w:rPr>
          <w:b/>
          <w:bCs/>
        </w:rPr>
        <w:t>C</w:t>
      </w:r>
      <w:r>
        <w:t xml:space="preserve"> shall be </w:t>
      </w:r>
      <w:r w:rsidR="00462584">
        <w:t>selected</w:t>
      </w:r>
      <w:r>
        <w:t>, as a conservative approach</w:t>
      </w:r>
      <w:r w:rsidR="004D7F29">
        <w:t xml:space="preserve">, </w:t>
      </w:r>
      <w:r w:rsidR="00100B2F">
        <w:t xml:space="preserve">where </w:t>
      </w:r>
      <w:r w:rsidR="004D7F29">
        <w:t>it is not possible to</w:t>
      </w:r>
      <w:r w:rsidR="00710564">
        <w:t xml:space="preserve"> </w:t>
      </w:r>
      <w:r w:rsidR="001539E3">
        <w:t xml:space="preserve">clearly </w:t>
      </w:r>
      <w:r w:rsidR="00710564">
        <w:t xml:space="preserve">classify </w:t>
      </w:r>
      <w:r w:rsidR="0081454A">
        <w:t xml:space="preserve">the </w:t>
      </w:r>
      <w:r w:rsidR="00A65FC5">
        <w:t xml:space="preserve">circumstances as </w:t>
      </w:r>
      <w:r w:rsidR="005B68AB" w:rsidRPr="00F4050B">
        <w:rPr>
          <w:b/>
          <w:bCs/>
        </w:rPr>
        <w:t>scenario</w:t>
      </w:r>
      <w:r w:rsidR="00877272">
        <w:rPr>
          <w:b/>
          <w:bCs/>
        </w:rPr>
        <w:t> </w:t>
      </w:r>
      <w:r w:rsidR="0081454A" w:rsidRPr="00F4050B">
        <w:rPr>
          <w:b/>
          <w:bCs/>
        </w:rPr>
        <w:t>A</w:t>
      </w:r>
      <w:r w:rsidR="0081454A">
        <w:t xml:space="preserve"> or </w:t>
      </w:r>
      <w:r w:rsidR="005B68AB" w:rsidRPr="00F4050B">
        <w:rPr>
          <w:b/>
          <w:bCs/>
        </w:rPr>
        <w:t>scenario</w:t>
      </w:r>
      <w:r w:rsidR="00877272">
        <w:rPr>
          <w:b/>
          <w:bCs/>
        </w:rPr>
        <w:t> </w:t>
      </w:r>
      <w:r w:rsidR="0081454A" w:rsidRPr="00F4050B">
        <w:rPr>
          <w:b/>
          <w:bCs/>
        </w:rPr>
        <w:t>B</w:t>
      </w:r>
      <w:r>
        <w:t>.</w:t>
      </w:r>
    </w:p>
    <w:p w14:paraId="111F1FF3" w14:textId="7A3C332E" w:rsidR="000B454F" w:rsidRPr="00C44DC6" w:rsidRDefault="007C7087">
      <w:pPr>
        <w:pStyle w:val="SDMHead2"/>
      </w:pPr>
      <w:bookmarkStart w:id="317" w:name="_Ref212234527"/>
      <w:bookmarkStart w:id="318" w:name="_Toc212389905"/>
      <w:bookmarkStart w:id="319" w:name="_Toc215208600"/>
      <w:bookmarkStart w:id="320" w:name="_Toc215216119"/>
      <w:bookmarkStart w:id="321" w:name="_Toc215222855"/>
      <w:bookmarkStart w:id="322" w:name="_Toc215223043"/>
      <w:bookmarkStart w:id="323" w:name="_Toc215223265"/>
      <w:bookmarkStart w:id="324" w:name="_Toc215574886"/>
      <w:bookmarkStart w:id="325" w:name="_Toc215923325"/>
      <w:bookmarkStart w:id="326" w:name="_Toc216093021"/>
      <w:bookmarkStart w:id="327" w:name="_Toc216271750"/>
      <w:bookmarkStart w:id="328" w:name="_Toc216279367"/>
      <w:bookmarkStart w:id="329" w:name="_Toc216283405"/>
      <w:bookmarkStart w:id="330" w:name="_Toc216288023"/>
      <w:bookmarkStart w:id="331" w:name="_Toc219666130"/>
      <w:bookmarkStart w:id="332" w:name="_Toc220001390"/>
      <w:bookmarkStart w:id="333" w:name="_Ref221036511"/>
      <w:bookmarkStart w:id="334" w:name="_Toc221096414"/>
      <w:bookmarkStart w:id="335" w:name="_Toc221097966"/>
      <w:bookmarkStart w:id="336" w:name="_Toc221116262"/>
      <w:bookmarkStart w:id="337" w:name="_Toc221117278"/>
      <w:bookmarkStart w:id="338" w:name="_Toc222132116"/>
      <w:bookmarkStart w:id="339" w:name="_Toc222494917"/>
      <w:bookmarkStart w:id="340" w:name="_Toc222512433"/>
      <w:bookmarkStart w:id="341" w:name="_Toc222741753"/>
      <w:r w:rsidRPr="0070344A">
        <w:t>Step</w:t>
      </w:r>
      <w:r w:rsidR="00126F8A">
        <w:t> </w:t>
      </w:r>
      <w:r w:rsidRPr="0070344A">
        <w:t>3:</w:t>
      </w:r>
      <w:r w:rsidRPr="00E26886">
        <w:rPr>
          <w:lang w:eastAsia="ja-JP"/>
        </w:rPr>
        <w:t xml:space="preserve"> Identify the relevant electricity system(s</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sidRPr="00E26886">
        <w:rPr>
          <w:lang w:eastAsia="ja-JP"/>
        </w:rPr>
        <w:t>)</w:t>
      </w:r>
      <w:r w:rsidR="00951074">
        <w:rPr>
          <w:lang w:eastAsia="ja-JP"/>
        </w:rPr>
        <w:t>, where applicable</w:t>
      </w:r>
      <w:bookmarkEnd w:id="333"/>
      <w:bookmarkEnd w:id="334"/>
      <w:bookmarkEnd w:id="335"/>
      <w:bookmarkEnd w:id="336"/>
      <w:bookmarkEnd w:id="337"/>
      <w:bookmarkEnd w:id="338"/>
      <w:bookmarkEnd w:id="339"/>
      <w:bookmarkEnd w:id="340"/>
      <w:bookmarkEnd w:id="341"/>
    </w:p>
    <w:p w14:paraId="72196459" w14:textId="11ABD7A0" w:rsidR="00E50BB8" w:rsidRDefault="00F41859" w:rsidP="00C72647">
      <w:pPr>
        <w:pStyle w:val="SDMPara"/>
        <w:keepNext/>
      </w:pPr>
      <w:r w:rsidRPr="00F4050B" w:rsidDel="00043205">
        <w:t>T</w:t>
      </w:r>
      <w:r w:rsidRPr="00F4050B">
        <w:t>his step is</w:t>
      </w:r>
      <w:r w:rsidR="00AE4B5D" w:rsidRPr="00F4050B">
        <w:t xml:space="preserve"> </w:t>
      </w:r>
      <w:r w:rsidRPr="00F4050B">
        <w:t xml:space="preserve">applicable </w:t>
      </w:r>
      <w:r w:rsidR="00D95CEE" w:rsidRPr="00F4050B">
        <w:t xml:space="preserve">only </w:t>
      </w:r>
      <w:r w:rsidR="00E50BB8" w:rsidRPr="00F4050B">
        <w:t>where</w:t>
      </w:r>
      <w:r w:rsidR="00E52996" w:rsidRPr="00F4050B">
        <w:t>:</w:t>
      </w:r>
    </w:p>
    <w:p w14:paraId="532B9794" w14:textId="13AEEA4F" w:rsidR="00E50BB8" w:rsidRPr="00F4050B" w:rsidRDefault="00F41859">
      <w:pPr>
        <w:pStyle w:val="SDMSubPara1"/>
      </w:pPr>
      <w:r w:rsidRPr="00F4050B">
        <w:rPr>
          <w:b/>
          <w:bCs/>
        </w:rPr>
        <w:t>Scenario</w:t>
      </w:r>
      <w:r w:rsidR="00882BB1">
        <w:rPr>
          <w:b/>
          <w:bCs/>
        </w:rPr>
        <w:t> </w:t>
      </w:r>
      <w:r w:rsidRPr="00F4050B">
        <w:rPr>
          <w:b/>
          <w:bCs/>
        </w:rPr>
        <w:t>A</w:t>
      </w:r>
      <w:r w:rsidRPr="00F4050B">
        <w:t xml:space="preserve"> or </w:t>
      </w:r>
      <w:r w:rsidR="002D5A0B" w:rsidRPr="00842253">
        <w:rPr>
          <w:b/>
          <w:bCs/>
        </w:rPr>
        <w:t>scenario</w:t>
      </w:r>
      <w:r w:rsidR="00882BB1">
        <w:rPr>
          <w:b/>
          <w:bCs/>
        </w:rPr>
        <w:t> </w:t>
      </w:r>
      <w:r w:rsidRPr="00842253">
        <w:rPr>
          <w:b/>
          <w:bCs/>
        </w:rPr>
        <w:t>C</w:t>
      </w:r>
      <w:r w:rsidRPr="00F4050B" w:rsidDel="00407DC3">
        <w:t xml:space="preserve"> applies</w:t>
      </w:r>
      <w:r w:rsidR="00E50BB8" w:rsidRPr="00F4050B">
        <w:t>; and</w:t>
      </w:r>
    </w:p>
    <w:p w14:paraId="4A62DC4F" w14:textId="3CC2E9EA" w:rsidR="00CD601B" w:rsidRPr="00F4050B" w:rsidRDefault="00416535">
      <w:pPr>
        <w:pStyle w:val="SDMSubPara1"/>
      </w:pPr>
      <w:r w:rsidRPr="00F4050B">
        <w:rPr>
          <w:b/>
          <w:bCs/>
        </w:rPr>
        <w:t>Option</w:t>
      </w:r>
      <w:r w:rsidR="00882BB1">
        <w:rPr>
          <w:b/>
          <w:bCs/>
        </w:rPr>
        <w:t> </w:t>
      </w:r>
      <w:r w:rsidR="00492466" w:rsidRPr="00F4050B">
        <w:rPr>
          <w:b/>
          <w:bCs/>
        </w:rPr>
        <w:t>A</w:t>
      </w:r>
      <w:r w:rsidR="00492466" w:rsidRPr="00F4050B">
        <w:t xml:space="preserve"> </w:t>
      </w:r>
      <w:r w:rsidR="000403DB" w:rsidRPr="00F4050B">
        <w:t>(</w:t>
      </w:r>
      <w:r w:rsidR="00B962BF" w:rsidRPr="00F4050B">
        <w:t xml:space="preserve">calculate </w:t>
      </w:r>
      <w:r w:rsidRPr="00F4050B">
        <w:t>the combined margin emission factor of the electricity system)</w:t>
      </w:r>
      <w:r w:rsidR="00296012" w:rsidRPr="00F4050B">
        <w:t>,</w:t>
      </w:r>
      <w:r w:rsidRPr="00F4050B">
        <w:t xml:space="preserve"> </w:t>
      </w:r>
      <w:r w:rsidR="00D84DB1" w:rsidRPr="00F4050B">
        <w:t xml:space="preserve">as specified </w:t>
      </w:r>
      <w:r w:rsidR="00492466" w:rsidRPr="00F4050B">
        <w:t xml:space="preserve">in section </w:t>
      </w:r>
      <w:r w:rsidR="007653B6">
        <w:fldChar w:fldCharType="begin"/>
      </w:r>
      <w:r w:rsidR="007653B6">
        <w:instrText xml:space="preserve"> REF _Ref215608724 \w \h </w:instrText>
      </w:r>
      <w:r w:rsidR="007653B6">
        <w:fldChar w:fldCharType="separate"/>
      </w:r>
      <w:r w:rsidR="00D811A8">
        <w:rPr>
          <w:cs/>
        </w:rPr>
        <w:t>‎</w:t>
      </w:r>
      <w:r w:rsidR="00D811A8">
        <w:t>5.7.1</w:t>
      </w:r>
      <w:r w:rsidR="007653B6">
        <w:fldChar w:fldCharType="end"/>
      </w:r>
      <w:r w:rsidR="00837BE8" w:rsidRPr="00F4050B">
        <w:t xml:space="preserve"> </w:t>
      </w:r>
      <w:r w:rsidR="00F2455D" w:rsidRPr="00F4050B">
        <w:t>is applied</w:t>
      </w:r>
      <w:r w:rsidR="39999E55" w:rsidRPr="00F4050B">
        <w:t>.</w:t>
      </w:r>
    </w:p>
    <w:p w14:paraId="4DAAB0D8" w14:textId="75C93997" w:rsidR="00D036D0" w:rsidRPr="00F4050B" w:rsidRDefault="736D9E60">
      <w:pPr>
        <w:pStyle w:val="SDMPara"/>
        <w:rPr>
          <w:rFonts w:eastAsia="Arial"/>
        </w:rPr>
      </w:pPr>
      <w:bookmarkStart w:id="342" w:name="_Ref212208395"/>
      <w:r>
        <w:t xml:space="preserve">Activity participants </w:t>
      </w:r>
      <w:r w:rsidR="25F3FE54">
        <w:t xml:space="preserve">shall </w:t>
      </w:r>
      <w:r>
        <w:t xml:space="preserve">delineate the </w:t>
      </w:r>
      <w:r w:rsidR="25F3FE54">
        <w:t xml:space="preserve">project </w:t>
      </w:r>
      <w:r>
        <w:t xml:space="preserve">electricity system </w:t>
      </w:r>
      <w:r w:rsidR="21EEA5F1">
        <w:t xml:space="preserve">and </w:t>
      </w:r>
      <w:r w:rsidR="4F3EC29B">
        <w:t xml:space="preserve">any </w:t>
      </w:r>
      <w:r w:rsidR="21EEA5F1">
        <w:t>connected electricity system(s</w:t>
      </w:r>
      <w:r w:rsidR="212650BE">
        <w:t>)</w:t>
      </w:r>
      <w:r w:rsidR="2DD1127E">
        <w:t xml:space="preserve"> and</w:t>
      </w:r>
      <w:r w:rsidR="3B9A25FB" w:rsidRPr="00F4050B">
        <w:rPr>
          <w:rFonts w:eastAsia="Arial"/>
        </w:rPr>
        <w:t xml:space="preserve"> </w:t>
      </w:r>
      <w:r w:rsidR="00D84DB1" w:rsidRPr="00F4050B">
        <w:rPr>
          <w:rFonts w:eastAsia="Arial"/>
        </w:rPr>
        <w:t xml:space="preserve">shall transparently </w:t>
      </w:r>
      <w:r w:rsidR="3B9A25FB" w:rsidRPr="00F4050B">
        <w:rPr>
          <w:rFonts w:eastAsia="Arial"/>
        </w:rPr>
        <w:t xml:space="preserve">document the geographical </w:t>
      </w:r>
      <w:r w:rsidR="006114C8" w:rsidRPr="00F4050B">
        <w:rPr>
          <w:rFonts w:eastAsia="Arial"/>
        </w:rPr>
        <w:t>boundary</w:t>
      </w:r>
      <w:r w:rsidR="3B9A25FB" w:rsidRPr="00F4050B">
        <w:rPr>
          <w:rFonts w:eastAsia="Arial"/>
        </w:rPr>
        <w:t xml:space="preserve"> of the project electricity system and any connected electricity system</w:t>
      </w:r>
      <w:r w:rsidR="00C27754" w:rsidRPr="00F4050B">
        <w:rPr>
          <w:rFonts w:eastAsia="Arial"/>
        </w:rPr>
        <w:t>(s)</w:t>
      </w:r>
      <w:r w:rsidR="006E32CB" w:rsidRPr="00F4050B">
        <w:rPr>
          <w:rFonts w:eastAsia="Arial"/>
        </w:rPr>
        <w:t xml:space="preserve"> in the PDD</w:t>
      </w:r>
      <w:r w:rsidR="00DD5F0F" w:rsidRPr="00F4050B">
        <w:rPr>
          <w:rFonts w:eastAsia="Arial"/>
        </w:rPr>
        <w:t xml:space="preserve">. When doing so, activity participants shall also identify the relevant </w:t>
      </w:r>
      <w:r w:rsidR="00697EF6" w:rsidRPr="00F4050B">
        <w:rPr>
          <w:rFonts w:eastAsia="Arial"/>
        </w:rPr>
        <w:t>dispatch centres</w:t>
      </w:r>
      <w:r w:rsidR="3B9A25FB" w:rsidRPr="00F4050B">
        <w:rPr>
          <w:rFonts w:eastAsia="Arial"/>
        </w:rPr>
        <w:t>.</w:t>
      </w:r>
    </w:p>
    <w:p w14:paraId="284F28C2" w14:textId="631A23FF" w:rsidR="00D036D0" w:rsidRDefault="07EE04C2" w:rsidP="00C72647">
      <w:pPr>
        <w:pStyle w:val="SDMPara"/>
        <w:keepNext/>
      </w:pPr>
      <w:r>
        <w:t>An electricity system (i.e.</w:t>
      </w:r>
      <w:r w:rsidR="75C0C8CE">
        <w:t>,</w:t>
      </w:r>
      <w:r>
        <w:t xml:space="preserve"> the project electricity system or a</w:t>
      </w:r>
      <w:r w:rsidR="05A008FE">
        <w:t>ny</w:t>
      </w:r>
      <w:r>
        <w:t xml:space="preserve"> connected </w:t>
      </w:r>
      <w:r w:rsidR="00DE3FBD">
        <w:t xml:space="preserve">electricity </w:t>
      </w:r>
      <w:r>
        <w:t>system</w:t>
      </w:r>
      <w:r w:rsidR="005A32EE">
        <w:t>(</w:t>
      </w:r>
      <w:r w:rsidR="05A008FE">
        <w:t>s</w:t>
      </w:r>
      <w:r w:rsidR="005A32EE">
        <w:t>)</w:t>
      </w:r>
      <w:r>
        <w:t>)</w:t>
      </w:r>
      <w:r w:rsidR="4877DB5A">
        <w:t xml:space="preserve"> shall be </w:t>
      </w:r>
      <w:r w:rsidR="05A008FE">
        <w:t>delineated</w:t>
      </w:r>
      <w:r w:rsidR="4877DB5A">
        <w:t xml:space="preserve"> as follows</w:t>
      </w:r>
      <w:r w:rsidR="736D9E60">
        <w:t>:</w:t>
      </w:r>
      <w:bookmarkEnd w:id="342"/>
    </w:p>
    <w:p w14:paraId="7FDB6F97" w14:textId="166AD0AE" w:rsidR="00984EB0" w:rsidRPr="00F4050B" w:rsidRDefault="0075573F">
      <w:pPr>
        <w:pStyle w:val="SDMSubPara1"/>
      </w:pPr>
      <w:r w:rsidRPr="00F4050B">
        <w:t>Where available,</w:t>
      </w:r>
      <w:r w:rsidR="0028272E" w:rsidRPr="00F4050B">
        <w:t xml:space="preserve"> </w:t>
      </w:r>
      <w:r w:rsidRPr="00F4050B">
        <w:t>u</w:t>
      </w:r>
      <w:r w:rsidR="00FE18A8" w:rsidRPr="00F4050B">
        <w:t xml:space="preserve">se </w:t>
      </w:r>
      <w:r w:rsidR="005D73D8" w:rsidRPr="00F4050B">
        <w:t>the</w:t>
      </w:r>
      <w:r w:rsidR="0028272E" w:rsidRPr="00F4050B">
        <w:t xml:space="preserve"> delineation of electricity systems published by the DNA </w:t>
      </w:r>
      <w:r w:rsidR="00A818D8" w:rsidRPr="00F4050B">
        <w:t xml:space="preserve">of the host country </w:t>
      </w:r>
      <w:r w:rsidR="0028272E" w:rsidRPr="00F4050B">
        <w:t xml:space="preserve">or </w:t>
      </w:r>
      <w:r w:rsidR="004C7F4E" w:rsidRPr="00F4050B">
        <w:t xml:space="preserve">by </w:t>
      </w:r>
      <w:r w:rsidR="00A818D8" w:rsidRPr="00F4050B">
        <w:t xml:space="preserve">a </w:t>
      </w:r>
      <w:r w:rsidR="0028272E" w:rsidRPr="00F4050B">
        <w:t xml:space="preserve">group of DNAs </w:t>
      </w:r>
      <w:r w:rsidR="00A818D8" w:rsidRPr="00F4050B">
        <w:t xml:space="preserve">covering </w:t>
      </w:r>
      <w:r w:rsidR="0028272E" w:rsidRPr="00F4050B" w:rsidDel="008F41C8">
        <w:t xml:space="preserve">the </w:t>
      </w:r>
      <w:r w:rsidR="0028272E" w:rsidRPr="00F4050B">
        <w:t xml:space="preserve">host </w:t>
      </w:r>
      <w:r w:rsidR="00E275F0" w:rsidRPr="00F4050B">
        <w:t xml:space="preserve">country as well as </w:t>
      </w:r>
      <w:r w:rsidR="00664B1F" w:rsidRPr="00F4050B">
        <w:t>other countries</w:t>
      </w:r>
      <w:r w:rsidR="3C515FB5" w:rsidRPr="00F4050B">
        <w:t>.</w:t>
      </w:r>
      <w:r w:rsidR="0028272E" w:rsidRPr="00F4050B">
        <w:t xml:space="preserve"> </w:t>
      </w:r>
      <w:r w:rsidR="006D723F" w:rsidRPr="00F4050B">
        <w:t>Where</w:t>
      </w:r>
      <w:r w:rsidR="0028272E" w:rsidRPr="00F4050B">
        <w:t xml:space="preserve"> a delineation is provided by a group of DNAs, the same delineation </w:t>
      </w:r>
      <w:r w:rsidR="002F5E18" w:rsidRPr="00F4050B">
        <w:t>shall</w:t>
      </w:r>
      <w:r w:rsidR="0028272E" w:rsidRPr="00F4050B">
        <w:t xml:space="preserve"> be used by all activity participants applying th</w:t>
      </w:r>
      <w:r w:rsidR="00745695" w:rsidRPr="00F4050B">
        <w:t>is methodological</w:t>
      </w:r>
      <w:r w:rsidR="0028272E" w:rsidRPr="00F4050B">
        <w:t xml:space="preserve"> tool in </w:t>
      </w:r>
      <w:r w:rsidR="002F5E18" w:rsidRPr="00F4050B">
        <w:t xml:space="preserve">those </w:t>
      </w:r>
      <w:r w:rsidR="0028272E" w:rsidRPr="00F4050B">
        <w:t>countries;</w:t>
      </w:r>
      <w:r w:rsidR="00A02DAD" w:rsidRPr="00F4050B">
        <w:t xml:space="preserve"> or</w:t>
      </w:r>
    </w:p>
    <w:p w14:paraId="2055013F" w14:textId="20995B0C" w:rsidR="00FF70B5" w:rsidRPr="00F4050B" w:rsidRDefault="00E24BC0" w:rsidP="00C72647">
      <w:pPr>
        <w:pStyle w:val="SDMSubPara1"/>
        <w:keepNext/>
      </w:pPr>
      <w:r w:rsidRPr="00F4050B">
        <w:t xml:space="preserve">Where a delineation by the DNA </w:t>
      </w:r>
      <w:r w:rsidR="00FD0AD1" w:rsidRPr="00F4050B">
        <w:t xml:space="preserve">or by a group of DNAs </w:t>
      </w:r>
      <w:r w:rsidRPr="00F4050B">
        <w:t>is not available,</w:t>
      </w:r>
      <w:r w:rsidR="007D3F3A" w:rsidRPr="00F4050B">
        <w:t xml:space="preserve"> </w:t>
      </w:r>
      <w:r w:rsidR="00C40A0C" w:rsidRPr="00F4050B">
        <w:t xml:space="preserve">determine the delineation of </w:t>
      </w:r>
      <w:r w:rsidR="00D9610D" w:rsidRPr="00F4050B">
        <w:t>electricity systems as follows</w:t>
      </w:r>
      <w:r w:rsidR="00FF70B5" w:rsidRPr="00F4050B">
        <w:t>:</w:t>
      </w:r>
    </w:p>
    <w:p w14:paraId="781D9E6E" w14:textId="77777777" w:rsidR="00FF70B5" w:rsidRPr="00F4050B" w:rsidRDefault="3A192BF7">
      <w:pPr>
        <w:pStyle w:val="SDMSubPara2"/>
      </w:pPr>
      <w:r w:rsidRPr="00F4050B">
        <w:t xml:space="preserve">Identify </w:t>
      </w:r>
      <w:r w:rsidR="48734768" w:rsidRPr="00F4050B">
        <w:t>the dispatch area</w:t>
      </w:r>
      <w:r w:rsidR="7709FC7E" w:rsidRPr="00F4050B">
        <w:t>s</w:t>
      </w:r>
      <w:r w:rsidR="48734768" w:rsidRPr="00F4050B">
        <w:t xml:space="preserve"> </w:t>
      </w:r>
      <w:r w:rsidR="6BC9AB9C" w:rsidRPr="00F4050B">
        <w:t xml:space="preserve">covered by </w:t>
      </w:r>
      <w:r w:rsidR="48734768" w:rsidRPr="00F4050B">
        <w:t xml:space="preserve">the </w:t>
      </w:r>
      <w:r w:rsidR="23AF29D5" w:rsidRPr="00F4050B">
        <w:t>respective</w:t>
      </w:r>
      <w:r w:rsidR="2345FDE5" w:rsidRPr="00F4050B">
        <w:t xml:space="preserve"> </w:t>
      </w:r>
      <w:r w:rsidR="48734768" w:rsidRPr="00F4050B">
        <w:t>dispatch centre</w:t>
      </w:r>
      <w:r w:rsidR="61109070" w:rsidRPr="00F4050B">
        <w:t>s</w:t>
      </w:r>
      <w:r w:rsidR="00CF5B08" w:rsidRPr="00F4050B">
        <w:t>;</w:t>
      </w:r>
    </w:p>
    <w:p w14:paraId="2353EC48" w14:textId="00BF0493" w:rsidR="00DE55BD" w:rsidRPr="00F4050B" w:rsidRDefault="005107EE">
      <w:pPr>
        <w:pStyle w:val="SDMSubPara2"/>
      </w:pPr>
      <w:bookmarkStart w:id="343" w:name="_Ref215751557"/>
      <w:r w:rsidRPr="00F4050B">
        <w:t>Where</w:t>
      </w:r>
      <w:r w:rsidRPr="00F4050B" w:rsidDel="00C106ED">
        <w:t xml:space="preserve"> </w:t>
      </w:r>
      <w:r w:rsidR="00C106ED" w:rsidRPr="00F4050B">
        <w:t>a</w:t>
      </w:r>
      <w:r w:rsidRPr="00F4050B">
        <w:t xml:space="preserve"> dispatch area is controlled by more than one dispatch centre</w:t>
      </w:r>
      <w:r w:rsidR="00201EE2" w:rsidRPr="00F4050B">
        <w:t xml:space="preserve"> (</w:t>
      </w:r>
      <w:r w:rsidRPr="00F4050B">
        <w:t>i.e.</w:t>
      </w:r>
      <w:r w:rsidR="00201EE2" w:rsidRPr="00F4050B">
        <w:t>,</w:t>
      </w:r>
      <w:r w:rsidRPr="00F4050B">
        <w:t xml:space="preserve"> </w:t>
      </w:r>
      <w:r w:rsidR="006D601D" w:rsidRPr="00F4050B">
        <w:t xml:space="preserve">a </w:t>
      </w:r>
      <w:r w:rsidRPr="00F4050B">
        <w:t>layered dispatch area</w:t>
      </w:r>
      <w:r w:rsidR="00201EE2" w:rsidRPr="00F4050B">
        <w:t>)</w:t>
      </w:r>
      <w:r w:rsidRPr="00F4050B">
        <w:t>, the higher</w:t>
      </w:r>
      <w:r w:rsidR="007C14C3" w:rsidRPr="00F4050B">
        <w:t>-</w:t>
      </w:r>
      <w:r w:rsidRPr="00F4050B">
        <w:t xml:space="preserve">level area shall be </w:t>
      </w:r>
      <w:r w:rsidR="00EC562A" w:rsidRPr="00F4050B">
        <w:t>considered</w:t>
      </w:r>
      <w:r w:rsidR="00664CFC" w:rsidRPr="00F4050B">
        <w:t xml:space="preserve"> </w:t>
      </w:r>
      <w:r w:rsidR="00AC07D2" w:rsidRPr="00F4050B">
        <w:t>the</w:t>
      </w:r>
      <w:r w:rsidR="0049441E" w:rsidRPr="00F4050B">
        <w:t xml:space="preserve"> top-level </w:t>
      </w:r>
      <w:r w:rsidR="00664CFC" w:rsidRPr="00F4050B">
        <w:t xml:space="preserve">dispatch </w:t>
      </w:r>
      <w:r w:rsidR="5277F767" w:rsidRPr="00F4050B">
        <w:t>area</w:t>
      </w:r>
      <w:r w:rsidR="0038346C" w:rsidRPr="00F4050B">
        <w:t>;</w:t>
      </w:r>
      <w:r w:rsidR="009B336B">
        <w:rPr>
          <w:rStyle w:val="FootnoteReference"/>
        </w:rPr>
        <w:footnoteReference w:id="8"/>
      </w:r>
      <w:bookmarkEnd w:id="343"/>
    </w:p>
    <w:p w14:paraId="659C459E" w14:textId="1CE369E5" w:rsidR="00332886" w:rsidRPr="00F4050B" w:rsidRDefault="7C0FF16B">
      <w:pPr>
        <w:pStyle w:val="SDMSubPara2"/>
      </w:pPr>
      <w:r w:rsidRPr="00F4050B">
        <w:t>Assess</w:t>
      </w:r>
      <w:r w:rsidR="00BC7B6F" w:rsidRPr="00F4050B">
        <w:t xml:space="preserve"> whether </w:t>
      </w:r>
      <w:r w:rsidR="00792A4A" w:rsidRPr="00F4050B">
        <w:t xml:space="preserve">any </w:t>
      </w:r>
      <w:r w:rsidR="00BC7B6F" w:rsidRPr="00F4050B">
        <w:t xml:space="preserve">transmission constraints exist between </w:t>
      </w:r>
      <w:r w:rsidR="00C1001B" w:rsidRPr="00F4050B">
        <w:t xml:space="preserve">the </w:t>
      </w:r>
      <w:r w:rsidR="00E87026" w:rsidRPr="00F4050B">
        <w:t>top</w:t>
      </w:r>
      <w:r w:rsidR="009F664B" w:rsidRPr="00F4050B">
        <w:t>-</w:t>
      </w:r>
      <w:r w:rsidR="00E87026" w:rsidRPr="00F4050B">
        <w:t xml:space="preserve">level </w:t>
      </w:r>
      <w:r w:rsidR="008811B3" w:rsidRPr="00F4050B">
        <w:t>dispatch areas</w:t>
      </w:r>
      <w:r w:rsidR="008761F6" w:rsidRPr="00F4050B">
        <w:t xml:space="preserve"> identified in subparagraph (ii)</w:t>
      </w:r>
      <w:r w:rsidRPr="00F4050B" w:rsidDel="008761F6">
        <w:t xml:space="preserve"> above</w:t>
      </w:r>
      <w:r w:rsidR="00332886" w:rsidRPr="00F4050B">
        <w:t>;</w:t>
      </w:r>
      <w:r w:rsidR="00A07B0C" w:rsidRPr="00F4050B">
        <w:t xml:space="preserve"> and</w:t>
      </w:r>
    </w:p>
    <w:p w14:paraId="3727B8D5" w14:textId="08C2BFD2" w:rsidR="000265DF" w:rsidRPr="00F4050B" w:rsidRDefault="006C3FBF">
      <w:pPr>
        <w:pStyle w:val="SDMSubPara2"/>
      </w:pPr>
      <w:r w:rsidRPr="00F4050B">
        <w:t xml:space="preserve">Identify the </w:t>
      </w:r>
      <w:r w:rsidR="0021007A" w:rsidRPr="00F4050B">
        <w:t xml:space="preserve">relevant </w:t>
      </w:r>
      <w:r w:rsidRPr="00F4050B">
        <w:t>electricity system</w:t>
      </w:r>
      <w:r w:rsidR="0021007A" w:rsidRPr="00F4050B">
        <w:t xml:space="preserve"> </w:t>
      </w:r>
      <w:r w:rsidRPr="00F4050B">
        <w:t xml:space="preserve">as the area covered by all </w:t>
      </w:r>
      <w:r w:rsidR="009F664B" w:rsidRPr="00F4050B">
        <w:t xml:space="preserve">top-level </w:t>
      </w:r>
      <w:r w:rsidR="000265DF" w:rsidRPr="00F4050B">
        <w:t>dispatch cent</w:t>
      </w:r>
      <w:r w:rsidR="001F538B" w:rsidRPr="00F4050B">
        <w:t>r</w:t>
      </w:r>
      <w:r w:rsidR="000265DF" w:rsidRPr="00F4050B">
        <w:t xml:space="preserve">es </w:t>
      </w:r>
      <w:r w:rsidR="00A07B0C" w:rsidRPr="00F4050B">
        <w:t xml:space="preserve">between </w:t>
      </w:r>
      <w:r w:rsidR="001F538B" w:rsidRPr="00F4050B">
        <w:t xml:space="preserve">which </w:t>
      </w:r>
      <w:r w:rsidR="00A07B0C" w:rsidRPr="00F4050B">
        <w:t xml:space="preserve">no </w:t>
      </w:r>
      <w:r w:rsidR="000265DF" w:rsidRPr="00F4050B">
        <w:t xml:space="preserve">transmission </w:t>
      </w:r>
      <w:r w:rsidRPr="00F4050B">
        <w:t>constraints</w:t>
      </w:r>
      <w:r w:rsidR="000265DF" w:rsidRPr="00F4050B" w:rsidDel="00A07B0C">
        <w:t xml:space="preserve"> </w:t>
      </w:r>
      <w:r w:rsidR="00A07B0C" w:rsidRPr="00F4050B">
        <w:t>exist</w:t>
      </w:r>
      <w:r w:rsidR="000265DF" w:rsidRPr="00F4050B">
        <w:t>.</w:t>
      </w:r>
    </w:p>
    <w:p w14:paraId="09EA9594" w14:textId="590F6C79" w:rsidR="00FD0955" w:rsidRPr="00F4050B" w:rsidRDefault="007A520B">
      <w:pPr>
        <w:pStyle w:val="SDMPara"/>
      </w:pPr>
      <w:r w:rsidRPr="00F4050B">
        <w:t>The assessment of whether t</w:t>
      </w:r>
      <w:r w:rsidR="00FD0955" w:rsidRPr="00F4050B">
        <w:t>ransmission constraints exist</w:t>
      </w:r>
      <w:r w:rsidRPr="00F4050B">
        <w:t xml:space="preserve"> </w:t>
      </w:r>
      <w:r w:rsidR="00E96A6E" w:rsidRPr="00F4050B">
        <w:t xml:space="preserve">between two </w:t>
      </w:r>
      <w:r w:rsidR="00506AE6" w:rsidRPr="00F4050B">
        <w:t xml:space="preserve">top-level </w:t>
      </w:r>
      <w:r w:rsidR="00E96A6E" w:rsidRPr="00F4050B">
        <w:t xml:space="preserve">dispatch centres </w:t>
      </w:r>
      <w:r w:rsidRPr="00F4050B">
        <w:t>shall be conducted for a period</w:t>
      </w:r>
      <w:r w:rsidR="007F56A5" w:rsidRPr="00F4050B">
        <w:t xml:space="preserve"> of </w:t>
      </w:r>
      <w:r w:rsidR="00741413" w:rsidRPr="00F4050B">
        <w:t>one calendar year</w:t>
      </w:r>
      <w:r w:rsidR="00573866" w:rsidRPr="00F4050B">
        <w:t>, using</w:t>
      </w:r>
      <w:r w:rsidR="00ED1228" w:rsidRPr="00F4050B">
        <w:t xml:space="preserve"> </w:t>
      </w:r>
      <w:r w:rsidR="2F05A65C" w:rsidRPr="00F4050B">
        <w:t xml:space="preserve">the most recent </w:t>
      </w:r>
      <w:r w:rsidR="00573866" w:rsidRPr="00F4050B">
        <w:t>calendar year for which data is available</w:t>
      </w:r>
      <w:r w:rsidRPr="00F4050B">
        <w:t>.</w:t>
      </w:r>
    </w:p>
    <w:p w14:paraId="07790C36" w14:textId="3277CC52" w:rsidR="0076318A" w:rsidRPr="00F4050B" w:rsidRDefault="004213E0" w:rsidP="00C72647">
      <w:pPr>
        <w:pStyle w:val="SDMPara"/>
        <w:keepNext/>
      </w:pPr>
      <w:r w:rsidRPr="00F4050B">
        <w:rPr>
          <w:rFonts w:hint="eastAsia"/>
        </w:rPr>
        <w:t xml:space="preserve">It </w:t>
      </w:r>
      <w:r w:rsidR="00ED1228" w:rsidRPr="00F4050B">
        <w:t>shall</w:t>
      </w:r>
      <w:r w:rsidR="00C06E83" w:rsidRPr="00F4050B">
        <w:t xml:space="preserve"> be</w:t>
      </w:r>
      <w:r w:rsidR="00ED1228" w:rsidRPr="00F4050B">
        <w:rPr>
          <w:rFonts w:hint="eastAsia"/>
        </w:rPr>
        <w:t xml:space="preserve"> </w:t>
      </w:r>
      <w:r w:rsidRPr="00F4050B">
        <w:rPr>
          <w:rFonts w:hint="eastAsia"/>
        </w:rPr>
        <w:t xml:space="preserve">determined that </w:t>
      </w:r>
      <w:r w:rsidR="0076318A" w:rsidRPr="00F4050B">
        <w:t>no transmission constraints</w:t>
      </w:r>
      <w:r w:rsidR="00C06E83" w:rsidRPr="00F4050B">
        <w:t xml:space="preserve"> exist</w:t>
      </w:r>
      <w:r w:rsidR="0076318A" w:rsidRPr="00F4050B">
        <w:t xml:space="preserve"> if any one of the following criteria is met</w:t>
      </w:r>
      <w:r w:rsidR="0076318A" w:rsidRPr="00F4050B" w:rsidDel="000D7A7C">
        <w:t>:</w:t>
      </w:r>
    </w:p>
    <w:p w14:paraId="49D624FF" w14:textId="3E9495D5" w:rsidR="0076318A" w:rsidRPr="00F4050B" w:rsidRDefault="001C12C0">
      <w:pPr>
        <w:pStyle w:val="SDMSubPara1"/>
      </w:pPr>
      <w:r w:rsidRPr="00F4050B">
        <w:t xml:space="preserve">In </w:t>
      </w:r>
      <w:r w:rsidR="00C06E83" w:rsidRPr="00F4050B">
        <w:t xml:space="preserve">the </w:t>
      </w:r>
      <w:r w:rsidRPr="00F4050B">
        <w:t xml:space="preserve">case of electricity systems with spot </w:t>
      </w:r>
      <w:r w:rsidR="009B4FA4" w:rsidRPr="00F4050B">
        <w:t xml:space="preserve">electricity </w:t>
      </w:r>
      <w:r w:rsidRPr="00F4050B">
        <w:t>markets</w:t>
      </w:r>
      <w:r w:rsidR="009B4FA4" w:rsidRPr="00F4050B">
        <w:t>,</w:t>
      </w:r>
      <w:r w:rsidRPr="00F4050B">
        <w:t xml:space="preserve"> </w:t>
      </w:r>
      <w:r w:rsidR="6F8566F6" w:rsidRPr="00F4050B">
        <w:t>the difference</w:t>
      </w:r>
      <w:r w:rsidRPr="00F4050B">
        <w:t xml:space="preserve"> in electricity prices (</w:t>
      </w:r>
      <w:r w:rsidR="002B6869" w:rsidRPr="00F4050B">
        <w:t xml:space="preserve">excluding </w:t>
      </w:r>
      <w:r w:rsidRPr="00F4050B">
        <w:t xml:space="preserve">transmission and distribution costs) </w:t>
      </w:r>
      <w:r w:rsidR="00DA6965" w:rsidRPr="00F4050B">
        <w:t xml:space="preserve">between the two </w:t>
      </w:r>
      <w:r w:rsidR="0090393B" w:rsidRPr="00F4050B">
        <w:t xml:space="preserve">top-level </w:t>
      </w:r>
      <w:r w:rsidR="00E96A6E" w:rsidRPr="00F4050B">
        <w:t>dispatch centres</w:t>
      </w:r>
      <w:r w:rsidR="00DA6965" w:rsidRPr="00F4050B">
        <w:t xml:space="preserve"> </w:t>
      </w:r>
      <w:r w:rsidR="00EA13A5" w:rsidRPr="00F4050B">
        <w:t>is</w:t>
      </w:r>
      <w:r w:rsidR="00DA6965" w:rsidRPr="00F4050B">
        <w:t xml:space="preserve"> </w:t>
      </w:r>
      <w:r w:rsidRPr="00F4050B">
        <w:t xml:space="preserve">less than five per cent </w:t>
      </w:r>
      <w:r w:rsidR="00DA6965" w:rsidRPr="00F4050B">
        <w:t xml:space="preserve">during </w:t>
      </w:r>
      <w:r w:rsidRPr="00F4050B">
        <w:t xml:space="preserve">at least 90 per cent of the hours </w:t>
      </w:r>
      <w:r w:rsidR="00A40CB9" w:rsidRPr="00F4050B">
        <w:t xml:space="preserve">within </w:t>
      </w:r>
      <w:r w:rsidR="00502685" w:rsidRPr="00F4050B">
        <w:t xml:space="preserve">the assessment </w:t>
      </w:r>
      <w:r w:rsidR="1FB35A5D" w:rsidRPr="00F4050B">
        <w:t>period</w:t>
      </w:r>
      <w:r w:rsidR="6F8566F6" w:rsidRPr="00F4050B">
        <w:t>;</w:t>
      </w:r>
    </w:p>
    <w:p w14:paraId="37561903" w14:textId="35207488" w:rsidR="001C12C0" w:rsidRPr="00F4050B" w:rsidRDefault="009A5DE2" w:rsidP="00C72647">
      <w:pPr>
        <w:pStyle w:val="SDMSubPara1"/>
        <w:keepNext/>
      </w:pPr>
      <w:r w:rsidRPr="00F4050B">
        <w:t xml:space="preserve">The transmission line(s) </w:t>
      </w:r>
      <w:r w:rsidR="00007F23" w:rsidRPr="00F4050B">
        <w:t>between the two</w:t>
      </w:r>
      <w:r w:rsidR="00E96A6E" w:rsidRPr="00F4050B">
        <w:t xml:space="preserve"> </w:t>
      </w:r>
      <w:r w:rsidR="0090393B" w:rsidRPr="00F4050B">
        <w:t xml:space="preserve">top-level </w:t>
      </w:r>
      <w:r w:rsidR="00E96A6E" w:rsidRPr="00F4050B">
        <w:t xml:space="preserve">dispatch centres </w:t>
      </w:r>
      <w:r w:rsidR="00FF12D0" w:rsidRPr="00F4050B">
        <w:t xml:space="preserve">are </w:t>
      </w:r>
      <w:r w:rsidRPr="00F4050B">
        <w:t xml:space="preserve">operated at 75 per cent or less of </w:t>
      </w:r>
      <w:r w:rsidR="00FF12D0" w:rsidRPr="00F4050B">
        <w:t xml:space="preserve">their </w:t>
      </w:r>
      <w:r w:rsidRPr="00F4050B">
        <w:t xml:space="preserve">rated capacity during 90 per cent or more of the hours </w:t>
      </w:r>
      <w:r w:rsidR="00BB69C0" w:rsidRPr="00F4050B">
        <w:t xml:space="preserve">within </w:t>
      </w:r>
      <w:r w:rsidR="00D90A74" w:rsidRPr="00F4050B">
        <w:t>the assessment period</w:t>
      </w:r>
      <w:r w:rsidR="00FF12D0" w:rsidRPr="00F4050B">
        <w:t>. This shall be determined</w:t>
      </w:r>
      <w:r w:rsidR="00D90A74" w:rsidRPr="00F4050B">
        <w:t xml:space="preserve"> as follows</w:t>
      </w:r>
      <w:r w:rsidRPr="00F4050B">
        <w:t>:</w:t>
      </w:r>
    </w:p>
    <w:p w14:paraId="7D0A61C7" w14:textId="0DFA95B2" w:rsidR="004958C1" w:rsidRDefault="4C0AC80D">
      <w:pPr>
        <w:pStyle w:val="SDMSubPara2"/>
        <w:rPr>
          <w:rFonts w:eastAsia="Arial"/>
        </w:rPr>
      </w:pPr>
      <w:r>
        <w:t xml:space="preserve">Determine </w:t>
      </w:r>
      <w:r w:rsidR="48BD5B56">
        <w:t>the</w:t>
      </w:r>
      <w:r>
        <w:t xml:space="preserve"> maximum load capacity of the transmission line</w:t>
      </w:r>
      <w:r w:rsidR="00B65859">
        <w:t>(</w:t>
      </w:r>
      <w:r>
        <w:t>s</w:t>
      </w:r>
      <w:r w:rsidR="00B65859">
        <w:t>)</w:t>
      </w:r>
      <w:r>
        <w:t xml:space="preserve"> between the two </w:t>
      </w:r>
      <w:r w:rsidR="00037CE7">
        <w:t>top-level</w:t>
      </w:r>
      <w:r>
        <w:t xml:space="preserve"> dispatch centres based on official information (e.g.</w:t>
      </w:r>
      <w:r w:rsidR="2FD5B23D">
        <w:t>,</w:t>
      </w:r>
      <w:r>
        <w:t xml:space="preserve"> from the </w:t>
      </w:r>
      <w:r w:rsidR="006D7E73">
        <w:t xml:space="preserve">system </w:t>
      </w:r>
      <w:r w:rsidDel="006D7E73">
        <w:t>operator</w:t>
      </w:r>
      <w:r>
        <w:t>)</w:t>
      </w:r>
      <w:r w:rsidR="7B635050">
        <w:t>.</w:t>
      </w:r>
      <w:r w:rsidR="006D7E73">
        <w:rPr>
          <w:rFonts w:eastAsia="Arial"/>
        </w:rPr>
        <w:t xml:space="preserve"> Where </w:t>
      </w:r>
      <w:r w:rsidR="7B635050" w:rsidRPr="63D8F55B">
        <w:rPr>
          <w:rFonts w:eastAsia="Arial"/>
        </w:rPr>
        <w:t xml:space="preserve">more than one transmission line </w:t>
      </w:r>
      <w:r w:rsidR="006D7E73">
        <w:rPr>
          <w:rFonts w:eastAsia="Arial"/>
        </w:rPr>
        <w:t xml:space="preserve">operates </w:t>
      </w:r>
      <w:r w:rsidR="7B635050" w:rsidRPr="63D8F55B">
        <w:rPr>
          <w:rFonts w:eastAsia="Arial"/>
        </w:rPr>
        <w:t xml:space="preserve">between the two </w:t>
      </w:r>
      <w:r w:rsidR="00037CE7">
        <w:rPr>
          <w:rFonts w:eastAsia="Arial"/>
        </w:rPr>
        <w:t xml:space="preserve">top-level </w:t>
      </w:r>
      <w:r w:rsidR="7B635050" w:rsidRPr="63D8F55B">
        <w:rPr>
          <w:rFonts w:eastAsia="Arial"/>
        </w:rPr>
        <w:t>dispatch centres, the total load capacity of the transmission line</w:t>
      </w:r>
      <w:r w:rsidR="00362C03">
        <w:rPr>
          <w:rFonts w:eastAsia="Arial"/>
        </w:rPr>
        <w:t>(</w:t>
      </w:r>
      <w:r w:rsidR="7B635050" w:rsidRPr="63D8F55B">
        <w:rPr>
          <w:rFonts w:eastAsia="Arial"/>
        </w:rPr>
        <w:t>s</w:t>
      </w:r>
      <w:r w:rsidR="00362C03">
        <w:rPr>
          <w:rFonts w:eastAsia="Arial"/>
        </w:rPr>
        <w:t>)</w:t>
      </w:r>
      <w:r w:rsidR="7B635050" w:rsidRPr="63D8F55B">
        <w:rPr>
          <w:rFonts w:eastAsia="Arial"/>
        </w:rPr>
        <w:t xml:space="preserve"> shall apply</w:t>
      </w:r>
      <w:r w:rsidR="004958C1" w:rsidRPr="26337163" w:rsidDel="4C0AC80D">
        <w:rPr>
          <w:rFonts w:eastAsia="Arial"/>
        </w:rPr>
        <w:t>;</w:t>
      </w:r>
    </w:p>
    <w:p w14:paraId="1255F965" w14:textId="31168F48" w:rsidR="0063118F" w:rsidRDefault="474C7158">
      <w:pPr>
        <w:pStyle w:val="SDMSubPara2"/>
      </w:pPr>
      <w:r>
        <w:t>Determine the operated load of the transmission line</w:t>
      </w:r>
      <w:r w:rsidR="00362C03">
        <w:t>(</w:t>
      </w:r>
      <w:r>
        <w:t>s</w:t>
      </w:r>
      <w:r w:rsidR="00362C03">
        <w:t>)</w:t>
      </w:r>
      <w:r>
        <w:t xml:space="preserve"> between the two </w:t>
      </w:r>
      <w:r w:rsidR="00037CE7">
        <w:t xml:space="preserve">top-level </w:t>
      </w:r>
      <w:r>
        <w:t>dispatch centre</w:t>
      </w:r>
      <w:r w:rsidR="00486E92">
        <w:t>s</w:t>
      </w:r>
      <w:r>
        <w:t xml:space="preserve"> in each hour </w:t>
      </w:r>
      <w:r w:rsidDel="00522DA7">
        <w:t>and</w:t>
      </w:r>
      <w:r w:rsidR="6EE1AAE2" w:rsidDel="00522DA7">
        <w:t xml:space="preserve"> </w:t>
      </w:r>
      <w:r w:rsidR="00522DA7">
        <w:t>assess</w:t>
      </w:r>
      <w:r w:rsidR="6EE1AAE2" w:rsidDel="00486E92">
        <w:t xml:space="preserve"> </w:t>
      </w:r>
      <w:r w:rsidR="6EE1AAE2">
        <w:t xml:space="preserve">whether </w:t>
      </w:r>
      <w:r w:rsidR="6B2786D8">
        <w:t xml:space="preserve">they are </w:t>
      </w:r>
      <w:r w:rsidR="6EE1AAE2">
        <w:t>operated at 75</w:t>
      </w:r>
      <w:r w:rsidR="001A33C9">
        <w:t> </w:t>
      </w:r>
      <w:r w:rsidR="6EE1AAE2">
        <w:t xml:space="preserve">per cent or less of </w:t>
      </w:r>
      <w:r w:rsidR="70503278">
        <w:t xml:space="preserve">their </w:t>
      </w:r>
      <w:r w:rsidR="6EE1AAE2">
        <w:t>rated capacity</w:t>
      </w:r>
      <w:r w:rsidR="33582F51">
        <w:t xml:space="preserve"> during that hour</w:t>
      </w:r>
      <w:r w:rsidR="6EE1AAE2">
        <w:t>;</w:t>
      </w:r>
    </w:p>
    <w:p w14:paraId="074D52F7" w14:textId="39743A27" w:rsidR="0063118F" w:rsidRDefault="7565C776">
      <w:pPr>
        <w:pStyle w:val="SDMSubPara2"/>
      </w:pPr>
      <w:r>
        <w:t>Determine whether the cumulative number of hours in which the condition in subparagraph (ii) is met accounts for 90 per cent or more of the hours within the assessment period. If this condition is met, it shall be determined that no transmission constraints exist</w:t>
      </w:r>
      <w:r w:rsidR="0078007B">
        <w:t>;</w:t>
      </w:r>
      <w:r w:rsidR="00BC130E">
        <w:t xml:space="preserve"> </w:t>
      </w:r>
      <w:r w:rsidR="00E14F89">
        <w:t>otherwise,</w:t>
      </w:r>
      <w:r w:rsidR="00BC130E">
        <w:t xml:space="preserve"> a transmission constrain</w:t>
      </w:r>
      <w:r w:rsidR="00A54ED6">
        <w:rPr>
          <w:rFonts w:eastAsia="MS Mincho" w:hint="eastAsia"/>
          <w:lang w:eastAsia="ja-JP"/>
        </w:rPr>
        <w:t>t</w:t>
      </w:r>
      <w:r w:rsidR="00BC130E">
        <w:t xml:space="preserve"> is deemed to exist</w:t>
      </w:r>
      <w:r w:rsidR="001A33C9">
        <w:t>.</w:t>
      </w:r>
      <w:r w:rsidR="005637CA">
        <w:rPr>
          <w:rStyle w:val="FootnoteReference"/>
        </w:rPr>
        <w:footnoteReference w:id="9"/>
      </w:r>
      <w:r w:rsidR="008D6BDA">
        <w:t xml:space="preserve"> or</w:t>
      </w:r>
    </w:p>
    <w:p w14:paraId="3C7474D8" w14:textId="53DAA4E7" w:rsidR="00415668" w:rsidRPr="0084485C" w:rsidRDefault="00502D1B">
      <w:pPr>
        <w:pStyle w:val="SDMSubPara1"/>
      </w:pPr>
      <w:r w:rsidRPr="0084485C">
        <w:t xml:space="preserve">The transmission capacity of the transmission line(s) </w:t>
      </w:r>
      <w:r w:rsidR="00DB0D39" w:rsidRPr="0084485C">
        <w:t xml:space="preserve">between the two independent dispatch centres </w:t>
      </w:r>
      <w:r w:rsidR="00640F0A" w:rsidRPr="0084485C">
        <w:t>exceeds</w:t>
      </w:r>
      <w:r w:rsidRPr="0084485C">
        <w:t xml:space="preserve"> 10</w:t>
      </w:r>
      <w:r w:rsidR="001A33C9">
        <w:t> </w:t>
      </w:r>
      <w:r w:rsidRPr="0084485C">
        <w:t xml:space="preserve">per cent of the installed </w:t>
      </w:r>
      <w:r w:rsidR="00DB0D39" w:rsidRPr="0084485C">
        <w:t xml:space="preserve">power generation </w:t>
      </w:r>
      <w:r w:rsidRPr="0084485C">
        <w:t xml:space="preserve">capacity </w:t>
      </w:r>
      <w:r w:rsidR="00640F0A" w:rsidRPr="0084485C">
        <w:t xml:space="preserve">of the smaller of the two </w:t>
      </w:r>
      <w:r w:rsidR="00DB0D39" w:rsidRPr="0084485C">
        <w:t xml:space="preserve">independent dispatch </w:t>
      </w:r>
      <w:r w:rsidR="68D44D7E" w:rsidRPr="0084485C">
        <w:t>centres</w:t>
      </w:r>
      <w:r w:rsidRPr="0084485C">
        <w:t>.</w:t>
      </w:r>
    </w:p>
    <w:p w14:paraId="5AB35543" w14:textId="6C116781" w:rsidR="00502D1B" w:rsidRPr="0084485C" w:rsidRDefault="007F4DF1">
      <w:pPr>
        <w:pStyle w:val="SDMPara"/>
      </w:pPr>
      <w:r w:rsidRPr="0084485C">
        <w:t xml:space="preserve">In addition, in cases involving </w:t>
      </w:r>
      <w:r w:rsidR="00F236A4" w:rsidRPr="0084485C">
        <w:t xml:space="preserve">an </w:t>
      </w:r>
      <w:r w:rsidRPr="0084485C">
        <w:t>international interconnection (</w:t>
      </w:r>
      <w:r w:rsidR="001B62A6" w:rsidRPr="0084485C">
        <w:t>i.e.,</w:t>
      </w:r>
      <w:r w:rsidRPr="0084485C">
        <w:t xml:space="preserve"> transmission line</w:t>
      </w:r>
      <w:r w:rsidR="00FA6F1F" w:rsidRPr="0084485C">
        <w:t>s</w:t>
      </w:r>
      <w:r w:rsidRPr="0084485C">
        <w:t xml:space="preserve"> between different countries), it </w:t>
      </w:r>
      <w:r w:rsidR="00F236A4" w:rsidRPr="0084485C">
        <w:t xml:space="preserve">shall </w:t>
      </w:r>
      <w:r w:rsidRPr="0084485C">
        <w:t xml:space="preserve">be further </w:t>
      </w:r>
      <w:r w:rsidR="00FA6F1F" w:rsidRPr="0084485C">
        <w:t xml:space="preserve">confirmed </w:t>
      </w:r>
      <w:r w:rsidRPr="0084485C">
        <w:t xml:space="preserve">that no legal restrictions </w:t>
      </w:r>
      <w:r w:rsidR="009F2AAC" w:rsidRPr="0084485C">
        <w:t xml:space="preserve">on </w:t>
      </w:r>
      <w:r w:rsidRPr="0084485C">
        <w:t>international electricity exchange</w:t>
      </w:r>
      <w:r w:rsidR="00FA6F1F" w:rsidRPr="0084485C">
        <w:t xml:space="preserve"> </w:t>
      </w:r>
      <w:r w:rsidR="009F2AAC" w:rsidRPr="0084485C">
        <w:t xml:space="preserve">exist </w:t>
      </w:r>
      <w:r w:rsidR="003D0F63" w:rsidRPr="0084485C">
        <w:t xml:space="preserve">in order to </w:t>
      </w:r>
      <w:r w:rsidR="00FA6F1F" w:rsidRPr="0084485C">
        <w:t xml:space="preserve">determine that </w:t>
      </w:r>
      <w:r w:rsidR="00B453CD" w:rsidRPr="0084485C">
        <w:t>no transmission constraints</w:t>
      </w:r>
      <w:r w:rsidR="003D0F63" w:rsidRPr="0084485C">
        <w:t xml:space="preserve"> exist</w:t>
      </w:r>
      <w:r w:rsidRPr="0084485C">
        <w:t>.</w:t>
      </w:r>
    </w:p>
    <w:p w14:paraId="3304A8A1" w14:textId="2345C49E" w:rsidR="0003794A" w:rsidRPr="0084485C" w:rsidRDefault="0054684E">
      <w:pPr>
        <w:pStyle w:val="SDMPara"/>
      </w:pPr>
      <w:r w:rsidRPr="0084485C">
        <w:t>The assessment of whether transmission constraints exist shall be updated at the renewal of the crediting period.</w:t>
      </w:r>
    </w:p>
    <w:p w14:paraId="2CDAE087" w14:textId="2327C2AE" w:rsidR="00906E05" w:rsidRPr="0084485C" w:rsidRDefault="00906E05">
      <w:pPr>
        <w:pStyle w:val="SDMPara"/>
      </w:pPr>
      <w:bookmarkStart w:id="344" w:name="_Ref212208403"/>
      <w:r w:rsidRPr="0084485C">
        <w:t>For the purpose</w:t>
      </w:r>
      <w:r w:rsidR="000B660F" w:rsidRPr="0084485C">
        <w:t>s</w:t>
      </w:r>
      <w:r w:rsidRPr="0084485C">
        <w:t xml:space="preserve"> of this </w:t>
      </w:r>
      <w:r w:rsidR="007F6E68" w:rsidRPr="0084485C">
        <w:t xml:space="preserve">methodological </w:t>
      </w:r>
      <w:r w:rsidRPr="0084485C">
        <w:t xml:space="preserve">tool, the reference system is the project electricity system. </w:t>
      </w:r>
      <w:r w:rsidR="000B660F" w:rsidRPr="0084485C">
        <w:t>Accordingly</w:t>
      </w:r>
      <w:r w:rsidR="00C63782" w:rsidRPr="0084485C">
        <w:t xml:space="preserve">, </w:t>
      </w:r>
      <w:r w:rsidRPr="0084485C">
        <w:t>electricity transfers from connected electricity system</w:t>
      </w:r>
      <w:r w:rsidR="00C63782" w:rsidRPr="0084485C">
        <w:t>(</w:t>
      </w:r>
      <w:r w:rsidRPr="0084485C">
        <w:t>s</w:t>
      </w:r>
      <w:r w:rsidR="00C63782" w:rsidRPr="0084485C">
        <w:t>)</w:t>
      </w:r>
      <w:r w:rsidRPr="0084485C">
        <w:t xml:space="preserve"> to the project electricity system are defined as electricity imports</w:t>
      </w:r>
      <w:r w:rsidR="003B7419" w:rsidRPr="0084485C">
        <w:t>,</w:t>
      </w:r>
      <w:r w:rsidRPr="0084485C">
        <w:t xml:space="preserve"> while electricity transfers from the project electricity system to connected electricity system</w:t>
      </w:r>
      <w:r w:rsidR="003B7419" w:rsidRPr="0084485C">
        <w:t>(</w:t>
      </w:r>
      <w:r w:rsidRPr="0084485C">
        <w:t>s</w:t>
      </w:r>
      <w:r w:rsidR="003B7419" w:rsidRPr="0084485C">
        <w:t>)</w:t>
      </w:r>
      <w:r w:rsidRPr="0084485C">
        <w:t xml:space="preserve"> are defined as electricity exports.</w:t>
      </w:r>
      <w:bookmarkEnd w:id="344"/>
    </w:p>
    <w:p w14:paraId="63E4782D" w14:textId="59920B58" w:rsidR="000A27E6" w:rsidRPr="00FD0E09" w:rsidRDefault="000A27E6">
      <w:pPr>
        <w:pStyle w:val="SDMHead2"/>
        <w:rPr>
          <w:lang w:eastAsia="ja-JP"/>
        </w:rPr>
      </w:pPr>
      <w:bookmarkStart w:id="345" w:name="_Ref212234549"/>
      <w:bookmarkStart w:id="346" w:name="_Toc212389907"/>
      <w:bookmarkStart w:id="347" w:name="_Toc215208601"/>
      <w:bookmarkStart w:id="348" w:name="_Toc215216120"/>
      <w:bookmarkStart w:id="349" w:name="_Toc215222856"/>
      <w:bookmarkStart w:id="350" w:name="_Toc215223044"/>
      <w:bookmarkStart w:id="351" w:name="_Toc215223266"/>
      <w:bookmarkStart w:id="352" w:name="_Toc215574887"/>
      <w:bookmarkStart w:id="353" w:name="_Toc215923326"/>
      <w:bookmarkStart w:id="354" w:name="_Toc216093022"/>
      <w:bookmarkStart w:id="355" w:name="_Toc216271751"/>
      <w:bookmarkStart w:id="356" w:name="_Toc216279368"/>
      <w:bookmarkStart w:id="357" w:name="_Toc216283406"/>
      <w:bookmarkStart w:id="358" w:name="_Toc216288024"/>
      <w:bookmarkStart w:id="359" w:name="_Toc219666131"/>
      <w:bookmarkStart w:id="360" w:name="_Toc220001391"/>
      <w:bookmarkStart w:id="361" w:name="_Ref221036530"/>
      <w:bookmarkStart w:id="362" w:name="_Toc221096415"/>
      <w:bookmarkStart w:id="363" w:name="_Toc221097967"/>
      <w:bookmarkStart w:id="364" w:name="_Toc221116263"/>
      <w:bookmarkStart w:id="365" w:name="_Toc221117279"/>
      <w:bookmarkStart w:id="366" w:name="_Toc222132117"/>
      <w:bookmarkStart w:id="367" w:name="_Toc222494918"/>
      <w:bookmarkStart w:id="368" w:name="_Toc222512434"/>
      <w:bookmarkStart w:id="369" w:name="_Toc222741754"/>
      <w:bookmarkStart w:id="370" w:name="_Ref212234537"/>
      <w:bookmarkStart w:id="371" w:name="_Toc212389906"/>
      <w:r w:rsidRPr="00FD0E09">
        <w:rPr>
          <w:lang w:eastAsia="ja-JP"/>
        </w:rPr>
        <w:t>Step</w:t>
      </w:r>
      <w:r w:rsidR="00126F8A">
        <w:rPr>
          <w:lang w:eastAsia="ja-JP"/>
        </w:rPr>
        <w:t> </w:t>
      </w:r>
      <w:r w:rsidRPr="00FD0E09">
        <w:rPr>
          <w:lang w:eastAsia="ja-JP"/>
        </w:rPr>
        <w:t xml:space="preserve">4: Determine </w:t>
      </w:r>
      <w:r w:rsidR="00767E80" w:rsidRPr="00767E80">
        <w:rPr>
          <w:lang w:eastAsia="ja-JP"/>
        </w:rPr>
        <w:t>whether a</w:t>
      </w:r>
      <w:r w:rsidR="00842A2A">
        <w:rPr>
          <w:lang w:eastAsia="ja-JP"/>
        </w:rPr>
        <w:t>pplying a</w:t>
      </w:r>
      <w:r w:rsidR="00767E80" w:rsidRPr="00767E80">
        <w:rPr>
          <w:lang w:eastAsia="ja-JP"/>
        </w:rPr>
        <w:t xml:space="preserve"> higher or </w:t>
      </w:r>
      <w:r w:rsidR="00AF03E2">
        <w:rPr>
          <w:lang w:eastAsia="ja-JP"/>
        </w:rPr>
        <w:t xml:space="preserve">a </w:t>
      </w:r>
      <w:r w:rsidR="00767E80" w:rsidRPr="00767E80">
        <w:rPr>
          <w:lang w:eastAsia="ja-JP"/>
        </w:rPr>
        <w:t xml:space="preserve">lower value </w:t>
      </w:r>
      <w:r w:rsidR="00FA7162" w:rsidRPr="00FD0E09">
        <w:rPr>
          <w:lang w:eastAsia="ja-JP"/>
        </w:rPr>
        <w:t>for emissions from electricity generation</w:t>
      </w:r>
      <w:r w:rsidR="00195D62">
        <w:rPr>
          <w:lang w:eastAsia="ja-JP"/>
        </w:rPr>
        <w:t xml:space="preserve"> </w:t>
      </w:r>
      <w:r w:rsidR="00B74AF5">
        <w:rPr>
          <w:lang w:eastAsia="ja-JP"/>
        </w:rPr>
        <w:t>and/</w:t>
      </w:r>
      <w:r w:rsidR="00195D62">
        <w:rPr>
          <w:lang w:eastAsia="ja-JP"/>
        </w:rPr>
        <w:t xml:space="preserve">or </w:t>
      </w:r>
      <w:r w:rsidR="00FA7162" w:rsidRPr="00FD0E09">
        <w:rPr>
          <w:lang w:eastAsia="ja-JP"/>
        </w:rPr>
        <w:t>consumption</w:t>
      </w:r>
      <w:bookmarkEnd w:id="345"/>
      <w:bookmarkEnd w:id="346"/>
      <w:r w:rsidR="00652202">
        <w:rPr>
          <w:lang w:eastAsia="ja-JP"/>
        </w:rPr>
        <w:t xml:space="preserve"> is more conservative</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4EE34E15" w14:textId="5E7D56D6" w:rsidR="000A27E6" w:rsidRDefault="00516445" w:rsidP="00C72647">
      <w:pPr>
        <w:pStyle w:val="SDMPara"/>
        <w:keepNext/>
      </w:pPr>
      <w:r>
        <w:t xml:space="preserve">This step serves to </w:t>
      </w:r>
      <w:r w:rsidR="00772A86">
        <w:t>determine whether applying a higher or a lower value for emission</w:t>
      </w:r>
      <w:r w:rsidR="008A6940">
        <w:t xml:space="preserve">s from electricity generation </w:t>
      </w:r>
      <w:r w:rsidR="00D95A80">
        <w:t>and/</w:t>
      </w:r>
      <w:r w:rsidR="008A6940">
        <w:t>or consumption</w:t>
      </w:r>
      <w:r w:rsidR="00772A86">
        <w:t xml:space="preserve"> represents the more conservative approach.</w:t>
      </w:r>
      <w:r w:rsidR="00772A86" w:rsidDel="00097DDF">
        <w:t xml:space="preserve"> </w:t>
      </w:r>
      <w:r w:rsidR="00097DDF">
        <w:t>For this purpose</w:t>
      </w:r>
      <w:r w:rsidR="000A27E6">
        <w:t xml:space="preserve">, this </w:t>
      </w:r>
      <w:r w:rsidR="00D262A7">
        <w:t xml:space="preserve">methodological </w:t>
      </w:r>
      <w:r w:rsidR="000A27E6">
        <w:t>tool defines two cases:</w:t>
      </w:r>
    </w:p>
    <w:p w14:paraId="01375F83" w14:textId="02CC97F0" w:rsidR="000A27E6" w:rsidRPr="004D0CBF" w:rsidRDefault="746C1C8A">
      <w:pPr>
        <w:pStyle w:val="SDMSubPara1"/>
        <w:rPr>
          <w:rFonts w:eastAsia="Arial"/>
        </w:rPr>
      </w:pPr>
      <w:r w:rsidRPr="5E55EE9A">
        <w:rPr>
          <w:b/>
          <w:bCs/>
        </w:rPr>
        <w:t>Case</w:t>
      </w:r>
      <w:r w:rsidR="00882BB1">
        <w:rPr>
          <w:b/>
          <w:bCs/>
        </w:rPr>
        <w:t> </w:t>
      </w:r>
      <w:r w:rsidRPr="5E55EE9A">
        <w:rPr>
          <w:b/>
          <w:bCs/>
        </w:rPr>
        <w:t>1:</w:t>
      </w:r>
      <w:r>
        <w:t xml:space="preserve"> </w:t>
      </w:r>
      <w:r w:rsidR="00C5703A">
        <w:t>s</w:t>
      </w:r>
      <w:r w:rsidR="00D262A7">
        <w:t xml:space="preserve">ituations </w:t>
      </w:r>
      <w:r>
        <w:t>in which</w:t>
      </w:r>
      <w:r w:rsidR="6C9FA1E4">
        <w:t xml:space="preserve"> </w:t>
      </w:r>
      <w:r>
        <w:t xml:space="preserve">a higher value for </w:t>
      </w:r>
      <w:r w:rsidDel="000A27E6">
        <w:t>emissions</w:t>
      </w:r>
      <w:r w:rsidR="00195D62">
        <w:t xml:space="preserve"> from electricity generation </w:t>
      </w:r>
      <w:r w:rsidR="00D95A80">
        <w:t>and/</w:t>
      </w:r>
      <w:r w:rsidR="00195D62">
        <w:t xml:space="preserve">or </w:t>
      </w:r>
      <w:r w:rsidR="00195D62" w:rsidRPr="004D0CBF">
        <w:t>consumption</w:t>
      </w:r>
      <w:r w:rsidRPr="004D0CBF" w:rsidDel="000A27E6">
        <w:t xml:space="preserve"> </w:t>
      </w:r>
      <w:r w:rsidR="0D298217" w:rsidRPr="004D0CBF">
        <w:t>is</w:t>
      </w:r>
      <w:r w:rsidRPr="004D0CBF">
        <w:t xml:space="preserve"> more conservative. </w:t>
      </w:r>
      <w:r w:rsidR="76928B03" w:rsidRPr="004D0CBF">
        <w:rPr>
          <w:rFonts w:eastAsia="Arial"/>
        </w:rPr>
        <w:t xml:space="preserve">This case applies to </w:t>
      </w:r>
      <w:r w:rsidR="00860B0E">
        <w:rPr>
          <w:rFonts w:eastAsia="Arial"/>
        </w:rPr>
        <w:t>the determination of</w:t>
      </w:r>
      <w:r w:rsidR="00860B0E" w:rsidRPr="004D0CBF">
        <w:rPr>
          <w:rFonts w:eastAsia="Arial"/>
        </w:rPr>
        <w:t xml:space="preserve"> </w:t>
      </w:r>
      <w:r w:rsidR="00382330" w:rsidRPr="004D0CBF">
        <w:rPr>
          <w:rFonts w:eastAsia="Arial"/>
        </w:rPr>
        <w:t>the parameters</w:t>
      </w:r>
      <w:r w:rsidR="76928B03" w:rsidRPr="004D0CBF">
        <w:rPr>
          <w:rFonts w:eastAsia="Arial"/>
        </w:rPr>
        <w:t xml:space="preserve"> </w:t>
      </w:r>
      <w:r w:rsidR="2F625B7B" w:rsidRPr="00411637">
        <w:rPr>
          <w:rFonts w:eastAsia="Arial"/>
          <w:i/>
          <w:iCs/>
        </w:rPr>
        <w:t>PE</w:t>
      </w:r>
      <w:r w:rsidR="2F625B7B" w:rsidRPr="00411637">
        <w:rPr>
          <w:rFonts w:eastAsia="Arial"/>
          <w:i/>
          <w:iCs/>
          <w:vertAlign w:val="subscript"/>
        </w:rPr>
        <w:t>EG,y</w:t>
      </w:r>
      <w:r w:rsidR="00382330" w:rsidRPr="000923F6">
        <w:rPr>
          <w:rFonts w:eastAsia="SimSun"/>
        </w:rPr>
        <w:t>,</w:t>
      </w:r>
      <w:r w:rsidR="004D0CBF">
        <w:rPr>
          <w:rFonts w:eastAsia="SimSun"/>
        </w:rPr>
        <w:t xml:space="preserve"> </w:t>
      </w:r>
      <w:r w:rsidR="2F625B7B" w:rsidRPr="00411637">
        <w:rPr>
          <w:rFonts w:eastAsia="Arial"/>
          <w:i/>
          <w:iCs/>
        </w:rPr>
        <w:t>PE</w:t>
      </w:r>
      <w:r w:rsidR="2F625B7B" w:rsidRPr="00411637">
        <w:rPr>
          <w:rFonts w:eastAsia="Arial"/>
          <w:i/>
          <w:iCs/>
          <w:vertAlign w:val="subscript"/>
        </w:rPr>
        <w:t>EC,y</w:t>
      </w:r>
      <w:r w:rsidR="004D0CBF" w:rsidRPr="004D0CBF">
        <w:rPr>
          <w:rFonts w:eastAsia="Arial"/>
        </w:rPr>
        <w:t xml:space="preserve">, </w:t>
      </w:r>
      <w:r w:rsidR="2F625B7B" w:rsidRPr="00411637">
        <w:rPr>
          <w:rFonts w:eastAsia="Arial"/>
          <w:i/>
          <w:iCs/>
        </w:rPr>
        <w:t>LE</w:t>
      </w:r>
      <w:r w:rsidR="2F625B7B" w:rsidRPr="00411637">
        <w:rPr>
          <w:rFonts w:eastAsia="Arial"/>
          <w:i/>
          <w:iCs/>
          <w:vertAlign w:val="subscript"/>
        </w:rPr>
        <w:t>EG,PJ,y</w:t>
      </w:r>
      <w:r w:rsidR="2F625B7B" w:rsidRPr="004D0CBF">
        <w:rPr>
          <w:rFonts w:eastAsia="Arial"/>
        </w:rPr>
        <w:t xml:space="preserve"> and </w:t>
      </w:r>
      <w:r w:rsidR="2F625B7B" w:rsidRPr="00411637">
        <w:rPr>
          <w:rFonts w:eastAsia="Arial"/>
          <w:i/>
          <w:iCs/>
        </w:rPr>
        <w:t>LE</w:t>
      </w:r>
      <w:r w:rsidR="2F625B7B" w:rsidRPr="00411637">
        <w:rPr>
          <w:rFonts w:eastAsia="Arial"/>
          <w:i/>
          <w:iCs/>
          <w:vertAlign w:val="subscript"/>
        </w:rPr>
        <w:t>EC,PJ,y</w:t>
      </w:r>
      <w:r w:rsidR="76928B03" w:rsidRPr="004D0CBF">
        <w:rPr>
          <w:rFonts w:eastAsia="Arial"/>
        </w:rPr>
        <w:t xml:space="preserve"> in </w:t>
      </w:r>
      <w:r w:rsidR="00666638">
        <w:rPr>
          <w:rFonts w:eastAsia="Arial"/>
        </w:rPr>
        <w:fldChar w:fldCharType="begin"/>
      </w:r>
      <w:r w:rsidR="00666638">
        <w:rPr>
          <w:rFonts w:eastAsia="Arial"/>
        </w:rPr>
        <w:instrText xml:space="preserve"> REF _Ref220950163 \h </w:instrText>
      </w:r>
      <w:r w:rsidR="00666638">
        <w:rPr>
          <w:rFonts w:eastAsia="Arial"/>
        </w:rPr>
      </w:r>
      <w:r w:rsidR="00666638">
        <w:rPr>
          <w:rFonts w:eastAsia="Arial"/>
        </w:rPr>
        <w:fldChar w:fldCharType="separate"/>
      </w:r>
      <w:r w:rsidR="00D811A8">
        <w:t>Table </w:t>
      </w:r>
      <w:r w:rsidR="00D811A8">
        <w:rPr>
          <w:noProof/>
        </w:rPr>
        <w:t>1</w:t>
      </w:r>
      <w:r w:rsidR="00666638">
        <w:rPr>
          <w:rFonts w:eastAsia="Arial"/>
        </w:rPr>
        <w:fldChar w:fldCharType="end"/>
      </w:r>
      <w:r w:rsidR="00BB25AA">
        <w:rPr>
          <w:rFonts w:eastAsia="Arial"/>
        </w:rPr>
        <w:t xml:space="preserve"> </w:t>
      </w:r>
      <w:r w:rsidR="00E46B7C">
        <w:rPr>
          <w:rFonts w:eastAsia="Arial"/>
        </w:rPr>
        <w:t>above;</w:t>
      </w:r>
      <w:r w:rsidR="00BB25AA">
        <w:rPr>
          <w:rFonts w:eastAsia="Arial"/>
        </w:rPr>
        <w:t xml:space="preserve"> </w:t>
      </w:r>
      <w:r w:rsidR="00D17505">
        <w:rPr>
          <w:rFonts w:eastAsia="Arial"/>
        </w:rPr>
        <w:t>and</w:t>
      </w:r>
    </w:p>
    <w:p w14:paraId="4457DCF0" w14:textId="5C36201E" w:rsidR="6C9FA1E4" w:rsidRPr="007D2195" w:rsidRDefault="746C1C8A">
      <w:pPr>
        <w:pStyle w:val="SDMSubPara1"/>
      </w:pPr>
      <w:r w:rsidRPr="5E55EE9A">
        <w:rPr>
          <w:b/>
          <w:bCs/>
        </w:rPr>
        <w:t>Case</w:t>
      </w:r>
      <w:r w:rsidR="00882BB1">
        <w:rPr>
          <w:b/>
          <w:bCs/>
        </w:rPr>
        <w:t> </w:t>
      </w:r>
      <w:r w:rsidRPr="5E55EE9A">
        <w:rPr>
          <w:b/>
          <w:bCs/>
        </w:rPr>
        <w:t>2:</w:t>
      </w:r>
      <w:r>
        <w:t xml:space="preserve"> </w:t>
      </w:r>
      <w:r w:rsidR="00C5703A">
        <w:t>s</w:t>
      </w:r>
      <w:r w:rsidR="006E4A10">
        <w:t xml:space="preserve">ituations </w:t>
      </w:r>
      <w:r w:rsidR="6F16F690">
        <w:t>in which</w:t>
      </w:r>
      <w:r>
        <w:t xml:space="preserve"> a lower value for emissions </w:t>
      </w:r>
      <w:r w:rsidR="7AEBBEB4">
        <w:t>from electricity generation or consumption</w:t>
      </w:r>
      <w:r>
        <w:t xml:space="preserve"> is more conservative. </w:t>
      </w:r>
      <w:r w:rsidR="4EB672EF" w:rsidRPr="5E55EE9A">
        <w:rPr>
          <w:rFonts w:eastAsia="Arial"/>
        </w:rPr>
        <w:t xml:space="preserve">This case applies to </w:t>
      </w:r>
      <w:r w:rsidR="00F92008">
        <w:rPr>
          <w:rFonts w:eastAsia="Arial"/>
        </w:rPr>
        <w:t xml:space="preserve">the determination of </w:t>
      </w:r>
      <w:r w:rsidR="00FD2A91">
        <w:rPr>
          <w:rFonts w:eastAsia="Arial"/>
        </w:rPr>
        <w:t>the parameters</w:t>
      </w:r>
      <w:r w:rsidR="4EB672EF" w:rsidRPr="004D0CBF">
        <w:rPr>
          <w:rFonts w:eastAsia="Arial"/>
        </w:rPr>
        <w:t xml:space="preserve"> </w:t>
      </w:r>
      <w:r w:rsidR="58BA5C0A" w:rsidRPr="00411637">
        <w:rPr>
          <w:rFonts w:eastAsia="Arial"/>
          <w:i/>
          <w:iCs/>
        </w:rPr>
        <w:t>BE</w:t>
      </w:r>
      <w:r w:rsidR="58BA5C0A" w:rsidRPr="00411637">
        <w:rPr>
          <w:rFonts w:eastAsia="Arial"/>
          <w:i/>
          <w:iCs/>
          <w:vertAlign w:val="subscript"/>
        </w:rPr>
        <w:t>EG,y</w:t>
      </w:r>
      <w:r w:rsidR="00B84A58" w:rsidRPr="00411637">
        <w:rPr>
          <w:rFonts w:eastAsia="SimSun"/>
        </w:rPr>
        <w:t>,</w:t>
      </w:r>
      <w:r w:rsidR="00B84A58" w:rsidRPr="00411637">
        <w:rPr>
          <w:rFonts w:eastAsia="SimSun"/>
          <w:i/>
          <w:iCs/>
        </w:rPr>
        <w:t xml:space="preserve"> </w:t>
      </w:r>
      <w:r w:rsidR="58BA5C0A" w:rsidRPr="00411637">
        <w:rPr>
          <w:rFonts w:eastAsia="Arial"/>
          <w:i/>
          <w:iCs/>
        </w:rPr>
        <w:t>BE</w:t>
      </w:r>
      <w:r w:rsidR="58BA5C0A" w:rsidRPr="00411637">
        <w:rPr>
          <w:rFonts w:eastAsia="Arial"/>
          <w:i/>
          <w:iCs/>
          <w:vertAlign w:val="subscript"/>
        </w:rPr>
        <w:t>EC,y</w:t>
      </w:r>
      <w:r w:rsidR="00B84A58" w:rsidRPr="00411637">
        <w:rPr>
          <w:rFonts w:eastAsia="SimSun"/>
        </w:rPr>
        <w:t>,</w:t>
      </w:r>
      <w:r w:rsidR="00B84A58" w:rsidRPr="00411637">
        <w:rPr>
          <w:rFonts w:eastAsia="SimSun"/>
          <w:i/>
          <w:iCs/>
        </w:rPr>
        <w:t xml:space="preserve"> </w:t>
      </w:r>
      <w:r w:rsidR="58BA5C0A" w:rsidRPr="00411637">
        <w:rPr>
          <w:rFonts w:eastAsia="Arial"/>
          <w:i/>
          <w:iCs/>
        </w:rPr>
        <w:t>LE</w:t>
      </w:r>
      <w:r w:rsidR="58BA5C0A" w:rsidRPr="00411637">
        <w:rPr>
          <w:rFonts w:eastAsia="Arial"/>
          <w:i/>
          <w:iCs/>
          <w:vertAlign w:val="subscript"/>
        </w:rPr>
        <w:t>EG,BL,y</w:t>
      </w:r>
      <w:r w:rsidR="58BA5C0A" w:rsidRPr="00411637">
        <w:rPr>
          <w:rFonts w:eastAsia="Arial"/>
        </w:rPr>
        <w:t xml:space="preserve"> and </w:t>
      </w:r>
      <w:r w:rsidR="58BA5C0A" w:rsidRPr="00411637">
        <w:rPr>
          <w:rFonts w:eastAsia="Arial"/>
          <w:i/>
          <w:iCs/>
        </w:rPr>
        <w:t>LE</w:t>
      </w:r>
      <w:r w:rsidR="58BA5C0A" w:rsidRPr="00411637">
        <w:rPr>
          <w:rFonts w:eastAsia="Arial"/>
          <w:i/>
          <w:iCs/>
          <w:vertAlign w:val="subscript"/>
        </w:rPr>
        <w:t>EC,BL,y</w:t>
      </w:r>
      <w:r w:rsidR="4EB672EF" w:rsidRPr="004D0CBF">
        <w:rPr>
          <w:rFonts w:eastAsia="Arial"/>
        </w:rPr>
        <w:t xml:space="preserve"> in</w:t>
      </w:r>
      <w:r w:rsidR="00C239FE">
        <w:rPr>
          <w:rFonts w:eastAsia="Arial"/>
        </w:rPr>
        <w:t xml:space="preserve"> </w:t>
      </w:r>
      <w:r w:rsidR="00666638">
        <w:rPr>
          <w:rFonts w:eastAsia="Arial"/>
        </w:rPr>
        <w:fldChar w:fldCharType="begin"/>
      </w:r>
      <w:r w:rsidR="00666638">
        <w:rPr>
          <w:rFonts w:eastAsia="Arial"/>
        </w:rPr>
        <w:instrText xml:space="preserve"> REF _Ref220950163 \h </w:instrText>
      </w:r>
      <w:r w:rsidR="00666638">
        <w:rPr>
          <w:rFonts w:eastAsia="Arial"/>
        </w:rPr>
      </w:r>
      <w:r w:rsidR="00666638">
        <w:rPr>
          <w:rFonts w:eastAsia="Arial"/>
        </w:rPr>
        <w:fldChar w:fldCharType="separate"/>
      </w:r>
      <w:r w:rsidR="00D811A8">
        <w:t>Table </w:t>
      </w:r>
      <w:r w:rsidR="00D811A8">
        <w:rPr>
          <w:noProof/>
        </w:rPr>
        <w:t>1</w:t>
      </w:r>
      <w:r w:rsidR="00666638">
        <w:rPr>
          <w:rFonts w:eastAsia="Arial"/>
        </w:rPr>
        <w:fldChar w:fldCharType="end"/>
      </w:r>
      <w:r w:rsidR="00E46B7C">
        <w:rPr>
          <w:rFonts w:eastAsia="Arial"/>
        </w:rPr>
        <w:t xml:space="preserve"> above</w:t>
      </w:r>
      <w:r w:rsidR="001E2C1D">
        <w:rPr>
          <w:rFonts w:eastAsia="Arial"/>
        </w:rPr>
        <w:t>.</w:t>
      </w:r>
      <w:r w:rsidR="00016268" w:rsidDel="00F92008">
        <w:rPr>
          <w:rFonts w:eastAsia="Arial"/>
        </w:rPr>
        <w:fldChar w:fldCharType="begin"/>
      </w:r>
      <w:r w:rsidR="00000000">
        <w:rPr>
          <w:rFonts w:eastAsia="Arial"/>
        </w:rPr>
        <w:fldChar w:fldCharType="separate"/>
      </w:r>
      <w:r w:rsidR="00016268" w:rsidDel="00F92008">
        <w:rPr>
          <w:rFonts w:eastAsia="Arial"/>
        </w:rPr>
        <w:fldChar w:fldCharType="end"/>
      </w:r>
    </w:p>
    <w:p w14:paraId="578228BA" w14:textId="59B41E91" w:rsidR="00416EF6" w:rsidRDefault="00AD3FBB">
      <w:pPr>
        <w:pStyle w:val="SDMPara"/>
      </w:pPr>
      <w:r>
        <w:t>Activity</w:t>
      </w:r>
      <w:r w:rsidR="009D6775">
        <w:t xml:space="preserve"> participants</w:t>
      </w:r>
      <w:r>
        <w:t xml:space="preserve"> shall determine</w:t>
      </w:r>
      <w:r w:rsidR="006068DC">
        <w:t xml:space="preserve"> </w:t>
      </w:r>
      <w:r w:rsidR="00516445">
        <w:t>and justify</w:t>
      </w:r>
      <w:r w:rsidR="006105C4">
        <w:t>,</w:t>
      </w:r>
      <w:r w:rsidR="00516445">
        <w:t xml:space="preserve"> </w:t>
      </w:r>
      <w:r w:rsidR="00BA1D7D">
        <w:t xml:space="preserve">for </w:t>
      </w:r>
      <w:r w:rsidR="002B59A9">
        <w:t xml:space="preserve">each electricity generation or consumption </w:t>
      </w:r>
      <w:r w:rsidR="00563551">
        <w:t>source </w:t>
      </w:r>
      <w:r w:rsidR="00563551" w:rsidRPr="00563551">
        <w:rPr>
          <w:i/>
          <w:iCs/>
        </w:rPr>
        <w:t>s</w:t>
      </w:r>
      <w:r w:rsidR="006105C4">
        <w:t>,</w:t>
      </w:r>
      <w:r w:rsidR="009D33CC">
        <w:t xml:space="preserve"> whether </w:t>
      </w:r>
      <w:r w:rsidR="00214E2C" w:rsidRPr="005B68AB">
        <w:rPr>
          <w:b/>
          <w:bCs/>
        </w:rPr>
        <w:t>case</w:t>
      </w:r>
      <w:r w:rsidR="00882BB1">
        <w:rPr>
          <w:b/>
          <w:bCs/>
        </w:rPr>
        <w:t> </w:t>
      </w:r>
      <w:r w:rsidR="00D70CD3" w:rsidRPr="005B68AB">
        <w:rPr>
          <w:b/>
          <w:bCs/>
        </w:rPr>
        <w:t>1</w:t>
      </w:r>
      <w:r w:rsidR="00D70CD3">
        <w:t xml:space="preserve"> </w:t>
      </w:r>
      <w:r w:rsidR="009D33CC">
        <w:t>or</w:t>
      </w:r>
      <w:r w:rsidR="009D33CC" w:rsidDel="00214E2C">
        <w:t xml:space="preserve"> </w:t>
      </w:r>
      <w:r w:rsidR="00214E2C" w:rsidRPr="005B68AB">
        <w:rPr>
          <w:b/>
          <w:bCs/>
        </w:rPr>
        <w:t>case</w:t>
      </w:r>
      <w:r w:rsidR="00882BB1">
        <w:rPr>
          <w:b/>
          <w:bCs/>
        </w:rPr>
        <w:t> </w:t>
      </w:r>
      <w:r w:rsidR="009D33CC" w:rsidRPr="005B68AB">
        <w:rPr>
          <w:b/>
          <w:bCs/>
        </w:rPr>
        <w:t>2</w:t>
      </w:r>
      <w:r w:rsidR="009D33CC">
        <w:t xml:space="preserve"> applies.</w:t>
      </w:r>
      <w:r w:rsidR="00A34250">
        <w:t xml:space="preserve"> This determination shall be based on the specific circumstances of the Article 6.4 activity and its corresponding baseline</w:t>
      </w:r>
      <w:r w:rsidR="009C13B1">
        <w:t>.</w:t>
      </w:r>
      <w:r w:rsidR="00262507">
        <w:t xml:space="preserve"> </w:t>
      </w:r>
      <w:r w:rsidR="00666638">
        <w:fldChar w:fldCharType="begin"/>
      </w:r>
      <w:r w:rsidR="00666638">
        <w:instrText xml:space="preserve"> REF _Ref220950101 \h </w:instrText>
      </w:r>
      <w:r w:rsidR="00666638">
        <w:fldChar w:fldCharType="separate"/>
      </w:r>
      <w:r w:rsidR="00D811A8">
        <w:t>Table </w:t>
      </w:r>
      <w:r w:rsidR="00D811A8">
        <w:rPr>
          <w:noProof/>
        </w:rPr>
        <w:t>2</w:t>
      </w:r>
      <w:r w:rsidR="00666638">
        <w:fldChar w:fldCharType="end"/>
      </w:r>
      <w:r w:rsidR="001F58C4">
        <w:t xml:space="preserve"> </w:t>
      </w:r>
      <w:r w:rsidR="00262507">
        <w:t xml:space="preserve">provides </w:t>
      </w:r>
      <w:r w:rsidR="001A44C6">
        <w:t xml:space="preserve">examples for </w:t>
      </w:r>
      <w:r w:rsidR="006D319D">
        <w:t>instances where case 1 and case 2 applies</w:t>
      </w:r>
      <w:r w:rsidR="00967BD3">
        <w:t xml:space="preserve">, including </w:t>
      </w:r>
      <w:r w:rsidR="004C5AA8">
        <w:t xml:space="preserve">for </w:t>
      </w:r>
      <w:r w:rsidR="004C5AA8" w:rsidRPr="007B429B">
        <w:t xml:space="preserve">intermittent and non-intermittent electricity generation sources and </w:t>
      </w:r>
      <w:r w:rsidR="004C5AA8">
        <w:t xml:space="preserve">for </w:t>
      </w:r>
      <w:r w:rsidR="004C5AA8" w:rsidRPr="007B429B">
        <w:t xml:space="preserve">electricity consumption sources depending </w:t>
      </w:r>
      <w:r w:rsidR="004C5AA8">
        <w:t xml:space="preserve">on, </w:t>
      </w:r>
      <w:r w:rsidR="004C5AA8" w:rsidRPr="007B429B">
        <w:t>or not depending on</w:t>
      </w:r>
      <w:r w:rsidR="004C5AA8">
        <w:t>,</w:t>
      </w:r>
      <w:r w:rsidR="004C5AA8" w:rsidRPr="007B429B">
        <w:t xml:space="preserve"> intermittent generation</w:t>
      </w:r>
      <w:r w:rsidR="00200676">
        <w:t>, noting tha</w:t>
      </w:r>
      <w:r w:rsidR="00416EF6">
        <w:t xml:space="preserve">t </w:t>
      </w:r>
      <w:r w:rsidR="00254334">
        <w:t>some instances may apply in very specific circumstances</w:t>
      </w:r>
      <w:r w:rsidR="00DB4FCC">
        <w:t xml:space="preserve"> only</w:t>
      </w:r>
      <w:r w:rsidR="00416EF6">
        <w:t>.</w:t>
      </w:r>
    </w:p>
    <w:p w14:paraId="71588D5E" w14:textId="658E6CBF" w:rsidR="001C0963" w:rsidRPr="00DC5FFB" w:rsidRDefault="00D80D35" w:rsidP="001A33C9">
      <w:pPr>
        <w:pStyle w:val="Caption"/>
        <w:keepLines w:val="0"/>
      </w:pPr>
      <w:bookmarkStart w:id="372" w:name="_Ref220950101"/>
      <w:r>
        <w:t>Table</w:t>
      </w:r>
      <w:r w:rsidR="005A04B7">
        <w:t> </w:t>
      </w:r>
      <w:r>
        <w:fldChar w:fldCharType="begin"/>
      </w:r>
      <w:r>
        <w:instrText>SEQ Table \* ARABIC</w:instrText>
      </w:r>
      <w:r>
        <w:fldChar w:fldCharType="separate"/>
      </w:r>
      <w:r w:rsidR="00D811A8">
        <w:rPr>
          <w:noProof/>
        </w:rPr>
        <w:t>2</w:t>
      </w:r>
      <w:r>
        <w:fldChar w:fldCharType="end"/>
      </w:r>
      <w:bookmarkEnd w:id="372"/>
      <w:r w:rsidR="001C0963" w:rsidRPr="00DC5FFB">
        <w:t>.</w:t>
      </w:r>
      <w:r w:rsidR="001C0963" w:rsidRPr="00DC5FFB">
        <w:tab/>
      </w:r>
      <w:r w:rsidR="00BE3EC5">
        <w:t>Example</w:t>
      </w:r>
      <w:r w:rsidR="001C1FCF">
        <w:t>s</w:t>
      </w:r>
      <w:r w:rsidR="00E34B20">
        <w:t xml:space="preserve"> of activities</w:t>
      </w:r>
      <w:r w:rsidR="001C0963">
        <w:t xml:space="preserve"> </w:t>
      </w:r>
      <w:r w:rsidR="00BE3EC5">
        <w:t xml:space="preserve">where case 1 </w:t>
      </w:r>
      <w:r w:rsidR="00AA2F51">
        <w:t>or</w:t>
      </w:r>
      <w:r w:rsidR="00BE3EC5">
        <w:t xml:space="preserve"> case 2 applies</w:t>
      </w:r>
    </w:p>
    <w:tbl>
      <w:tblPr>
        <w:tblStyle w:val="SDMTable"/>
        <w:tblW w:w="8618" w:type="dxa"/>
        <w:jc w:val="right"/>
        <w:tblInd w:w="0" w:type="dxa"/>
        <w:tblLayout w:type="fixed"/>
        <w:tblLook w:val="04A0" w:firstRow="1" w:lastRow="0" w:firstColumn="1" w:lastColumn="0" w:noHBand="0" w:noVBand="1"/>
      </w:tblPr>
      <w:tblGrid>
        <w:gridCol w:w="1744"/>
        <w:gridCol w:w="3437"/>
        <w:gridCol w:w="3437"/>
      </w:tblGrid>
      <w:tr w:rsidR="001C0963" w:rsidRPr="00911F51" w14:paraId="738866D8" w14:textId="77777777" w:rsidTr="004B23A5">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725" w:type="dxa"/>
          </w:tcPr>
          <w:p w14:paraId="0B6B1A3D" w14:textId="77777777" w:rsidR="001C0963" w:rsidRPr="00DC5FFB" w:rsidRDefault="001C0963" w:rsidP="00882BB1">
            <w:pPr>
              <w:pStyle w:val="SDMTableBoxParaNumbered"/>
              <w:numPr>
                <w:ilvl w:val="0"/>
                <w:numId w:val="0"/>
              </w:numPr>
              <w:rPr>
                <w:b w:val="0"/>
                <w:bCs/>
              </w:rPr>
            </w:pPr>
          </w:p>
        </w:tc>
        <w:tc>
          <w:tcPr>
            <w:tcW w:w="3402" w:type="dxa"/>
          </w:tcPr>
          <w:p w14:paraId="26DA575A" w14:textId="4270057F" w:rsidR="001C0963" w:rsidRPr="000F555E" w:rsidRDefault="001C0963" w:rsidP="00882BB1">
            <w:pPr>
              <w:pStyle w:val="SDMTableBoxParaNotNumbered"/>
              <w:cnfStyle w:val="100000000000" w:firstRow="1" w:lastRow="0" w:firstColumn="0" w:lastColumn="0" w:oddVBand="0" w:evenVBand="0" w:oddHBand="0" w:evenHBand="0" w:firstRowFirstColumn="0" w:firstRowLastColumn="0" w:lastRowFirstColumn="0" w:lastRowLastColumn="0"/>
            </w:pPr>
            <w:r>
              <w:t>Case</w:t>
            </w:r>
            <w:r w:rsidR="00882BB1">
              <w:t> </w:t>
            </w:r>
            <w:r>
              <w:t>1</w:t>
            </w:r>
          </w:p>
        </w:tc>
        <w:tc>
          <w:tcPr>
            <w:tcW w:w="3402" w:type="dxa"/>
          </w:tcPr>
          <w:p w14:paraId="2155CC39" w14:textId="4B560108" w:rsidR="001C0963" w:rsidRDefault="001C0963" w:rsidP="00882BB1">
            <w:pPr>
              <w:pStyle w:val="SDMTableBoxParaNotNumbered"/>
              <w:cnfStyle w:val="100000000000" w:firstRow="1" w:lastRow="0" w:firstColumn="0" w:lastColumn="0" w:oddVBand="0" w:evenVBand="0" w:oddHBand="0" w:evenHBand="0" w:firstRowFirstColumn="0" w:firstRowLastColumn="0" w:lastRowFirstColumn="0" w:lastRowLastColumn="0"/>
            </w:pPr>
            <w:r>
              <w:t>Case</w:t>
            </w:r>
            <w:r w:rsidR="00882BB1">
              <w:t> </w:t>
            </w:r>
            <w:r>
              <w:t>2</w:t>
            </w:r>
          </w:p>
        </w:tc>
      </w:tr>
      <w:tr w:rsidR="00903F7F" w:rsidRPr="00911F51" w14:paraId="598EDBC8" w14:textId="77777777" w:rsidTr="004B23A5">
        <w:trPr>
          <w:jc w:val="right"/>
        </w:trPr>
        <w:tc>
          <w:tcPr>
            <w:cnfStyle w:val="001000000000" w:firstRow="0" w:lastRow="0" w:firstColumn="1" w:lastColumn="0" w:oddVBand="0" w:evenVBand="0" w:oddHBand="0" w:evenHBand="0" w:firstRowFirstColumn="0" w:firstRowLastColumn="0" w:lastRowFirstColumn="0" w:lastRowLastColumn="0"/>
            <w:tcW w:w="1725" w:type="dxa"/>
          </w:tcPr>
          <w:p w14:paraId="3D11CD31" w14:textId="77777777" w:rsidR="00903F7F" w:rsidRPr="00254334" w:rsidRDefault="00903F7F" w:rsidP="00882BB1">
            <w:pPr>
              <w:pStyle w:val="SDMTableBoxParaNumbered"/>
              <w:numPr>
                <w:ilvl w:val="0"/>
                <w:numId w:val="0"/>
              </w:numPr>
            </w:pPr>
            <w:r w:rsidRPr="00254334">
              <w:t>Non-intermittent electricity generation</w:t>
            </w:r>
          </w:p>
        </w:tc>
        <w:tc>
          <w:tcPr>
            <w:tcW w:w="3402" w:type="dxa"/>
          </w:tcPr>
          <w:p w14:paraId="6EF99608" w14:textId="39E91F7D" w:rsidR="00903F7F" w:rsidRPr="000F555E" w:rsidRDefault="00903F7F" w:rsidP="00882BB1">
            <w:pPr>
              <w:pStyle w:val="SDMTableBoxParaNumbered"/>
              <w:numPr>
                <w:ilvl w:val="0"/>
                <w:numId w:val="0"/>
              </w:numPr>
              <w:cnfStyle w:val="000000000000" w:firstRow="0" w:lastRow="0" w:firstColumn="0" w:lastColumn="0" w:oddVBand="0" w:evenVBand="0" w:oddHBand="0" w:evenHBand="0" w:firstRowFirstColumn="0" w:firstRowLastColumn="0" w:lastRowFirstColumn="0" w:lastRowLastColumn="0"/>
            </w:pPr>
            <w:r>
              <w:t>An Article 6.4 activ</w:t>
            </w:r>
            <w:r w:rsidR="1C301A66">
              <w:t>ity</w:t>
            </w:r>
            <w:r>
              <w:t xml:space="preserve"> uses electricity from a pre-existing fossil fuel power unit that</w:t>
            </w:r>
            <w:r w:rsidR="006B78DD">
              <w:t>,</w:t>
            </w:r>
            <w:r>
              <w:t xml:space="preserve"> </w:t>
            </w:r>
            <w:r w:rsidR="006B78DD">
              <w:t>prior to the implementation of the Article 6.4 activity,</w:t>
            </w:r>
            <w:r>
              <w:t xml:space="preserve"> delivered electricity to the electricity system</w:t>
            </w:r>
          </w:p>
        </w:tc>
        <w:tc>
          <w:tcPr>
            <w:tcW w:w="3402" w:type="dxa"/>
          </w:tcPr>
          <w:p w14:paraId="77FDAAD0" w14:textId="2AF512D8" w:rsidR="00903F7F" w:rsidRDefault="00903F7F" w:rsidP="00882BB1">
            <w:pPr>
              <w:pStyle w:val="SDMTableBoxParaNotNumbered"/>
              <w:cnfStyle w:val="000000000000" w:firstRow="0" w:lastRow="0" w:firstColumn="0" w:lastColumn="0" w:oddVBand="0" w:evenVBand="0" w:oddHBand="0" w:evenHBand="0" w:firstRowFirstColumn="0" w:firstRowLastColumn="0" w:lastRowFirstColumn="0" w:lastRowLastColumn="0"/>
            </w:pPr>
            <w:r>
              <w:t xml:space="preserve">An Article 6.4 activity installs a </w:t>
            </w:r>
            <w:r w:rsidR="00D50477">
              <w:t>biomass</w:t>
            </w:r>
            <w:r>
              <w:t xml:space="preserve"> power plant that delivers electricity to the electricity system</w:t>
            </w:r>
          </w:p>
        </w:tc>
      </w:tr>
      <w:tr w:rsidR="001C0963" w:rsidRPr="00911F51" w14:paraId="5041308D" w14:textId="77777777" w:rsidTr="004B23A5">
        <w:trPr>
          <w:jc w:val="right"/>
        </w:trPr>
        <w:tc>
          <w:tcPr>
            <w:cnfStyle w:val="001000000000" w:firstRow="0" w:lastRow="0" w:firstColumn="1" w:lastColumn="0" w:oddVBand="0" w:evenVBand="0" w:oddHBand="0" w:evenHBand="0" w:firstRowFirstColumn="0" w:firstRowLastColumn="0" w:lastRowFirstColumn="0" w:lastRowLastColumn="0"/>
            <w:tcW w:w="1725" w:type="dxa"/>
          </w:tcPr>
          <w:p w14:paraId="0648A3CB" w14:textId="785856BE" w:rsidR="001C0963" w:rsidRPr="00254334" w:rsidRDefault="00AD500C" w:rsidP="00882BB1">
            <w:pPr>
              <w:pStyle w:val="SDMTableBoxParaNumbered"/>
              <w:numPr>
                <w:ilvl w:val="0"/>
                <w:numId w:val="0"/>
              </w:numPr>
            </w:pPr>
            <w:r w:rsidRPr="00254334">
              <w:t>Intermittent electricity generation</w:t>
            </w:r>
          </w:p>
        </w:tc>
        <w:tc>
          <w:tcPr>
            <w:tcW w:w="3402" w:type="dxa"/>
          </w:tcPr>
          <w:p w14:paraId="2BC057A6" w14:textId="02F233E9" w:rsidR="001C0963" w:rsidRPr="000F555E" w:rsidRDefault="00A26B36" w:rsidP="00882BB1">
            <w:pPr>
              <w:pStyle w:val="SDMTableBoxParaNumbered"/>
              <w:numPr>
                <w:ilvl w:val="0"/>
                <w:numId w:val="0"/>
              </w:numPr>
              <w:cnfStyle w:val="000000000000" w:firstRow="0" w:lastRow="0" w:firstColumn="0" w:lastColumn="0" w:oddVBand="0" w:evenVBand="0" w:oddHBand="0" w:evenHBand="0" w:firstRowFirstColumn="0" w:firstRowLastColumn="0" w:lastRowFirstColumn="0" w:lastRowLastColumn="0"/>
            </w:pPr>
            <w:r>
              <w:t>An Article 6.4 activit</w:t>
            </w:r>
            <w:r w:rsidR="2EE5122E">
              <w:t>y</w:t>
            </w:r>
            <w:r w:rsidR="004A4F48">
              <w:t xml:space="preserve"> uses electricity from a pre-existing renewable power unit that</w:t>
            </w:r>
            <w:r w:rsidR="00CB74F9">
              <w:t>, prior to the implementation of the Article 6.4 activity,</w:t>
            </w:r>
            <w:r w:rsidR="004A4F48">
              <w:t xml:space="preserve"> delivered electricity to the electricity system</w:t>
            </w:r>
          </w:p>
        </w:tc>
        <w:tc>
          <w:tcPr>
            <w:tcW w:w="3402" w:type="dxa"/>
          </w:tcPr>
          <w:p w14:paraId="0CEF37ED" w14:textId="788B5FDA" w:rsidR="001C0963" w:rsidRDefault="00D74378" w:rsidP="00882BB1">
            <w:pPr>
              <w:pStyle w:val="SDMTableBoxParaNumbered"/>
              <w:numPr>
                <w:ilvl w:val="0"/>
                <w:numId w:val="0"/>
              </w:numPr>
              <w:cnfStyle w:val="000000000000" w:firstRow="0" w:lastRow="0" w:firstColumn="0" w:lastColumn="0" w:oddVBand="0" w:evenVBand="0" w:oddHBand="0" w:evenHBand="0" w:firstRowFirstColumn="0" w:firstRowLastColumn="0" w:lastRowFirstColumn="0" w:lastRowLastColumn="0"/>
            </w:pPr>
            <w:r>
              <w:t xml:space="preserve">An Article 6.4 activity </w:t>
            </w:r>
            <w:r w:rsidR="00B45806">
              <w:t>installs a wind power plant that delivers</w:t>
            </w:r>
            <w:r w:rsidR="00E508A3">
              <w:t xml:space="preserve"> electricity to the electricity system</w:t>
            </w:r>
          </w:p>
        </w:tc>
      </w:tr>
      <w:tr w:rsidR="00903F7F" w:rsidRPr="00911F51" w14:paraId="443C37B7" w14:textId="77777777" w:rsidTr="004B23A5">
        <w:trPr>
          <w:jc w:val="right"/>
        </w:trPr>
        <w:tc>
          <w:tcPr>
            <w:cnfStyle w:val="001000000000" w:firstRow="0" w:lastRow="0" w:firstColumn="1" w:lastColumn="0" w:oddVBand="0" w:evenVBand="0" w:oddHBand="0" w:evenHBand="0" w:firstRowFirstColumn="0" w:firstRowLastColumn="0" w:lastRowFirstColumn="0" w:lastRowLastColumn="0"/>
            <w:tcW w:w="1725" w:type="dxa"/>
          </w:tcPr>
          <w:p w14:paraId="05EB4FD3" w14:textId="77777777" w:rsidR="00903F7F" w:rsidRPr="00254334" w:rsidRDefault="00903F7F" w:rsidP="00882BB1">
            <w:pPr>
              <w:pStyle w:val="SDMTableBoxParaNumbered"/>
              <w:numPr>
                <w:ilvl w:val="0"/>
                <w:numId w:val="0"/>
              </w:numPr>
            </w:pPr>
            <w:r w:rsidRPr="00254334">
              <w:t>Electricity consumption not depending on intermittent generation</w:t>
            </w:r>
          </w:p>
        </w:tc>
        <w:tc>
          <w:tcPr>
            <w:tcW w:w="3402" w:type="dxa"/>
          </w:tcPr>
          <w:p w14:paraId="2F6214F0" w14:textId="5B3C36AB" w:rsidR="00903F7F" w:rsidRPr="000F555E" w:rsidRDefault="00766DAE" w:rsidP="00882BB1">
            <w:pPr>
              <w:pStyle w:val="SDMTableBoxParaNotNumbered"/>
              <w:cnfStyle w:val="000000000000" w:firstRow="0" w:lastRow="0" w:firstColumn="0" w:lastColumn="0" w:oddVBand="0" w:evenVBand="0" w:oddHBand="0" w:evenHBand="0" w:firstRowFirstColumn="0" w:firstRowLastColumn="0" w:lastRowFirstColumn="0" w:lastRowLastColumn="0"/>
            </w:pPr>
            <w:r>
              <w:t xml:space="preserve">An Article 6.4 activity </w:t>
            </w:r>
            <w:r w:rsidR="00F37FBF">
              <w:t>involves</w:t>
            </w:r>
            <w:r w:rsidR="008C319F">
              <w:t xml:space="preserve"> the </w:t>
            </w:r>
            <w:r w:rsidR="00E209EF">
              <w:t xml:space="preserve">flaring </w:t>
            </w:r>
            <w:r w:rsidR="00F37FBF">
              <w:t>of</w:t>
            </w:r>
            <w:r w:rsidR="00E209EF">
              <w:t xml:space="preserve"> landfill gas </w:t>
            </w:r>
            <w:r w:rsidR="009B33EB">
              <w:t xml:space="preserve">consumes electricity </w:t>
            </w:r>
            <w:r w:rsidR="00E209EF">
              <w:t xml:space="preserve">for the purpose of </w:t>
            </w:r>
            <w:r w:rsidR="008C319F">
              <w:t xml:space="preserve">collecting the </w:t>
            </w:r>
            <w:r w:rsidR="00E209EF">
              <w:t xml:space="preserve">landfill gas and </w:t>
            </w:r>
            <w:r w:rsidR="008C319F">
              <w:t>operating the flare</w:t>
            </w:r>
          </w:p>
        </w:tc>
        <w:tc>
          <w:tcPr>
            <w:tcW w:w="3402" w:type="dxa"/>
          </w:tcPr>
          <w:p w14:paraId="60CA195F" w14:textId="6171892F" w:rsidR="00903F7F" w:rsidRDefault="00591DB4" w:rsidP="00882BB1">
            <w:pPr>
              <w:pStyle w:val="SDMTableBoxParaNotNumbered"/>
              <w:cnfStyle w:val="000000000000" w:firstRow="0" w:lastRow="0" w:firstColumn="0" w:lastColumn="0" w:oddVBand="0" w:evenVBand="0" w:oddHBand="0" w:evenHBand="0" w:firstRowFirstColumn="0" w:firstRowLastColumn="0" w:lastRowFirstColumn="0" w:lastRowLastColumn="0"/>
            </w:pPr>
            <w:r>
              <w:t>An Article 6.4 activity reduce</w:t>
            </w:r>
            <w:r w:rsidR="006413FC">
              <w:t>s</w:t>
            </w:r>
            <w:r>
              <w:t xml:space="preserve"> the electricity consumption of households </w:t>
            </w:r>
            <w:r w:rsidR="00B62289">
              <w:t xml:space="preserve">for lighting purposes </w:t>
            </w:r>
            <w:r w:rsidR="006413FC">
              <w:t>through</w:t>
            </w:r>
            <w:r>
              <w:t xml:space="preserve"> </w:t>
            </w:r>
            <w:r w:rsidR="00B62289">
              <w:t>the use of efficient lamps</w:t>
            </w:r>
          </w:p>
        </w:tc>
      </w:tr>
      <w:tr w:rsidR="00A33160" w:rsidRPr="00911F51" w14:paraId="7D491A90" w14:textId="77777777" w:rsidTr="004B23A5">
        <w:trPr>
          <w:jc w:val="right"/>
        </w:trPr>
        <w:tc>
          <w:tcPr>
            <w:cnfStyle w:val="001000000000" w:firstRow="0" w:lastRow="0" w:firstColumn="1" w:lastColumn="0" w:oddVBand="0" w:evenVBand="0" w:oddHBand="0" w:evenHBand="0" w:firstRowFirstColumn="0" w:firstRowLastColumn="0" w:lastRowFirstColumn="0" w:lastRowLastColumn="0"/>
            <w:tcW w:w="1725" w:type="dxa"/>
          </w:tcPr>
          <w:p w14:paraId="7E162313" w14:textId="03A5C9FE" w:rsidR="00A33160" w:rsidRPr="00254334" w:rsidRDefault="00BE3EC5" w:rsidP="00882BB1">
            <w:pPr>
              <w:pStyle w:val="SDMTableBoxParaNumbered"/>
              <w:numPr>
                <w:ilvl w:val="0"/>
                <w:numId w:val="0"/>
              </w:numPr>
            </w:pPr>
            <w:r w:rsidRPr="00254334">
              <w:t>Electricity consumption depending on intermittent generation</w:t>
            </w:r>
          </w:p>
        </w:tc>
        <w:tc>
          <w:tcPr>
            <w:tcW w:w="3402" w:type="dxa"/>
          </w:tcPr>
          <w:p w14:paraId="324C8983" w14:textId="64BC5E9A" w:rsidR="00A33160" w:rsidRPr="000F555E" w:rsidRDefault="003310B8" w:rsidP="00882BB1">
            <w:pPr>
              <w:pStyle w:val="SDMTableBoxParaNotNumbered"/>
              <w:cnfStyle w:val="000000000000" w:firstRow="0" w:lastRow="0" w:firstColumn="0" w:lastColumn="0" w:oddVBand="0" w:evenVBand="0" w:oddHBand="0" w:evenHBand="0" w:firstRowFirstColumn="0" w:firstRowLastColumn="0" w:lastRowFirstColumn="0" w:lastRowLastColumn="0"/>
            </w:pPr>
            <w:r>
              <w:t xml:space="preserve">An Article 6.4 activity </w:t>
            </w:r>
            <w:r w:rsidR="00405215">
              <w:t xml:space="preserve">produces hydrogen through electrolysis. It mainly consumes electricity from a </w:t>
            </w:r>
            <w:r w:rsidR="003A380A">
              <w:t xml:space="preserve">specific wind power plant and </w:t>
            </w:r>
            <w:r w:rsidR="00EF78FE">
              <w:t xml:space="preserve">consumes electricity from the electricity system </w:t>
            </w:r>
            <w:r w:rsidR="00F37FBF">
              <w:t>when the wind power plant is not operating at full load</w:t>
            </w:r>
          </w:p>
        </w:tc>
        <w:tc>
          <w:tcPr>
            <w:tcW w:w="3402" w:type="dxa"/>
          </w:tcPr>
          <w:p w14:paraId="3D4438F0" w14:textId="06740344" w:rsidR="00A33160" w:rsidRDefault="002321D7" w:rsidP="00882BB1">
            <w:pPr>
              <w:pStyle w:val="SDMTableBoxParaNotNumbered"/>
              <w:cnfStyle w:val="000000000000" w:firstRow="0" w:lastRow="0" w:firstColumn="0" w:lastColumn="0" w:oddVBand="0" w:evenVBand="0" w:oddHBand="0" w:evenHBand="0" w:firstRowFirstColumn="0" w:firstRowLastColumn="0" w:lastRowFirstColumn="0" w:lastRowLastColumn="0"/>
            </w:pPr>
            <w:r>
              <w:t xml:space="preserve">An Article 6.4 activity </w:t>
            </w:r>
            <w:r w:rsidR="00B62289">
              <w:t xml:space="preserve">reduces the electricity consumption of </w:t>
            </w:r>
            <w:r w:rsidR="00232FE4">
              <w:t xml:space="preserve">electric </w:t>
            </w:r>
            <w:r w:rsidR="00200676">
              <w:t xml:space="preserve">cooking devices that </w:t>
            </w:r>
            <w:r w:rsidR="00416EF6">
              <w:t>are</w:t>
            </w:r>
            <w:r w:rsidR="00200676">
              <w:t xml:space="preserve"> exclusively </w:t>
            </w:r>
            <w:r w:rsidR="00416EF6">
              <w:t xml:space="preserve">used </w:t>
            </w:r>
            <w:r w:rsidR="00232FE4">
              <w:t xml:space="preserve">for </w:t>
            </w:r>
            <w:r w:rsidR="00B32205">
              <w:t>preparing lunch meals in a country with significant</w:t>
            </w:r>
            <w:r w:rsidR="00254334">
              <w:t xml:space="preserve"> solar generation</w:t>
            </w:r>
          </w:p>
        </w:tc>
      </w:tr>
    </w:tbl>
    <w:p w14:paraId="62E1AD94" w14:textId="2C7AF366" w:rsidR="00FF70B5" w:rsidRPr="000E02F0" w:rsidRDefault="5A902AC0">
      <w:pPr>
        <w:pStyle w:val="SDMPara"/>
        <w:rPr>
          <w:lang w:val="en-US"/>
        </w:rPr>
      </w:pPr>
      <w:r>
        <w:t xml:space="preserve">Where an Article 6.4 activity covers multiple electricity generation or consumption </w:t>
      </w:r>
      <w:r w:rsidR="00563551">
        <w:t>sources</w:t>
      </w:r>
      <w:r w:rsidR="004031C3">
        <w:t> </w:t>
      </w:r>
      <w:r w:rsidR="004031C3" w:rsidRPr="004D1A41">
        <w:rPr>
          <w:i/>
          <w:iCs/>
        </w:rPr>
        <w:t>s</w:t>
      </w:r>
      <w:r w:rsidR="0020065D" w:rsidRPr="00A33CD3">
        <w:rPr>
          <w:i/>
          <w:iCs/>
        </w:rPr>
        <w:t xml:space="preserve"> </w:t>
      </w:r>
      <w:r w:rsidR="0020065D" w:rsidRPr="00A33CD3">
        <w:t>for which</w:t>
      </w:r>
      <w:r w:rsidR="0020065D" w:rsidRPr="00A33CD3">
        <w:rPr>
          <w:rFonts w:eastAsia="Arial"/>
        </w:rPr>
        <w:t xml:space="preserve"> electricity is </w:t>
      </w:r>
      <w:r w:rsidR="0020065D" w:rsidRPr="00A33CD3">
        <w:t xml:space="preserve">consumed from or </w:t>
      </w:r>
      <w:r w:rsidR="0020065D" w:rsidRPr="00A33CD3">
        <w:rPr>
          <w:rFonts w:eastAsia="Arial"/>
        </w:rPr>
        <w:t>fed into the same electricity system</w:t>
      </w:r>
      <w:r w:rsidR="0020065D" w:rsidRPr="00A33CD3">
        <w:t xml:space="preserve"> </w:t>
      </w:r>
      <w:r w:rsidR="00085EE9" w:rsidRPr="00A33CD3">
        <w:t>and/</w:t>
      </w:r>
      <w:r w:rsidR="0020065D" w:rsidRPr="00A33CD3">
        <w:t xml:space="preserve">or </w:t>
      </w:r>
      <w:r w:rsidR="00085EE9" w:rsidRPr="00A33CD3">
        <w:t xml:space="preserve">is consumed from </w:t>
      </w:r>
      <w:r w:rsidR="00085EE9" w:rsidRPr="00A33CD3">
        <w:rPr>
          <w:rFonts w:eastAsia="Arial"/>
        </w:rPr>
        <w:t xml:space="preserve">or </w:t>
      </w:r>
      <w:r w:rsidR="00085EE9" w:rsidRPr="00A33CD3">
        <w:t>avoids power generation by the same fossil-fuel fired</w:t>
      </w:r>
      <w:r w:rsidR="0020065D" w:rsidRPr="00A33CD3">
        <w:rPr>
          <w:rFonts w:eastAsia="Arial"/>
        </w:rPr>
        <w:t xml:space="preserve"> captive power plant</w:t>
      </w:r>
      <w:r w:rsidR="00955A7F" w:rsidRPr="00A33CD3">
        <w:t>(s</w:t>
      </w:r>
      <w:r w:rsidR="00085EE9" w:rsidRPr="00A33CD3">
        <w:t>)</w:t>
      </w:r>
      <w:r>
        <w:t xml:space="preserve">, the net total </w:t>
      </w:r>
      <w:r w:rsidR="00D74E11">
        <w:t xml:space="preserve">electricity generation and/or consumption </w:t>
      </w:r>
      <w:r>
        <w:t xml:space="preserve">from all </w:t>
      </w:r>
      <w:r w:rsidR="001245BB">
        <w:t>sources</w:t>
      </w:r>
      <w:r w:rsidR="66A1A74B">
        <w:t xml:space="preserve"> </w:t>
      </w:r>
      <w:r>
        <w:t>may be netted for each hour covered by the monitoring period.</w:t>
      </w:r>
      <w:r w:rsidR="016E9486">
        <w:rPr>
          <w:rFonts w:eastAsia="Arial"/>
        </w:rPr>
        <w:t xml:space="preserve"> </w:t>
      </w:r>
      <w:r w:rsidR="6968C15D">
        <w:t xml:space="preserve">Where </w:t>
      </w:r>
      <w:r w:rsidR="006A6029" w:rsidRPr="00AA1284">
        <w:rPr>
          <w:b/>
          <w:bCs/>
        </w:rPr>
        <w:t>case</w:t>
      </w:r>
      <w:r w:rsidR="00882BB1">
        <w:rPr>
          <w:b/>
          <w:bCs/>
        </w:rPr>
        <w:t> </w:t>
      </w:r>
      <w:r w:rsidR="6968C15D" w:rsidRPr="00AA1284">
        <w:rPr>
          <w:b/>
          <w:bCs/>
        </w:rPr>
        <w:t>1</w:t>
      </w:r>
      <w:r w:rsidR="6968C15D">
        <w:t xml:space="preserve"> applies to </w:t>
      </w:r>
      <w:r w:rsidR="6968C15D" w:rsidDel="002747FE">
        <w:t xml:space="preserve">some </w:t>
      </w:r>
      <w:r w:rsidR="6968C15D" w:rsidDel="00091683">
        <w:t xml:space="preserve">hours </w:t>
      </w:r>
      <w:r w:rsidR="002F6518">
        <w:t xml:space="preserve">within </w:t>
      </w:r>
      <w:r w:rsidR="6968C15D" w:rsidDel="00091683">
        <w:t xml:space="preserve">a monitoring </w:t>
      </w:r>
      <w:r w:rsidR="6968C15D">
        <w:t xml:space="preserve">period and </w:t>
      </w:r>
      <w:r w:rsidR="002F6518" w:rsidRPr="00AA1284">
        <w:rPr>
          <w:b/>
          <w:bCs/>
        </w:rPr>
        <w:t>c</w:t>
      </w:r>
      <w:r w:rsidR="6968C15D" w:rsidRPr="00AA1284" w:rsidDel="00513525">
        <w:rPr>
          <w:b/>
          <w:bCs/>
        </w:rPr>
        <w:t>ase</w:t>
      </w:r>
      <w:r w:rsidR="00882BB1">
        <w:rPr>
          <w:b/>
          <w:bCs/>
        </w:rPr>
        <w:t> </w:t>
      </w:r>
      <w:r w:rsidR="6968C15D" w:rsidRPr="00AA1284">
        <w:rPr>
          <w:b/>
          <w:bCs/>
        </w:rPr>
        <w:t>2</w:t>
      </w:r>
      <w:r w:rsidR="6968C15D">
        <w:t xml:space="preserve"> applies to the remaining hours of the same mon</w:t>
      </w:r>
      <w:r w:rsidR="6968C15D" w:rsidDel="005C2978">
        <w:t>itoring period</w:t>
      </w:r>
      <w:r w:rsidR="6968C15D">
        <w:t xml:space="preserve">, activity participants shall apply the corresponding emission factor for </w:t>
      </w:r>
      <w:r w:rsidR="6968C15D" w:rsidDel="00FF371C">
        <w:t xml:space="preserve">the respective </w:t>
      </w:r>
      <w:r w:rsidR="6968C15D">
        <w:t>hours</w:t>
      </w:r>
      <w:r w:rsidR="2D937D4E">
        <w:t>.</w:t>
      </w:r>
      <w:r w:rsidR="00FF70B5" w:rsidRPr="00326947">
        <w:rPr>
          <w:rStyle w:val="FootnoteReference"/>
          <w:vertAlign w:val="baseline"/>
        </w:rPr>
        <w:t xml:space="preserve"> </w:t>
      </w:r>
      <w:r w:rsidR="5B2AC40B">
        <w:t xml:space="preserve">Alternatively, activity participants may determine emissions </w:t>
      </w:r>
      <w:r w:rsidR="7D897281">
        <w:t xml:space="preserve">separately for each electricity generation or consumption </w:t>
      </w:r>
      <w:r w:rsidR="00AF62A5">
        <w:t>source </w:t>
      </w:r>
      <w:r w:rsidR="00AF62A5" w:rsidRPr="00563551">
        <w:rPr>
          <w:i/>
          <w:iCs/>
        </w:rPr>
        <w:t>s</w:t>
      </w:r>
      <w:r w:rsidR="7D897281">
        <w:t xml:space="preserve">, by applying the corresponding emission factor to each </w:t>
      </w:r>
      <w:r w:rsidR="00AF62A5">
        <w:t>source </w:t>
      </w:r>
      <w:r w:rsidR="00AF62A5" w:rsidRPr="00563551">
        <w:rPr>
          <w:i/>
          <w:iCs/>
        </w:rPr>
        <w:t>s</w:t>
      </w:r>
      <w:r w:rsidR="7D897281">
        <w:t xml:space="preserve">, depending on whether </w:t>
      </w:r>
      <w:r w:rsidR="0016525A" w:rsidRPr="00AA1284">
        <w:rPr>
          <w:b/>
          <w:bCs/>
        </w:rPr>
        <w:t>case</w:t>
      </w:r>
      <w:r w:rsidR="00882BB1">
        <w:rPr>
          <w:b/>
          <w:bCs/>
        </w:rPr>
        <w:t> </w:t>
      </w:r>
      <w:r w:rsidR="7D897281" w:rsidRPr="00AA1284">
        <w:rPr>
          <w:b/>
          <w:bCs/>
        </w:rPr>
        <w:t>1</w:t>
      </w:r>
      <w:r w:rsidR="7D897281">
        <w:t xml:space="preserve"> or </w:t>
      </w:r>
      <w:r w:rsidR="0016525A" w:rsidRPr="00AA1284">
        <w:rPr>
          <w:b/>
          <w:bCs/>
        </w:rPr>
        <w:t>case</w:t>
      </w:r>
      <w:r w:rsidR="00882BB1">
        <w:rPr>
          <w:b/>
          <w:bCs/>
        </w:rPr>
        <w:t> </w:t>
      </w:r>
      <w:r w:rsidR="7D897281" w:rsidRPr="00AA1284">
        <w:rPr>
          <w:b/>
          <w:bCs/>
        </w:rPr>
        <w:t>2</w:t>
      </w:r>
      <w:r w:rsidR="7D897281">
        <w:t xml:space="preserve"> and </w:t>
      </w:r>
      <w:r w:rsidR="000248B3">
        <w:t xml:space="preserve">whether </w:t>
      </w:r>
      <w:r w:rsidR="00AA1284" w:rsidRPr="00AA1284">
        <w:rPr>
          <w:b/>
          <w:bCs/>
        </w:rPr>
        <w:t xml:space="preserve">scenario </w:t>
      </w:r>
      <w:r w:rsidR="7D897281" w:rsidRPr="00AA1284">
        <w:rPr>
          <w:b/>
          <w:bCs/>
        </w:rPr>
        <w:t>A</w:t>
      </w:r>
      <w:r w:rsidR="7D897281">
        <w:t xml:space="preserve">, </w:t>
      </w:r>
      <w:r w:rsidR="7D897281" w:rsidRPr="00AA1284">
        <w:rPr>
          <w:b/>
          <w:bCs/>
        </w:rPr>
        <w:t>B</w:t>
      </w:r>
      <w:r w:rsidR="00AC4ECE">
        <w:rPr>
          <w:b/>
          <w:bCs/>
        </w:rPr>
        <w:t>,</w:t>
      </w:r>
      <w:r w:rsidR="7D897281">
        <w:t xml:space="preserve"> or </w:t>
      </w:r>
      <w:r w:rsidR="7D897281" w:rsidRPr="00AA1284">
        <w:rPr>
          <w:b/>
          <w:bCs/>
        </w:rPr>
        <w:t>C</w:t>
      </w:r>
      <w:r w:rsidR="7D897281">
        <w:t xml:space="preserve"> appl</w:t>
      </w:r>
      <w:r w:rsidR="00AA1284">
        <w:t>ies</w:t>
      </w:r>
      <w:r w:rsidR="7D897281">
        <w:t xml:space="preserve"> to the respective </w:t>
      </w:r>
      <w:r w:rsidR="00294F02">
        <w:t>source </w:t>
      </w:r>
      <w:r w:rsidR="00294F02" w:rsidRPr="00563551">
        <w:rPr>
          <w:i/>
          <w:iCs/>
        </w:rPr>
        <w:t>s</w:t>
      </w:r>
      <w:r w:rsidR="000A27E6">
        <w:t>.</w:t>
      </w:r>
      <w:r w:rsidR="00B80A98">
        <w:rPr>
          <w:rStyle w:val="FootnoteReference"/>
        </w:rPr>
        <w:footnoteReference w:id="10"/>
      </w:r>
    </w:p>
    <w:p w14:paraId="06CCE567" w14:textId="634EB66C" w:rsidR="7F978C3E" w:rsidRDefault="7F978C3E">
      <w:pPr>
        <w:pStyle w:val="SDMPara"/>
      </w:pPr>
      <w:r>
        <w:t xml:space="preserve">Where either </w:t>
      </w:r>
      <w:r w:rsidR="00655E2A" w:rsidRPr="00275B0C">
        <w:rPr>
          <w:b/>
          <w:bCs/>
        </w:rPr>
        <w:t>case</w:t>
      </w:r>
      <w:r w:rsidR="00882BB1">
        <w:rPr>
          <w:b/>
          <w:bCs/>
        </w:rPr>
        <w:t> </w:t>
      </w:r>
      <w:r w:rsidRPr="00275B0C">
        <w:rPr>
          <w:b/>
          <w:bCs/>
        </w:rPr>
        <w:t>1</w:t>
      </w:r>
      <w:r>
        <w:t xml:space="preserve"> or </w:t>
      </w:r>
      <w:r w:rsidR="00655E2A" w:rsidRPr="00275B0C">
        <w:rPr>
          <w:b/>
          <w:bCs/>
        </w:rPr>
        <w:t>case</w:t>
      </w:r>
      <w:r w:rsidR="00882BB1">
        <w:rPr>
          <w:b/>
          <w:bCs/>
        </w:rPr>
        <w:t> </w:t>
      </w:r>
      <w:r w:rsidRPr="00275B0C">
        <w:rPr>
          <w:b/>
          <w:bCs/>
        </w:rPr>
        <w:t>2</w:t>
      </w:r>
      <w:r>
        <w:t xml:space="preserve"> applies to all electricity generation and consumption </w:t>
      </w:r>
      <w:r w:rsidR="00AF62A5">
        <w:t>source</w:t>
      </w:r>
      <w:r w:rsidR="00425175">
        <w:t>s</w:t>
      </w:r>
      <w:r w:rsidR="00AF62A5">
        <w:t> </w:t>
      </w:r>
      <w:r w:rsidR="00AF62A5" w:rsidRPr="00563551">
        <w:rPr>
          <w:i/>
          <w:iCs/>
        </w:rPr>
        <w:t>s</w:t>
      </w:r>
      <w:r>
        <w:t xml:space="preserve"> throughout the</w:t>
      </w:r>
      <w:r w:rsidDel="00655E2A">
        <w:t xml:space="preserve"> </w:t>
      </w:r>
      <w:r>
        <w:t xml:space="preserve">monitoring period of the Article 6.4 activity, activity participants shall identify the relevant case and apply it consistently in the determination of the emission factor. This approach may also be applied where one of the two cases </w:t>
      </w:r>
      <w:r w:rsidR="00275B0C">
        <w:t xml:space="preserve">accounts for </w:t>
      </w:r>
      <w:r>
        <w:t xml:space="preserve">less than </w:t>
      </w:r>
      <w:r w:rsidRPr="00A4327A">
        <w:t>1</w:t>
      </w:r>
      <w:r w:rsidR="00882BB1">
        <w:t> </w:t>
      </w:r>
      <w:r w:rsidR="00BD13F9" w:rsidRPr="00A4327A">
        <w:t>per cent</w:t>
      </w:r>
      <w:r w:rsidR="00316A9D">
        <w:t xml:space="preserve"> </w:t>
      </w:r>
      <w:r>
        <w:t>of the amount of electricity generation and/or consumption compared to the other case.</w:t>
      </w:r>
    </w:p>
    <w:p w14:paraId="7D8963B3" w14:textId="2ACF49BC" w:rsidR="00AE4B5D" w:rsidRDefault="002223AA">
      <w:pPr>
        <w:pStyle w:val="SDMHead2"/>
      </w:pPr>
      <w:bookmarkStart w:id="373" w:name="_Toc215208602"/>
      <w:bookmarkStart w:id="374" w:name="_Toc215216121"/>
      <w:bookmarkStart w:id="375" w:name="_Toc215222857"/>
      <w:bookmarkStart w:id="376" w:name="_Toc215223045"/>
      <w:bookmarkStart w:id="377" w:name="_Toc215223267"/>
      <w:bookmarkStart w:id="378" w:name="_Toc215574888"/>
      <w:bookmarkStart w:id="379" w:name="_Toc215579102"/>
      <w:bookmarkStart w:id="380" w:name="_Toc215208603"/>
      <w:bookmarkStart w:id="381" w:name="_Toc215216122"/>
      <w:bookmarkStart w:id="382" w:name="_Toc215222858"/>
      <w:bookmarkStart w:id="383" w:name="_Toc215223046"/>
      <w:bookmarkStart w:id="384" w:name="_Toc215223268"/>
      <w:bookmarkStart w:id="385" w:name="_Toc215574889"/>
      <w:bookmarkStart w:id="386" w:name="_Ref215680163"/>
      <w:bookmarkStart w:id="387" w:name="_Toc215923327"/>
      <w:bookmarkStart w:id="388" w:name="_Toc216093023"/>
      <w:bookmarkStart w:id="389" w:name="_Toc216271752"/>
      <w:bookmarkStart w:id="390" w:name="_Toc216279369"/>
      <w:bookmarkStart w:id="391" w:name="_Toc216283407"/>
      <w:bookmarkStart w:id="392" w:name="_Toc216288025"/>
      <w:bookmarkStart w:id="393" w:name="_Toc219666132"/>
      <w:bookmarkStart w:id="394" w:name="_Toc220001392"/>
      <w:bookmarkStart w:id="395" w:name="_Ref221036542"/>
      <w:bookmarkStart w:id="396" w:name="_Toc221096416"/>
      <w:bookmarkStart w:id="397" w:name="_Toc221097968"/>
      <w:bookmarkStart w:id="398" w:name="_Toc221116264"/>
      <w:bookmarkStart w:id="399" w:name="_Toc221117280"/>
      <w:bookmarkStart w:id="400" w:name="_Toc222132118"/>
      <w:bookmarkStart w:id="401" w:name="_Toc222494919"/>
      <w:bookmarkStart w:id="402" w:name="_Toc222512435"/>
      <w:bookmarkStart w:id="403" w:name="_Toc222741755"/>
      <w:bookmarkEnd w:id="370"/>
      <w:bookmarkEnd w:id="371"/>
      <w:bookmarkEnd w:id="373"/>
      <w:bookmarkEnd w:id="374"/>
      <w:bookmarkEnd w:id="375"/>
      <w:bookmarkEnd w:id="376"/>
      <w:bookmarkEnd w:id="377"/>
      <w:bookmarkEnd w:id="378"/>
      <w:bookmarkEnd w:id="379"/>
      <w:r>
        <w:t>Step</w:t>
      </w:r>
      <w:r w:rsidR="00126F8A">
        <w:t> </w:t>
      </w:r>
      <w:r w:rsidR="000A27E6">
        <w:t>5</w:t>
      </w:r>
      <w:r>
        <w:t xml:space="preserve">: </w:t>
      </w:r>
      <w:r w:rsidR="006F1C4A">
        <w:t>Determin</w:t>
      </w:r>
      <w:r w:rsidR="001079C2">
        <w:t>e</w:t>
      </w:r>
      <w:r w:rsidR="52951D30">
        <w:t xml:space="preserve"> </w:t>
      </w:r>
      <w:r w:rsidR="001079C2">
        <w:t xml:space="preserve">the amount </w:t>
      </w:r>
      <w:r w:rsidR="006F1C4A">
        <w:t xml:space="preserve">of electricity generation </w:t>
      </w:r>
      <w:r w:rsidR="00DD05EC">
        <w:t>and/</w:t>
      </w:r>
      <w:r w:rsidR="001079C2">
        <w:t>or</w:t>
      </w:r>
      <w:r w:rsidR="006F1C4A">
        <w:t xml:space="preserve"> consumption</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1AC2CE94" w14:textId="3348A39C" w:rsidR="00132916" w:rsidRDefault="00132916">
      <w:pPr>
        <w:pStyle w:val="SDMPara"/>
      </w:pPr>
      <w:r>
        <w:t xml:space="preserve">Activity participants shall specify in the PDD how the amount of </w:t>
      </w:r>
      <w:r w:rsidR="00590FC3">
        <w:t xml:space="preserve">electricity generated or consumed shall be </w:t>
      </w:r>
      <w:r>
        <w:t>determined for each</w:t>
      </w:r>
      <w:r w:rsidR="00CC7097">
        <w:t xml:space="preserve"> electricity generation or consumption </w:t>
      </w:r>
      <w:r w:rsidR="00F816AD">
        <w:t>source </w:t>
      </w:r>
      <w:r w:rsidR="00F816AD" w:rsidRPr="5AEF64D5">
        <w:rPr>
          <w:i/>
          <w:iCs/>
        </w:rPr>
        <w:t>s</w:t>
      </w:r>
      <w:r w:rsidR="000D10A9">
        <w:t xml:space="preserve"> </w:t>
      </w:r>
      <w:r w:rsidR="002D787A">
        <w:t>identified</w:t>
      </w:r>
      <w:r w:rsidR="000D10A9">
        <w:t xml:space="preserve"> in Step 1.</w:t>
      </w:r>
      <w:r w:rsidR="70282845">
        <w:t xml:space="preserve"> The period for aggregating the amount of electricity generation or consumption shall align with the period used to determine the emission factor, as specified in </w:t>
      </w:r>
      <w:r w:rsidR="00C35D79">
        <w:t xml:space="preserve">sections </w:t>
      </w:r>
      <w:r w:rsidR="00267532">
        <w:fldChar w:fldCharType="begin"/>
      </w:r>
      <w:r w:rsidR="00267532">
        <w:instrText xml:space="preserve"> REF _Ref215680223 \r \h </w:instrText>
      </w:r>
      <w:r w:rsidR="00267532">
        <w:fldChar w:fldCharType="separate"/>
      </w:r>
      <w:r w:rsidR="00D811A8">
        <w:rPr>
          <w:cs/>
        </w:rPr>
        <w:t>‎</w:t>
      </w:r>
      <w:r w:rsidR="00D811A8">
        <w:t>5.7</w:t>
      </w:r>
      <w:r w:rsidR="00267532">
        <w:fldChar w:fldCharType="end"/>
      </w:r>
      <w:r w:rsidR="70282845">
        <w:t xml:space="preserve"> and </w:t>
      </w:r>
      <w:r w:rsidR="006F4C20">
        <w:fldChar w:fldCharType="begin"/>
      </w:r>
      <w:r w:rsidR="006F4C20">
        <w:instrText xml:space="preserve"> REF _Ref215680292 \w \h </w:instrText>
      </w:r>
      <w:r w:rsidR="006F4C20">
        <w:fldChar w:fldCharType="separate"/>
      </w:r>
      <w:r w:rsidR="00D811A8">
        <w:rPr>
          <w:cs/>
        </w:rPr>
        <w:t>‎</w:t>
      </w:r>
      <w:r w:rsidR="00D811A8">
        <w:t>5.8</w:t>
      </w:r>
      <w:r w:rsidR="006F4C20">
        <w:fldChar w:fldCharType="end"/>
      </w:r>
      <w:r w:rsidR="6CD8B890">
        <w:t>.</w:t>
      </w:r>
    </w:p>
    <w:p w14:paraId="3E7BC3AE" w14:textId="6F7174A5" w:rsidR="00590FC3" w:rsidRPr="009D0D9E" w:rsidRDefault="006B4D0B">
      <w:pPr>
        <w:pStyle w:val="SDMPara"/>
      </w:pPr>
      <w:r>
        <w:t>The electricity generated or consumed shall either</w:t>
      </w:r>
      <w:r w:rsidR="00132916">
        <w:t xml:space="preserve"> </w:t>
      </w:r>
      <w:r w:rsidR="00E87AA3">
        <w:t xml:space="preserve">be </w:t>
      </w:r>
      <w:r w:rsidR="00590FC3">
        <w:t>directly monitored by activity participants</w:t>
      </w:r>
      <w:r w:rsidR="00E87AA3">
        <w:t>,</w:t>
      </w:r>
      <w:r w:rsidR="00590FC3">
        <w:t xml:space="preserve"> </w:t>
      </w:r>
      <w:r w:rsidR="00E87AA3">
        <w:t xml:space="preserve">in accordance with </w:t>
      </w:r>
      <w:r w:rsidR="00590FC3">
        <w:t xml:space="preserve">the provisions of section </w:t>
      </w:r>
      <w:r w:rsidR="00ED6B00">
        <w:rPr>
          <w:highlight w:val="yellow"/>
        </w:rPr>
        <w:fldChar w:fldCharType="begin"/>
      </w:r>
      <w:r w:rsidR="00ED6B00">
        <w:instrText xml:space="preserve"> REF _Ref212362896 \r \p \h </w:instrText>
      </w:r>
      <w:r w:rsidR="00ED6B00">
        <w:rPr>
          <w:highlight w:val="yellow"/>
        </w:rPr>
      </w:r>
      <w:r w:rsidR="00ED6B00">
        <w:rPr>
          <w:highlight w:val="yellow"/>
        </w:rPr>
        <w:fldChar w:fldCharType="separate"/>
      </w:r>
      <w:r w:rsidR="00D811A8">
        <w:rPr>
          <w:cs/>
        </w:rPr>
        <w:t>‎</w:t>
      </w:r>
      <w:r w:rsidR="00D811A8">
        <w:t>6 below</w:t>
      </w:r>
      <w:r w:rsidR="00ED6B00">
        <w:rPr>
          <w:highlight w:val="yellow"/>
        </w:rPr>
        <w:fldChar w:fldCharType="end"/>
      </w:r>
      <w:r w:rsidR="008351AD">
        <w:t>,</w:t>
      </w:r>
      <w:r>
        <w:t xml:space="preserve"> or be deter</w:t>
      </w:r>
      <w:r w:rsidRPr="009D0D9E">
        <w:t xml:space="preserve">mined using any of the simplified </w:t>
      </w:r>
      <w:r w:rsidR="007C6AC2" w:rsidRPr="009D0D9E">
        <w:t xml:space="preserve">and conservative </w:t>
      </w:r>
      <w:r w:rsidRPr="009D0D9E">
        <w:t>options</w:t>
      </w:r>
      <w:r w:rsidR="009D6E84">
        <w:t xml:space="preserve"> provided in paragraphs </w:t>
      </w:r>
      <w:r w:rsidR="009D6E84">
        <w:fldChar w:fldCharType="begin"/>
      </w:r>
      <w:r w:rsidR="009D6E84">
        <w:instrText xml:space="preserve"> REF _Ref215681692 \r \h </w:instrText>
      </w:r>
      <w:r w:rsidR="009D6E84">
        <w:fldChar w:fldCharType="separate"/>
      </w:r>
      <w:r w:rsidR="00D811A8">
        <w:rPr>
          <w:cs/>
        </w:rPr>
        <w:t>‎</w:t>
      </w:r>
      <w:r w:rsidR="00D811A8">
        <w:t>41</w:t>
      </w:r>
      <w:r w:rsidR="009D6E84">
        <w:fldChar w:fldCharType="end"/>
      </w:r>
      <w:r w:rsidR="0023294C">
        <w:t xml:space="preserve"> and </w:t>
      </w:r>
      <w:r w:rsidR="005E2338">
        <w:fldChar w:fldCharType="begin"/>
      </w:r>
      <w:r w:rsidR="005E2338">
        <w:instrText xml:space="preserve"> REF _Ref215681707 \r \h </w:instrText>
      </w:r>
      <w:r w:rsidR="005E2338">
        <w:fldChar w:fldCharType="separate"/>
      </w:r>
      <w:r w:rsidR="00D811A8">
        <w:rPr>
          <w:cs/>
        </w:rPr>
        <w:t>‎</w:t>
      </w:r>
      <w:r w:rsidR="00D811A8">
        <w:t>42</w:t>
      </w:r>
      <w:r w:rsidR="005E2338">
        <w:fldChar w:fldCharType="end"/>
      </w:r>
      <w:r w:rsidR="005E2338">
        <w:t>.</w:t>
      </w:r>
      <w:r w:rsidR="001F59D2" w:rsidRPr="009D0D9E">
        <w:t xml:space="preserve"> </w:t>
      </w:r>
      <w:r w:rsidR="7D184323" w:rsidRPr="009D0D9E">
        <w:t>Th</w:t>
      </w:r>
      <w:r w:rsidR="00001BD9" w:rsidRPr="009D0D9E">
        <w:t>es</w:t>
      </w:r>
      <w:r w:rsidR="00CD5BC9">
        <w:t>e</w:t>
      </w:r>
      <w:r w:rsidR="00001BD9" w:rsidRPr="009D0D9E">
        <w:t xml:space="preserve"> simplified</w:t>
      </w:r>
      <w:r w:rsidR="7D184323" w:rsidRPr="009D0D9E">
        <w:t xml:space="preserve"> </w:t>
      </w:r>
      <w:r w:rsidR="00EA548C">
        <w:t xml:space="preserve">and conservative options </w:t>
      </w:r>
      <w:r w:rsidR="7D184323" w:rsidRPr="009D0D9E">
        <w:t xml:space="preserve">may be applied to the entire monitoring period or to any specific interval during which data </w:t>
      </w:r>
      <w:r w:rsidR="00293949">
        <w:t>are</w:t>
      </w:r>
      <w:r w:rsidR="00293949" w:rsidRPr="009D0D9E">
        <w:t xml:space="preserve"> </w:t>
      </w:r>
      <w:r w:rsidR="7D184323" w:rsidRPr="009D0D9E">
        <w:t>missing.</w:t>
      </w:r>
    </w:p>
    <w:p w14:paraId="2D0EC1BB" w14:textId="28277B82" w:rsidR="00590FC3" w:rsidRDefault="00141B90" w:rsidP="00C72647">
      <w:pPr>
        <w:pStyle w:val="SDMPara"/>
        <w:keepNext/>
      </w:pPr>
      <w:bookmarkStart w:id="404" w:name="_Ref215681692"/>
      <w:r>
        <w:t>Where</w:t>
      </w:r>
      <w:r w:rsidR="7AF8B9E9" w:rsidRPr="009D0D9E" w:rsidDel="00293949">
        <w:t xml:space="preserve"> </w:t>
      </w:r>
      <w:r w:rsidR="00293949" w:rsidRPr="00293949">
        <w:rPr>
          <w:b/>
          <w:bCs/>
        </w:rPr>
        <w:t>c</w:t>
      </w:r>
      <w:r w:rsidR="00293949" w:rsidRPr="00293949">
        <w:rPr>
          <w:b/>
        </w:rPr>
        <w:t>ase</w:t>
      </w:r>
      <w:r w:rsidR="00882BB1">
        <w:rPr>
          <w:b/>
        </w:rPr>
        <w:t> </w:t>
      </w:r>
      <w:r w:rsidR="7AF8B9E9" w:rsidRPr="00293949">
        <w:rPr>
          <w:b/>
        </w:rPr>
        <w:t>1</w:t>
      </w:r>
      <w:r>
        <w:t xml:space="preserve"> applies</w:t>
      </w:r>
      <w:r w:rsidR="7AF8B9E9">
        <w:t>,</w:t>
      </w:r>
      <w:r w:rsidR="097ED7D8">
        <w:t xml:space="preserve"> </w:t>
      </w:r>
      <w:r w:rsidR="750A0B54">
        <w:t xml:space="preserve">activity participants </w:t>
      </w:r>
      <w:r w:rsidR="2B01DDE5">
        <w:t>shall</w:t>
      </w:r>
      <w:r w:rsidR="3B7DCEBC">
        <w:t xml:space="preserve"> </w:t>
      </w:r>
      <w:r w:rsidR="7AF8B9E9">
        <w:t>apply</w:t>
      </w:r>
      <w:r w:rsidR="750A0B54">
        <w:t xml:space="preserve"> the following </w:t>
      </w:r>
      <w:r w:rsidR="00CF64A3">
        <w:t xml:space="preserve">simplified and </w:t>
      </w:r>
      <w:r w:rsidR="750A0B54">
        <w:t xml:space="preserve">conservative </w:t>
      </w:r>
      <w:r w:rsidR="00CF64A3">
        <w:t>options</w:t>
      </w:r>
      <w:r w:rsidR="750A0B54">
        <w:t>:</w:t>
      </w:r>
      <w:bookmarkEnd w:id="404"/>
    </w:p>
    <w:p w14:paraId="2A2ADC68" w14:textId="793CE399" w:rsidR="00590FC3" w:rsidRDefault="005027C6" w:rsidP="00C72647">
      <w:pPr>
        <w:pStyle w:val="SDMSubPara1"/>
        <w:keepNext/>
      </w:pPr>
      <w:r>
        <w:t>For e</w:t>
      </w:r>
      <w:r w:rsidR="00590FC3">
        <w:t>lectricity generat</w:t>
      </w:r>
      <w:r w:rsidR="001A713B">
        <w:t>ion</w:t>
      </w:r>
      <w:r w:rsidR="00590FC3">
        <w:t>:</w:t>
      </w:r>
    </w:p>
    <w:p w14:paraId="49564178" w14:textId="2FF45700" w:rsidR="00590FC3" w:rsidRDefault="00590FC3">
      <w:pPr>
        <w:pStyle w:val="SDMSubPara2"/>
      </w:pPr>
      <w:r>
        <w:t>Identify the</w:t>
      </w:r>
      <w:r w:rsidR="00C66F9E">
        <w:t xml:space="preserve"> </w:t>
      </w:r>
      <w:r>
        <w:t xml:space="preserve">nominal capacity </w:t>
      </w:r>
      <w:r w:rsidR="00FB717C">
        <w:t xml:space="preserve">(in MW) </w:t>
      </w:r>
      <w:r>
        <w:t xml:space="preserve">of the </w:t>
      </w:r>
      <w:r w:rsidR="005027C6">
        <w:t xml:space="preserve">respective </w:t>
      </w:r>
      <w:r>
        <w:t>power plant</w:t>
      </w:r>
      <w:r w:rsidR="00E10A96">
        <w:t>/unit</w:t>
      </w:r>
      <w:r>
        <w:t>;</w:t>
      </w:r>
    </w:p>
    <w:p w14:paraId="0D1A8192" w14:textId="00EEA572" w:rsidR="00590FC3" w:rsidRDefault="00066EFC">
      <w:pPr>
        <w:pStyle w:val="SDMSubPara2"/>
      </w:pPr>
      <w:r w:rsidRPr="00066EFC">
        <w:t xml:space="preserve">Multiply the </w:t>
      </w:r>
      <w:r w:rsidR="006A5EE7">
        <w:t xml:space="preserve">nominal </w:t>
      </w:r>
      <w:r w:rsidR="2432E7FB">
        <w:t>capacity</w:t>
      </w:r>
      <w:r w:rsidRPr="00066EFC">
        <w:t xml:space="preserve"> by </w:t>
      </w:r>
      <w:r>
        <w:t>the actual operating hour</w:t>
      </w:r>
      <w:r w:rsidR="00715EE1">
        <w:t>s</w:t>
      </w:r>
      <w:r>
        <w:t xml:space="preserve"> of the power plant or </w:t>
      </w:r>
      <w:r w:rsidR="005F04FB">
        <w:t xml:space="preserve">by </w:t>
      </w:r>
      <w:r w:rsidRPr="00066EFC">
        <w:t>8</w:t>
      </w:r>
      <w:r w:rsidR="41BAB195">
        <w:t xml:space="preserve"> </w:t>
      </w:r>
      <w:r w:rsidRPr="00066EFC">
        <w:t>760 hours/year</w:t>
      </w:r>
      <w:r w:rsidR="0080383A" w:rsidDel="00C2006A">
        <w:t>.</w:t>
      </w:r>
    </w:p>
    <w:p w14:paraId="4CE983DF" w14:textId="30B8FA1B" w:rsidR="00590FC3" w:rsidRDefault="00377A5B" w:rsidP="00C72647">
      <w:pPr>
        <w:pStyle w:val="SDMSubPara1"/>
        <w:keepNext/>
      </w:pPr>
      <w:r>
        <w:t>For e</w:t>
      </w:r>
      <w:r w:rsidR="00590FC3">
        <w:t>lectricity consum</w:t>
      </w:r>
      <w:r w:rsidR="0043422F">
        <w:t>ption</w:t>
      </w:r>
      <w:r w:rsidR="00590FC3">
        <w:t>:</w:t>
      </w:r>
    </w:p>
    <w:p w14:paraId="3574E6F1" w14:textId="22EB76D8" w:rsidR="00590FC3" w:rsidRDefault="00590FC3" w:rsidP="00014EE6">
      <w:pPr>
        <w:pStyle w:val="SDMSubPara2"/>
        <w:numPr>
          <w:ilvl w:val="2"/>
          <w:numId w:val="12"/>
        </w:numPr>
      </w:pPr>
      <w:r>
        <w:t>Identify the</w:t>
      </w:r>
      <w:r w:rsidR="0080383A">
        <w:t xml:space="preserve"> rated power</w:t>
      </w:r>
      <w:r w:rsidR="00DD40D2">
        <w:t xml:space="preserve"> or </w:t>
      </w:r>
      <w:r w:rsidR="00377A5B">
        <w:t>capacity</w:t>
      </w:r>
      <w:r w:rsidR="0080383A">
        <w:t xml:space="preserve"> of</w:t>
      </w:r>
      <w:r w:rsidDel="0080383A">
        <w:t xml:space="preserve"> </w:t>
      </w:r>
      <w:r w:rsidR="00DD40D2">
        <w:t xml:space="preserve">the </w:t>
      </w:r>
      <w:r>
        <w:t xml:space="preserve">electricity consumption </w:t>
      </w:r>
      <w:r w:rsidR="00F81473">
        <w:t>source </w:t>
      </w:r>
      <w:r w:rsidR="00F81473" w:rsidRPr="00563551">
        <w:rPr>
          <w:i/>
          <w:iCs/>
        </w:rPr>
        <w:t>s</w:t>
      </w:r>
      <w:r>
        <w:t>;</w:t>
      </w:r>
      <w:r w:rsidR="002F7B1A">
        <w:t xml:space="preserve"> and</w:t>
      </w:r>
    </w:p>
    <w:p w14:paraId="60CC78BA" w14:textId="52E23A9B" w:rsidR="00590FC3" w:rsidRDefault="00590FC3">
      <w:pPr>
        <w:pStyle w:val="SDMSubPara2"/>
      </w:pPr>
      <w:r>
        <w:t xml:space="preserve">Determine the electricity consumed by the </w:t>
      </w:r>
      <w:r w:rsidR="00184023">
        <w:t xml:space="preserve">electricity consumption </w:t>
      </w:r>
      <w:r w:rsidR="00F81473">
        <w:t>source </w:t>
      </w:r>
      <w:r w:rsidR="00F81473" w:rsidRPr="00563551">
        <w:rPr>
          <w:i/>
          <w:iCs/>
        </w:rPr>
        <w:t>s</w:t>
      </w:r>
      <w:r w:rsidR="00F81473">
        <w:t xml:space="preserve"> </w:t>
      </w:r>
      <w:r>
        <w:t xml:space="preserve">as the product </w:t>
      </w:r>
      <w:r w:rsidR="002F7B1A">
        <w:t xml:space="preserve">of </w:t>
      </w:r>
      <w:r>
        <w:t xml:space="preserve">(i) the </w:t>
      </w:r>
      <w:r w:rsidR="0080383A">
        <w:t xml:space="preserve">rated power </w:t>
      </w:r>
      <w:r w:rsidR="00184023">
        <w:t xml:space="preserve">or capacity </w:t>
      </w:r>
      <w:r w:rsidR="0080383A">
        <w:t>of</w:t>
      </w:r>
      <w:r>
        <w:t xml:space="preserve"> </w:t>
      </w:r>
      <w:r w:rsidR="00184023">
        <w:t xml:space="preserve">the </w:t>
      </w:r>
      <w:r>
        <w:t xml:space="preserve">electricity consumption </w:t>
      </w:r>
      <w:r w:rsidR="00F81473">
        <w:t>source</w:t>
      </w:r>
      <w:r w:rsidR="00DF1701">
        <w:t> </w:t>
      </w:r>
      <w:r w:rsidR="006238C0" w:rsidRPr="006238C0">
        <w:rPr>
          <w:i/>
          <w:iCs/>
        </w:rPr>
        <w:t>s</w:t>
      </w:r>
      <w:r w:rsidR="006238C0">
        <w:t xml:space="preserve"> </w:t>
      </w:r>
      <w:r w:rsidR="00184023">
        <w:t>and</w:t>
      </w:r>
      <w:r>
        <w:t xml:space="preserve"> (ii) </w:t>
      </w:r>
      <w:r w:rsidR="00184023">
        <w:t xml:space="preserve">the </w:t>
      </w:r>
      <w:r w:rsidR="0080383A">
        <w:t>actual operating hour</w:t>
      </w:r>
      <w:r w:rsidR="00184023">
        <w:t>s</w:t>
      </w:r>
      <w:r w:rsidR="0080383A">
        <w:t xml:space="preserve"> of the </w:t>
      </w:r>
      <w:r w:rsidR="00F60DA7">
        <w:t>electricity generation or consumption source </w:t>
      </w:r>
      <w:r w:rsidR="00F60DA7" w:rsidRPr="00563551">
        <w:rPr>
          <w:i/>
          <w:iCs/>
        </w:rPr>
        <w:t>s</w:t>
      </w:r>
      <w:r w:rsidR="00F60DA7">
        <w:t xml:space="preserve"> </w:t>
      </w:r>
      <w:r w:rsidR="0080383A">
        <w:t xml:space="preserve">or </w:t>
      </w:r>
      <w:r w:rsidR="0080383A" w:rsidRPr="00066EFC">
        <w:t>8</w:t>
      </w:r>
      <w:r w:rsidR="00F45F1C">
        <w:t>,</w:t>
      </w:r>
      <w:r w:rsidR="0080383A" w:rsidRPr="00066EFC">
        <w:t>760 hours</w:t>
      </w:r>
      <w:r w:rsidR="005E34F0">
        <w:t xml:space="preserve"> per </w:t>
      </w:r>
      <w:r w:rsidR="0080383A">
        <w:t>year</w:t>
      </w:r>
      <w:r w:rsidR="008E7688">
        <w:t>.</w:t>
      </w:r>
    </w:p>
    <w:p w14:paraId="1F4054DC" w14:textId="1CF65E67" w:rsidR="505598CC" w:rsidRDefault="007D435A">
      <w:pPr>
        <w:pStyle w:val="SDMPara"/>
      </w:pPr>
      <w:bookmarkStart w:id="405" w:name="_Ref215681707"/>
      <w:r>
        <w:t>Where</w:t>
      </w:r>
      <w:r w:rsidR="505598CC" w:rsidDel="002F7B1A">
        <w:t xml:space="preserve"> </w:t>
      </w:r>
      <w:r w:rsidR="002F7B1A" w:rsidRPr="002F7B1A">
        <w:rPr>
          <w:b/>
          <w:bCs/>
        </w:rPr>
        <w:t>case</w:t>
      </w:r>
      <w:r w:rsidR="00126F8A">
        <w:rPr>
          <w:b/>
          <w:bCs/>
        </w:rPr>
        <w:t> </w:t>
      </w:r>
      <w:r w:rsidR="505598CC" w:rsidRPr="002F7B1A">
        <w:rPr>
          <w:b/>
          <w:bCs/>
        </w:rPr>
        <w:t>2</w:t>
      </w:r>
      <w:r>
        <w:t xml:space="preserve"> applies</w:t>
      </w:r>
      <w:r w:rsidR="505598CC">
        <w:t xml:space="preserve">, </w:t>
      </w:r>
      <w:r>
        <w:t xml:space="preserve">activity participants </w:t>
      </w:r>
      <w:r w:rsidR="4CAF6FFA">
        <w:t>shall</w:t>
      </w:r>
      <w:r w:rsidR="00437EFB">
        <w:t xml:space="preserve">, as a simplified </w:t>
      </w:r>
      <w:r w:rsidR="005E39F4">
        <w:t>a</w:t>
      </w:r>
      <w:r w:rsidR="00437EFB">
        <w:t>nd</w:t>
      </w:r>
      <w:r w:rsidR="505598CC">
        <w:t xml:space="preserve"> conservative </w:t>
      </w:r>
      <w:r w:rsidR="00437EFB">
        <w:t xml:space="preserve">approach, apply a </w:t>
      </w:r>
      <w:r w:rsidR="505598CC">
        <w:t xml:space="preserve">value </w:t>
      </w:r>
      <w:r w:rsidR="00184C30">
        <w:rPr>
          <w:rFonts w:hint="eastAsia"/>
          <w:lang w:eastAsia="ja-JP"/>
        </w:rPr>
        <w:t xml:space="preserve">of </w:t>
      </w:r>
      <w:r w:rsidR="505598CC">
        <w:t>zero</w:t>
      </w:r>
      <w:r w:rsidR="00B25B9E">
        <w:t xml:space="preserve"> to the electricity generation or consumption</w:t>
      </w:r>
      <w:r w:rsidR="001645B7">
        <w:t xml:space="preserve"> of the respective </w:t>
      </w:r>
      <w:r w:rsidR="003D7BB4">
        <w:t>source </w:t>
      </w:r>
      <w:r w:rsidR="003D7BB4" w:rsidRPr="00563551">
        <w:rPr>
          <w:i/>
          <w:iCs/>
        </w:rPr>
        <w:t>s</w:t>
      </w:r>
      <w:r w:rsidR="505598CC">
        <w:t>.</w:t>
      </w:r>
      <w:bookmarkEnd w:id="405"/>
    </w:p>
    <w:p w14:paraId="020434DF" w14:textId="072123A1" w:rsidR="00FF70B5" w:rsidRPr="00F50FD8" w:rsidRDefault="00873347">
      <w:pPr>
        <w:pStyle w:val="SDMHead2"/>
      </w:pPr>
      <w:bookmarkStart w:id="406" w:name="_Ref212234563"/>
      <w:bookmarkStart w:id="407" w:name="_Toc212389908"/>
      <w:bookmarkStart w:id="408" w:name="_Toc215208604"/>
      <w:bookmarkStart w:id="409" w:name="_Toc215216123"/>
      <w:bookmarkStart w:id="410" w:name="_Toc215222859"/>
      <w:bookmarkStart w:id="411" w:name="_Toc215223047"/>
      <w:bookmarkStart w:id="412" w:name="_Toc215223269"/>
      <w:bookmarkStart w:id="413" w:name="_Toc215574890"/>
      <w:bookmarkStart w:id="414" w:name="_Toc215923328"/>
      <w:bookmarkStart w:id="415" w:name="_Toc216093024"/>
      <w:bookmarkStart w:id="416" w:name="_Toc216271753"/>
      <w:bookmarkStart w:id="417" w:name="_Toc216279370"/>
      <w:bookmarkStart w:id="418" w:name="_Toc216283408"/>
      <w:bookmarkStart w:id="419" w:name="_Toc216288026"/>
      <w:bookmarkStart w:id="420" w:name="_Toc219666133"/>
      <w:bookmarkStart w:id="421" w:name="_Toc220001393"/>
      <w:bookmarkStart w:id="422" w:name="_Toc221096417"/>
      <w:bookmarkStart w:id="423" w:name="_Toc221097969"/>
      <w:bookmarkStart w:id="424" w:name="_Toc221116265"/>
      <w:bookmarkStart w:id="425" w:name="_Toc221117281"/>
      <w:bookmarkStart w:id="426" w:name="_Toc222132119"/>
      <w:bookmarkStart w:id="427" w:name="_Toc222494920"/>
      <w:bookmarkStart w:id="428" w:name="_Toc222512436"/>
      <w:bookmarkStart w:id="429" w:name="_Toc222741756"/>
      <w:r w:rsidRPr="00F50FD8">
        <w:t>Step</w:t>
      </w:r>
      <w:r w:rsidR="00071748">
        <w:t> </w:t>
      </w:r>
      <w:r w:rsidRPr="00F50FD8">
        <w:t xml:space="preserve">6. </w:t>
      </w:r>
      <w:r w:rsidR="003311E7" w:rsidRPr="00F50FD8">
        <w:t>Determine which emission factor is applicable</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766D0448" w14:textId="37C8E5EF" w:rsidR="00D9679E" w:rsidRDefault="00D9679E">
      <w:pPr>
        <w:pStyle w:val="SDMPara"/>
      </w:pPr>
      <w:bookmarkStart w:id="430" w:name="_Ref220669597"/>
      <w:r w:rsidRPr="00D9679E">
        <w:t xml:space="preserve">The determination of the emission factor for an electricity generation or consumption </w:t>
      </w:r>
      <w:r w:rsidR="002E5D63">
        <w:t>source </w:t>
      </w:r>
      <w:r w:rsidR="002E5D63" w:rsidRPr="00563551">
        <w:rPr>
          <w:i/>
          <w:iCs/>
        </w:rPr>
        <w:t>s</w:t>
      </w:r>
      <w:r w:rsidR="002E5D63">
        <w:t xml:space="preserve"> </w:t>
      </w:r>
      <w:r w:rsidRPr="00D9679E">
        <w:t xml:space="preserve">depends on </w:t>
      </w:r>
      <w:r w:rsidR="00BC7312">
        <w:t xml:space="preserve">which of </w:t>
      </w:r>
      <w:r w:rsidRPr="00D9679E">
        <w:t xml:space="preserve">the </w:t>
      </w:r>
      <w:r w:rsidR="00E76C72">
        <w:rPr>
          <w:rFonts w:hint="eastAsia"/>
          <w:lang w:eastAsia="ja-JP"/>
        </w:rPr>
        <w:t xml:space="preserve">three </w:t>
      </w:r>
      <w:r w:rsidR="00D27A88" w:rsidRPr="00D27A88">
        <w:rPr>
          <w:b/>
          <w:bCs/>
        </w:rPr>
        <w:t>scenarios</w:t>
      </w:r>
      <w:r w:rsidR="00D27A88">
        <w:t xml:space="preserve"> </w:t>
      </w:r>
      <w:r w:rsidR="00BC7312">
        <w:t>(</w:t>
      </w:r>
      <w:r w:rsidR="00BC7312" w:rsidRPr="00D27A88">
        <w:rPr>
          <w:b/>
          <w:bCs/>
        </w:rPr>
        <w:t>A</w:t>
      </w:r>
      <w:r w:rsidR="00BC7312">
        <w:t xml:space="preserve">, </w:t>
      </w:r>
      <w:r w:rsidR="00BC7312" w:rsidRPr="00D27A88">
        <w:rPr>
          <w:b/>
          <w:bCs/>
        </w:rPr>
        <w:t>B</w:t>
      </w:r>
      <w:r w:rsidR="00D27A88">
        <w:t>,</w:t>
      </w:r>
      <w:r w:rsidR="00BC7312">
        <w:t xml:space="preserve"> or </w:t>
      </w:r>
      <w:r w:rsidR="00BC7312" w:rsidRPr="00D27A88">
        <w:rPr>
          <w:b/>
          <w:bCs/>
        </w:rPr>
        <w:t>C</w:t>
      </w:r>
      <w:r w:rsidR="00BC7312">
        <w:t>) and which of the two</w:t>
      </w:r>
      <w:r w:rsidRPr="00D9679E">
        <w:t xml:space="preserve"> </w:t>
      </w:r>
      <w:r w:rsidR="00D27A88">
        <w:rPr>
          <w:lang w:eastAsia="ja-JP"/>
        </w:rPr>
        <w:t>c</w:t>
      </w:r>
      <w:r w:rsidR="00D27A88">
        <w:t xml:space="preserve">ases </w:t>
      </w:r>
      <w:r w:rsidR="007B70AB">
        <w:t>(</w:t>
      </w:r>
      <w:r w:rsidR="00D27A88" w:rsidRPr="00D27A88">
        <w:rPr>
          <w:b/>
          <w:bCs/>
        </w:rPr>
        <w:t>case</w:t>
      </w:r>
      <w:r w:rsidR="00126F8A">
        <w:rPr>
          <w:b/>
          <w:bCs/>
        </w:rPr>
        <w:t> </w:t>
      </w:r>
      <w:r w:rsidR="007B70AB" w:rsidRPr="00D27A88">
        <w:rPr>
          <w:b/>
          <w:bCs/>
        </w:rPr>
        <w:t>1</w:t>
      </w:r>
      <w:r w:rsidR="007B70AB">
        <w:t xml:space="preserve"> or </w:t>
      </w:r>
      <w:r w:rsidR="00D27A88" w:rsidRPr="00D27A88">
        <w:rPr>
          <w:b/>
          <w:bCs/>
        </w:rPr>
        <w:t>case</w:t>
      </w:r>
      <w:r w:rsidR="00126F8A">
        <w:rPr>
          <w:b/>
          <w:bCs/>
        </w:rPr>
        <w:t> </w:t>
      </w:r>
      <w:r w:rsidR="007B70AB" w:rsidRPr="00D27A88">
        <w:rPr>
          <w:b/>
          <w:bCs/>
        </w:rPr>
        <w:t>2</w:t>
      </w:r>
      <w:r w:rsidR="007B70AB">
        <w:t>)</w:t>
      </w:r>
      <w:r w:rsidR="00AC4269" w:rsidDel="000816C7">
        <w:t xml:space="preserve"> </w:t>
      </w:r>
      <w:r w:rsidRPr="00D9679E">
        <w:t>appl</w:t>
      </w:r>
      <w:r w:rsidR="007B70AB">
        <w:t xml:space="preserve">y </w:t>
      </w:r>
      <w:r w:rsidR="004B235B">
        <w:t xml:space="preserve">to </w:t>
      </w:r>
      <w:r w:rsidR="007B70AB">
        <w:t xml:space="preserve">that </w:t>
      </w:r>
      <w:r w:rsidR="00605200">
        <w:t>source</w:t>
      </w:r>
      <w:r w:rsidR="00AC4269">
        <w:t>.</w:t>
      </w:r>
      <w:bookmarkEnd w:id="430"/>
    </w:p>
    <w:p w14:paraId="4F4A43FB" w14:textId="5E88954B" w:rsidR="00FF70B5" w:rsidRDefault="00C34F2F">
      <w:pPr>
        <w:pStyle w:val="SDMPara"/>
      </w:pPr>
      <w:r>
        <w:t>Where</w:t>
      </w:r>
      <w:r w:rsidR="00786CC7" w:rsidRPr="00786CC7" w:rsidDel="004B235B">
        <w:t xml:space="preserve"> </w:t>
      </w:r>
      <w:r w:rsidR="004B235B">
        <w:rPr>
          <w:b/>
          <w:bCs/>
        </w:rPr>
        <w:t>s</w:t>
      </w:r>
      <w:r w:rsidR="004B235B" w:rsidRPr="002E5D63">
        <w:rPr>
          <w:b/>
          <w:bCs/>
        </w:rPr>
        <w:t>cenario</w:t>
      </w:r>
      <w:r w:rsidR="00126F8A">
        <w:rPr>
          <w:b/>
          <w:bCs/>
        </w:rPr>
        <w:t> </w:t>
      </w:r>
      <w:r w:rsidR="00786CC7" w:rsidRPr="002E5D63">
        <w:rPr>
          <w:b/>
          <w:bCs/>
        </w:rPr>
        <w:t>A</w:t>
      </w:r>
      <w:r>
        <w:t xml:space="preserve"> applies</w:t>
      </w:r>
      <w:r w:rsidR="00786CC7" w:rsidRPr="00786CC7">
        <w:t xml:space="preserve">, the emission factor shall be determined as the emission factor of the </w:t>
      </w:r>
      <w:r w:rsidR="00A408BB">
        <w:t>electric</w:t>
      </w:r>
      <w:r w:rsidR="00621FC7">
        <w:t>ity</w:t>
      </w:r>
      <w:r w:rsidR="00A408BB">
        <w:t xml:space="preserve"> system</w:t>
      </w:r>
      <w:r w:rsidR="00A408BB" w:rsidRPr="00786CC7">
        <w:t xml:space="preserve"> </w:t>
      </w:r>
      <w:r w:rsidR="00786CC7" w:rsidRPr="00786CC7">
        <w:t xml:space="preserve">to which the </w:t>
      </w:r>
      <w:r w:rsidR="00E914B3">
        <w:t xml:space="preserve">Article 6.4 </w:t>
      </w:r>
      <w:r w:rsidR="00786CC7" w:rsidRPr="00462BF9">
        <w:t xml:space="preserve">activity is connected, </w:t>
      </w:r>
      <w:r w:rsidR="4D31C084" w:rsidRPr="00462BF9">
        <w:t xml:space="preserve">under </w:t>
      </w:r>
      <w:r w:rsidR="00514ECD" w:rsidRPr="00514ECD">
        <w:rPr>
          <w:b/>
          <w:bCs/>
        </w:rPr>
        <w:t>case</w:t>
      </w:r>
      <w:r w:rsidR="00FD77F5">
        <w:rPr>
          <w:b/>
          <w:bCs/>
        </w:rPr>
        <w:t> </w:t>
      </w:r>
      <w:r w:rsidR="4D31C084" w:rsidRPr="00514ECD">
        <w:rPr>
          <w:b/>
          <w:bCs/>
        </w:rPr>
        <w:t>1</w:t>
      </w:r>
      <w:r w:rsidR="4D31C084" w:rsidRPr="00462BF9">
        <w:t xml:space="preserve"> and</w:t>
      </w:r>
      <w:r w:rsidR="4D31C084" w:rsidRPr="00462BF9" w:rsidDel="00514ECD">
        <w:t xml:space="preserve"> </w:t>
      </w:r>
      <w:r w:rsidR="00514ECD" w:rsidRPr="00514ECD">
        <w:rPr>
          <w:b/>
          <w:bCs/>
        </w:rPr>
        <w:t>case</w:t>
      </w:r>
      <w:r w:rsidR="00FD77F5">
        <w:rPr>
          <w:b/>
          <w:bCs/>
        </w:rPr>
        <w:t> </w:t>
      </w:r>
      <w:r w:rsidR="4D31C084" w:rsidRPr="00514ECD">
        <w:rPr>
          <w:b/>
          <w:bCs/>
        </w:rPr>
        <w:t>2</w:t>
      </w:r>
      <w:r w:rsidR="00514ECD">
        <w:t>,</w:t>
      </w:r>
      <w:r w:rsidR="4D31C084" w:rsidRPr="00462BF9">
        <w:t xml:space="preserve"> respectively, </w:t>
      </w:r>
      <w:r w:rsidR="00786CC7" w:rsidRPr="00462BF9">
        <w:t xml:space="preserve">applying the </w:t>
      </w:r>
      <w:r w:rsidR="00125A1B" w:rsidRPr="00462BF9">
        <w:t>procedure set out in section</w:t>
      </w:r>
      <w:r w:rsidR="00126F8A">
        <w:t> </w:t>
      </w:r>
      <w:r w:rsidR="00E766B9">
        <w:fldChar w:fldCharType="begin"/>
      </w:r>
      <w:r w:rsidR="00E766B9">
        <w:instrText xml:space="preserve"> REF _Ref215680223 \w \h </w:instrText>
      </w:r>
      <w:r w:rsidR="00E766B9">
        <w:fldChar w:fldCharType="separate"/>
      </w:r>
      <w:r w:rsidR="00D811A8">
        <w:rPr>
          <w:cs/>
        </w:rPr>
        <w:t>‎</w:t>
      </w:r>
      <w:r w:rsidR="00D811A8">
        <w:t>5.7</w:t>
      </w:r>
      <w:r w:rsidR="00E766B9">
        <w:fldChar w:fldCharType="end"/>
      </w:r>
      <w:r w:rsidR="00F93AAC">
        <w:t>.</w:t>
      </w:r>
    </w:p>
    <w:p w14:paraId="6F1ECE78" w14:textId="41AEE7B2" w:rsidR="004F5170" w:rsidRDefault="00C34F2F">
      <w:pPr>
        <w:pStyle w:val="SDMPara"/>
      </w:pPr>
      <w:r>
        <w:t>Where</w:t>
      </w:r>
      <w:r w:rsidR="004F5170" w:rsidDel="00514ECD">
        <w:t xml:space="preserve"> </w:t>
      </w:r>
      <w:r w:rsidR="00514ECD">
        <w:rPr>
          <w:b/>
          <w:bCs/>
        </w:rPr>
        <w:t>s</w:t>
      </w:r>
      <w:r w:rsidR="00514ECD" w:rsidRPr="00697054">
        <w:rPr>
          <w:b/>
          <w:bCs/>
        </w:rPr>
        <w:t>cenario</w:t>
      </w:r>
      <w:r w:rsidR="00126F8A">
        <w:rPr>
          <w:b/>
          <w:bCs/>
        </w:rPr>
        <w:t> </w:t>
      </w:r>
      <w:r w:rsidR="004F5170" w:rsidRPr="00697054">
        <w:rPr>
          <w:b/>
          <w:bCs/>
        </w:rPr>
        <w:t>B</w:t>
      </w:r>
      <w:r>
        <w:t xml:space="preserve"> applies</w:t>
      </w:r>
      <w:r w:rsidR="004F5170">
        <w:t xml:space="preserve">, the emission factor shall be determined as the emission factor of </w:t>
      </w:r>
      <w:r w:rsidR="520C0141">
        <w:t>the</w:t>
      </w:r>
      <w:r w:rsidR="18D184B5">
        <w:t xml:space="preserve"> </w:t>
      </w:r>
      <w:r w:rsidR="00650F9D">
        <w:t>fossil</w:t>
      </w:r>
      <w:r w:rsidR="00B60A81">
        <w:t xml:space="preserve"> </w:t>
      </w:r>
      <w:r w:rsidR="00650F9D">
        <w:t xml:space="preserve">fuel fired </w:t>
      </w:r>
      <w:r w:rsidR="004F5170">
        <w:t>captive power plant</w:t>
      </w:r>
      <w:r w:rsidR="00650F9D">
        <w:t>(s)</w:t>
      </w:r>
      <w:r w:rsidR="435875D6">
        <w:t xml:space="preserve">, under </w:t>
      </w:r>
      <w:r w:rsidR="00514ECD" w:rsidRPr="00426C6E">
        <w:rPr>
          <w:b/>
          <w:bCs/>
        </w:rPr>
        <w:t>case</w:t>
      </w:r>
      <w:r w:rsidR="00126F8A">
        <w:rPr>
          <w:b/>
          <w:bCs/>
        </w:rPr>
        <w:t> </w:t>
      </w:r>
      <w:r w:rsidR="435875D6" w:rsidRPr="00426C6E">
        <w:rPr>
          <w:b/>
          <w:bCs/>
        </w:rPr>
        <w:t>1</w:t>
      </w:r>
      <w:r w:rsidR="435875D6">
        <w:t xml:space="preserve"> and </w:t>
      </w:r>
      <w:r w:rsidR="00514ECD" w:rsidRPr="00426C6E">
        <w:rPr>
          <w:b/>
          <w:bCs/>
        </w:rPr>
        <w:t>case</w:t>
      </w:r>
      <w:r w:rsidR="00126F8A">
        <w:rPr>
          <w:b/>
          <w:bCs/>
        </w:rPr>
        <w:t> </w:t>
      </w:r>
      <w:r w:rsidR="435875D6" w:rsidRPr="00426C6E">
        <w:rPr>
          <w:b/>
          <w:bCs/>
        </w:rPr>
        <w:t>2</w:t>
      </w:r>
      <w:r w:rsidR="00426C6E">
        <w:t>,</w:t>
      </w:r>
      <w:r w:rsidR="435875D6">
        <w:t xml:space="preserve"> respectively</w:t>
      </w:r>
      <w:r w:rsidR="004F5170">
        <w:t xml:space="preserve">, applying the </w:t>
      </w:r>
      <w:r w:rsidR="00A06FB5">
        <w:t xml:space="preserve">procedure set out </w:t>
      </w:r>
      <w:r w:rsidR="004F5170">
        <w:t>in</w:t>
      </w:r>
      <w:r w:rsidR="00A06FB5">
        <w:t xml:space="preserve"> section</w:t>
      </w:r>
      <w:r w:rsidR="00FC67B1">
        <w:t xml:space="preserve"> </w:t>
      </w:r>
      <w:r w:rsidR="005D2CE8">
        <w:fldChar w:fldCharType="begin"/>
      </w:r>
      <w:r w:rsidR="005D2CE8">
        <w:instrText xml:space="preserve"> REF _Ref215680292 \w \h </w:instrText>
      </w:r>
      <w:r w:rsidR="005D2CE8">
        <w:fldChar w:fldCharType="separate"/>
      </w:r>
      <w:r w:rsidR="00D811A8">
        <w:rPr>
          <w:cs/>
        </w:rPr>
        <w:t>‎</w:t>
      </w:r>
      <w:r w:rsidR="00D811A8">
        <w:t>5.8</w:t>
      </w:r>
      <w:r w:rsidR="005D2CE8">
        <w:fldChar w:fldCharType="end"/>
      </w:r>
      <w:r w:rsidR="004F5170">
        <w:t>.</w:t>
      </w:r>
    </w:p>
    <w:p w14:paraId="18C714DB" w14:textId="6610E71D" w:rsidR="00F74E46" w:rsidRDefault="00C34F2F" w:rsidP="00C72647">
      <w:pPr>
        <w:pStyle w:val="SDMPara"/>
        <w:keepNext/>
      </w:pPr>
      <w:r>
        <w:t>Where</w:t>
      </w:r>
      <w:r w:rsidR="004F5170" w:rsidDel="00426C6E">
        <w:t xml:space="preserve"> </w:t>
      </w:r>
      <w:r w:rsidR="00426C6E">
        <w:rPr>
          <w:b/>
          <w:bCs/>
        </w:rPr>
        <w:t>s</w:t>
      </w:r>
      <w:r w:rsidR="00426C6E" w:rsidRPr="00697054">
        <w:rPr>
          <w:b/>
          <w:bCs/>
        </w:rPr>
        <w:t>cenario</w:t>
      </w:r>
      <w:r w:rsidR="00126F8A">
        <w:rPr>
          <w:b/>
          <w:bCs/>
        </w:rPr>
        <w:t> </w:t>
      </w:r>
      <w:r w:rsidR="004F5170" w:rsidRPr="00697054">
        <w:rPr>
          <w:b/>
          <w:bCs/>
        </w:rPr>
        <w:t>C</w:t>
      </w:r>
      <w:r>
        <w:t xml:space="preserve"> applies</w:t>
      </w:r>
      <w:r w:rsidR="004F5170">
        <w:t>, the emission factor shall</w:t>
      </w:r>
      <w:r w:rsidR="5395488A">
        <w:t xml:space="preserve"> be </w:t>
      </w:r>
      <w:r w:rsidR="268B5AB9">
        <w:t>determine</w:t>
      </w:r>
      <w:r w:rsidR="037B6637">
        <w:t>d</w:t>
      </w:r>
      <w:r w:rsidR="268B5AB9">
        <w:t xml:space="preserve"> </w:t>
      </w:r>
      <w:r w:rsidR="5395488A">
        <w:t>by</w:t>
      </w:r>
      <w:r w:rsidR="00F74E46">
        <w:t>:</w:t>
      </w:r>
    </w:p>
    <w:p w14:paraId="63E1CFA2" w14:textId="638F2859" w:rsidR="00F74E46" w:rsidRDefault="00FA1C58">
      <w:pPr>
        <w:pStyle w:val="SDMSubPara1"/>
      </w:pPr>
      <w:r>
        <w:rPr>
          <w:lang w:eastAsia="ja-JP"/>
        </w:rPr>
        <w:t>A</w:t>
      </w:r>
      <w:r w:rsidR="38A38C1D">
        <w:t xml:space="preserve">pplying the </w:t>
      </w:r>
      <w:r w:rsidR="00892E0C">
        <w:t>respective</w:t>
      </w:r>
      <w:r w:rsidR="38A38C1D">
        <w:t xml:space="preserve"> emission factor</w:t>
      </w:r>
      <w:r w:rsidR="1FE9D61F">
        <w:t xml:space="preserve"> </w:t>
      </w:r>
      <w:r w:rsidR="2DB69133">
        <w:t>for</w:t>
      </w:r>
      <w:r w:rsidR="1FE9D61F">
        <w:t xml:space="preserve"> </w:t>
      </w:r>
      <w:r w:rsidR="00982A6C" w:rsidRPr="00982A6C">
        <w:rPr>
          <w:b/>
          <w:bCs/>
        </w:rPr>
        <w:t>scenario</w:t>
      </w:r>
      <w:r w:rsidR="004B2417">
        <w:rPr>
          <w:b/>
          <w:bCs/>
        </w:rPr>
        <w:t> </w:t>
      </w:r>
      <w:r w:rsidR="38A38C1D" w:rsidRPr="00982A6C">
        <w:rPr>
          <w:b/>
          <w:bCs/>
        </w:rPr>
        <w:t>A</w:t>
      </w:r>
      <w:r w:rsidR="38A38C1D">
        <w:t xml:space="preserve"> </w:t>
      </w:r>
      <w:r w:rsidR="00A07C7D">
        <w:t xml:space="preserve">and </w:t>
      </w:r>
      <w:r w:rsidR="00982A6C" w:rsidRPr="00982A6C">
        <w:rPr>
          <w:b/>
          <w:bCs/>
        </w:rPr>
        <w:t>scenario</w:t>
      </w:r>
      <w:r w:rsidR="004B2417">
        <w:rPr>
          <w:b/>
          <w:bCs/>
        </w:rPr>
        <w:t> </w:t>
      </w:r>
      <w:r w:rsidR="38A38C1D" w:rsidRPr="00982A6C">
        <w:rPr>
          <w:b/>
          <w:bCs/>
        </w:rPr>
        <w:t>B</w:t>
      </w:r>
      <w:r w:rsidR="38A38C1D">
        <w:t xml:space="preserve"> </w:t>
      </w:r>
      <w:r w:rsidR="31BFF441">
        <w:t>separately</w:t>
      </w:r>
      <w:r w:rsidR="00982A6C">
        <w:t>,</w:t>
      </w:r>
      <w:r w:rsidR="6F61DA37">
        <w:t xml:space="preserve"> </w:t>
      </w:r>
      <w:r w:rsidR="00BC3ED5">
        <w:t xml:space="preserve">where </w:t>
      </w:r>
      <w:r w:rsidR="6F61DA37">
        <w:t xml:space="preserve">the </w:t>
      </w:r>
      <w:r>
        <w:t xml:space="preserve">amount of </w:t>
      </w:r>
      <w:r w:rsidR="6F61DA37">
        <w:t xml:space="preserve">electricity </w:t>
      </w:r>
      <w:r w:rsidR="002A58E6">
        <w:t xml:space="preserve">generated </w:t>
      </w:r>
      <w:r w:rsidR="00061C7A">
        <w:t>and/</w:t>
      </w:r>
      <w:r w:rsidR="002A58E6">
        <w:t xml:space="preserve">or </w:t>
      </w:r>
      <w:r>
        <w:t xml:space="preserve">consumed under </w:t>
      </w:r>
      <w:r w:rsidR="5F202450">
        <w:t>each scenario</w:t>
      </w:r>
      <w:r w:rsidR="6F61DA37">
        <w:t xml:space="preserve"> is </w:t>
      </w:r>
      <w:r w:rsidR="68F91DC1">
        <w:t>available</w:t>
      </w:r>
      <w:r w:rsidR="00892E0C">
        <w:t xml:space="preserve"> (i.e.</w:t>
      </w:r>
      <w:r w:rsidR="00160C36">
        <w:t>,</w:t>
      </w:r>
      <w:r w:rsidR="00892E0C">
        <w:t xml:space="preserve"> apply</w:t>
      </w:r>
      <w:r w:rsidR="00BC3ED5">
        <w:t>ing</w:t>
      </w:r>
      <w:r w:rsidR="00892E0C">
        <w:t xml:space="preserve"> the emission factor </w:t>
      </w:r>
      <w:r w:rsidR="00C47342">
        <w:t xml:space="preserve">of </w:t>
      </w:r>
      <w:r w:rsidR="00892E0C">
        <w:t xml:space="preserve">the electricity system to the amount identified for </w:t>
      </w:r>
      <w:r w:rsidR="00C47342">
        <w:t>scenario</w:t>
      </w:r>
      <w:r w:rsidR="004B2417">
        <w:t> </w:t>
      </w:r>
      <w:r w:rsidR="00DC5219">
        <w:t>A</w:t>
      </w:r>
      <w:r w:rsidR="0036436F">
        <w:t xml:space="preserve"> </w:t>
      </w:r>
      <w:r w:rsidR="00892E0C">
        <w:t>and apply</w:t>
      </w:r>
      <w:r w:rsidR="00C47342">
        <w:t>ing</w:t>
      </w:r>
      <w:r w:rsidR="00892E0C">
        <w:t xml:space="preserve"> the emission factor </w:t>
      </w:r>
      <w:r w:rsidR="00BD0FD7">
        <w:t xml:space="preserve">of the </w:t>
      </w:r>
      <w:r w:rsidR="41C27BD4">
        <w:t xml:space="preserve">fossil-fuel fired </w:t>
      </w:r>
      <w:r w:rsidR="343A4B52">
        <w:t>captive power plant(s)</w:t>
      </w:r>
      <w:r w:rsidR="00F637E8">
        <w:t xml:space="preserve"> to the amount identified for </w:t>
      </w:r>
      <w:r w:rsidR="000E342D" w:rsidRPr="000E342D">
        <w:rPr>
          <w:b/>
          <w:bCs/>
        </w:rPr>
        <w:t>scenario</w:t>
      </w:r>
      <w:r w:rsidR="004B2417">
        <w:rPr>
          <w:b/>
          <w:bCs/>
        </w:rPr>
        <w:t> </w:t>
      </w:r>
      <w:r w:rsidR="00F637E8" w:rsidRPr="000E342D">
        <w:rPr>
          <w:b/>
          <w:bCs/>
        </w:rPr>
        <w:t>B</w:t>
      </w:r>
      <w:r w:rsidR="00F637E8">
        <w:t>)</w:t>
      </w:r>
      <w:r w:rsidR="343A4B52">
        <w:t>;</w:t>
      </w:r>
      <w:r w:rsidR="00C75CB7">
        <w:t xml:space="preserve"> or</w:t>
      </w:r>
    </w:p>
    <w:p w14:paraId="17601D50" w14:textId="6FC53466" w:rsidR="00F74E46" w:rsidRDefault="60D0762E" w:rsidP="00C72647">
      <w:pPr>
        <w:pStyle w:val="SDMSubPara1"/>
        <w:keepNext/>
      </w:pPr>
      <w:r>
        <w:t>Applying a conservative approach</w:t>
      </w:r>
      <w:r w:rsidR="00F308DE">
        <w:t>,</w:t>
      </w:r>
      <w:r w:rsidR="0A43E9C0">
        <w:t xml:space="preserve"> as</w:t>
      </w:r>
      <w:r w:rsidR="00DD037B" w:rsidRPr="5D9E5CF7">
        <w:rPr>
          <w:lang w:eastAsia="ja-JP"/>
        </w:rPr>
        <w:t xml:space="preserve"> follows</w:t>
      </w:r>
      <w:r w:rsidR="00F74E46">
        <w:t>:</w:t>
      </w:r>
    </w:p>
    <w:p w14:paraId="38E3F7D0" w14:textId="61DED4F5" w:rsidR="00816DBA" w:rsidRDefault="00816DBA">
      <w:pPr>
        <w:pStyle w:val="SDMSubPara2"/>
      </w:pPr>
      <w:r>
        <w:t xml:space="preserve">For </w:t>
      </w:r>
      <w:r w:rsidR="00F308DE" w:rsidRPr="00F308DE">
        <w:rPr>
          <w:b/>
          <w:bCs/>
        </w:rPr>
        <w:t>case</w:t>
      </w:r>
      <w:r w:rsidR="00F85355">
        <w:rPr>
          <w:b/>
          <w:bCs/>
        </w:rPr>
        <w:t> </w:t>
      </w:r>
      <w:r w:rsidRPr="00F308DE">
        <w:rPr>
          <w:b/>
          <w:bCs/>
        </w:rPr>
        <w:t>1</w:t>
      </w:r>
      <w:r>
        <w:t>,</w:t>
      </w:r>
      <w:r w:rsidDel="00F308DE">
        <w:t xml:space="preserve"> </w:t>
      </w:r>
      <w:r w:rsidR="00F308DE">
        <w:t xml:space="preserve">using </w:t>
      </w:r>
      <w:r>
        <w:t xml:space="preserve">the </w:t>
      </w:r>
      <w:r w:rsidR="00CA6DF0">
        <w:t xml:space="preserve">higher </w:t>
      </w:r>
      <w:r w:rsidR="009C5C78">
        <w:t xml:space="preserve">value </w:t>
      </w:r>
      <w:r>
        <w:t xml:space="preserve">between </w:t>
      </w:r>
      <w:r w:rsidR="00C05BA1">
        <w:t xml:space="preserve">the </w:t>
      </w:r>
      <w:r>
        <w:t xml:space="preserve">emission factor of the electricity system and the </w:t>
      </w:r>
      <w:r w:rsidR="009C5C78">
        <w:t xml:space="preserve">emission factor of the </w:t>
      </w:r>
      <w:r w:rsidR="00D823CF">
        <w:t>fossil</w:t>
      </w:r>
      <w:r w:rsidR="00B60A81">
        <w:t xml:space="preserve"> </w:t>
      </w:r>
      <w:r w:rsidR="00D823CF">
        <w:t xml:space="preserve">fuel fired </w:t>
      </w:r>
      <w:r>
        <w:t>captive power plant</w:t>
      </w:r>
      <w:r w:rsidR="008124EC">
        <w:t>(s)</w:t>
      </w:r>
      <w:r>
        <w:t>;</w:t>
      </w:r>
      <w:r w:rsidR="00395CB1">
        <w:t xml:space="preserve"> </w:t>
      </w:r>
      <w:r w:rsidR="00E85F5E">
        <w:t>and</w:t>
      </w:r>
    </w:p>
    <w:p w14:paraId="1CA6AA00" w14:textId="0A45C4F3" w:rsidR="00737BEA" w:rsidRDefault="00816DBA">
      <w:pPr>
        <w:pStyle w:val="SDMSubPara2"/>
      </w:pPr>
      <w:r>
        <w:t xml:space="preserve">For </w:t>
      </w:r>
      <w:r w:rsidR="009341C8" w:rsidRPr="00C05036">
        <w:rPr>
          <w:b/>
          <w:bCs/>
        </w:rPr>
        <w:t>case</w:t>
      </w:r>
      <w:r w:rsidR="00F85355">
        <w:rPr>
          <w:b/>
          <w:bCs/>
        </w:rPr>
        <w:t> </w:t>
      </w:r>
      <w:r w:rsidRPr="00C05036">
        <w:rPr>
          <w:b/>
          <w:bCs/>
        </w:rPr>
        <w:t>2</w:t>
      </w:r>
      <w:r>
        <w:t>,</w:t>
      </w:r>
      <w:r w:rsidDel="000139B7">
        <w:t xml:space="preserve"> </w:t>
      </w:r>
      <w:r w:rsidR="000139B7">
        <w:t xml:space="preserve">using </w:t>
      </w:r>
      <w:r>
        <w:t xml:space="preserve">the </w:t>
      </w:r>
      <w:r w:rsidR="000328B1">
        <w:t xml:space="preserve">lower value </w:t>
      </w:r>
      <w:r>
        <w:t xml:space="preserve">between </w:t>
      </w:r>
      <w:r w:rsidR="00892E0C">
        <w:t xml:space="preserve">the </w:t>
      </w:r>
      <w:r>
        <w:t xml:space="preserve">emission factor of the electricity system and the </w:t>
      </w:r>
      <w:r w:rsidR="000328B1">
        <w:t xml:space="preserve">emission factor of the </w:t>
      </w:r>
      <w:r w:rsidR="00D823CF">
        <w:t>fossil</w:t>
      </w:r>
      <w:r w:rsidR="00B60A81">
        <w:t xml:space="preserve"> </w:t>
      </w:r>
      <w:r w:rsidR="00D823CF">
        <w:t xml:space="preserve">fuel fired </w:t>
      </w:r>
      <w:r>
        <w:t>captive power plant</w:t>
      </w:r>
      <w:r w:rsidR="008124EC">
        <w:t>(s)</w:t>
      </w:r>
      <w:r>
        <w:t>.</w:t>
      </w:r>
    </w:p>
    <w:p w14:paraId="40D487C2" w14:textId="1B9D78F5" w:rsidR="00737BEA" w:rsidRDefault="008C516C">
      <w:pPr>
        <w:pStyle w:val="SDMHead2"/>
      </w:pPr>
      <w:bookmarkStart w:id="431" w:name="_Toc212389909"/>
      <w:bookmarkStart w:id="432" w:name="_Ref215151864"/>
      <w:bookmarkStart w:id="433" w:name="_Toc215208605"/>
      <w:bookmarkStart w:id="434" w:name="_Toc215216124"/>
      <w:bookmarkStart w:id="435" w:name="_Toc215222860"/>
      <w:bookmarkStart w:id="436" w:name="_Toc215223048"/>
      <w:bookmarkStart w:id="437" w:name="_Toc215223270"/>
      <w:bookmarkStart w:id="438" w:name="_Toc215574891"/>
      <w:bookmarkStart w:id="439" w:name="_Ref215680223"/>
      <w:bookmarkStart w:id="440" w:name="_Toc215923329"/>
      <w:bookmarkStart w:id="441" w:name="_Toc216093025"/>
      <w:bookmarkStart w:id="442" w:name="_Toc216271754"/>
      <w:bookmarkStart w:id="443" w:name="_Toc216279371"/>
      <w:bookmarkStart w:id="444" w:name="_Toc216283409"/>
      <w:bookmarkStart w:id="445" w:name="_Toc216288027"/>
      <w:bookmarkStart w:id="446" w:name="_Toc219666134"/>
      <w:bookmarkStart w:id="447" w:name="_Toc220001394"/>
      <w:bookmarkStart w:id="448" w:name="_Toc221096418"/>
      <w:bookmarkStart w:id="449" w:name="_Toc221097970"/>
      <w:bookmarkStart w:id="450" w:name="_Toc221116266"/>
      <w:bookmarkStart w:id="451" w:name="_Toc221117282"/>
      <w:bookmarkStart w:id="452" w:name="_Toc222132120"/>
      <w:bookmarkStart w:id="453" w:name="_Toc222494921"/>
      <w:bookmarkStart w:id="454" w:name="_Toc222512437"/>
      <w:bookmarkStart w:id="455" w:name="_Toc222741757"/>
      <w:r>
        <w:t>Step</w:t>
      </w:r>
      <w:r w:rsidR="00071748">
        <w:t> </w:t>
      </w:r>
      <w:r>
        <w:t>7</w:t>
      </w:r>
      <w:r w:rsidR="008D3DDF">
        <w:t>:</w:t>
      </w:r>
      <w:r>
        <w:t xml:space="preserve"> </w:t>
      </w:r>
      <w:r w:rsidR="00D260B3">
        <w:t>Determine</w:t>
      </w:r>
      <w:r w:rsidR="009B674E">
        <w:t xml:space="preserve"> the emission factor of the</w:t>
      </w:r>
      <w:r w:rsidR="009B674E" w:rsidDel="009B186D">
        <w:t xml:space="preserve"> </w:t>
      </w:r>
      <w:bookmarkEnd w:id="431"/>
      <w:r w:rsidR="009B186D">
        <w:t>electricity system</w:t>
      </w:r>
      <w:bookmarkEnd w:id="432"/>
      <w:bookmarkEnd w:id="433"/>
      <w:bookmarkEnd w:id="434"/>
      <w:bookmarkEnd w:id="435"/>
      <w:bookmarkEnd w:id="436"/>
      <w:bookmarkEnd w:id="437"/>
      <w:bookmarkEnd w:id="438"/>
      <w:r w:rsidR="008D3DDF">
        <w:t xml:space="preserve">, </w:t>
      </w:r>
      <w:r w:rsidR="008D3DDF" w:rsidRPr="00BF0A6D">
        <w:t>where applicable</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14:paraId="47C933DD" w14:textId="16D37D34" w:rsidR="00F74E46" w:rsidRDefault="005E4881">
      <w:pPr>
        <w:pStyle w:val="SDMPara"/>
      </w:pPr>
      <w:r w:rsidRPr="00BF0A6D">
        <w:t xml:space="preserve">This step is applicable </w:t>
      </w:r>
      <w:r w:rsidR="00246801">
        <w:t>where</w:t>
      </w:r>
      <w:r w:rsidR="00246801" w:rsidRPr="00BF0A6D">
        <w:t xml:space="preserve"> </w:t>
      </w:r>
      <w:r w:rsidR="00246801" w:rsidRPr="00246801">
        <w:rPr>
          <w:b/>
          <w:bCs/>
        </w:rPr>
        <w:t>step </w:t>
      </w:r>
      <w:r w:rsidR="00C8347A" w:rsidRPr="00246801">
        <w:rPr>
          <w:b/>
          <w:bCs/>
        </w:rPr>
        <w:t>6</w:t>
      </w:r>
      <w:r w:rsidR="00C8347A" w:rsidRPr="00BF0A6D">
        <w:t xml:space="preserve"> confirm</w:t>
      </w:r>
      <w:r w:rsidR="00246801">
        <w:t>s</w:t>
      </w:r>
      <w:r w:rsidR="00C8347A" w:rsidRPr="00BF0A6D">
        <w:t xml:space="preserve"> that the emission factor of the electricity </w:t>
      </w:r>
      <w:r w:rsidR="6DED5823">
        <w:t>system</w:t>
      </w:r>
      <w:r w:rsidR="00C8347A">
        <w:t xml:space="preserve"> </w:t>
      </w:r>
      <w:r w:rsidR="00C8347A" w:rsidRPr="00BF0A6D">
        <w:t>shall be used</w:t>
      </w:r>
      <w:r w:rsidR="00FA001B" w:rsidRPr="00BF0A6D">
        <w:t>.</w:t>
      </w:r>
    </w:p>
    <w:p w14:paraId="3A82C8FC" w14:textId="0BC978AE" w:rsidR="005E7C38" w:rsidRDefault="00696EDD" w:rsidP="00C72647">
      <w:pPr>
        <w:pStyle w:val="SDMPara"/>
        <w:keepNext/>
      </w:pPr>
      <w:bookmarkStart w:id="456" w:name="_Hlk215689485"/>
      <w:r>
        <w:t xml:space="preserve">Activity </w:t>
      </w:r>
      <w:r w:rsidR="005E7C38">
        <w:t xml:space="preserve">participants shall determine the emission factor of the electricity system </w:t>
      </w:r>
      <w:r w:rsidR="00786CE1">
        <w:t xml:space="preserve">by </w:t>
      </w:r>
      <w:r w:rsidR="005E7C38">
        <w:t>choosing one of the following two options</w:t>
      </w:r>
      <w:r w:rsidR="0060677B">
        <w:t xml:space="preserve"> and </w:t>
      </w:r>
      <w:r w:rsidR="00194F07">
        <w:t xml:space="preserve">shall </w:t>
      </w:r>
      <w:r w:rsidR="0060677B">
        <w:t>document their choice in the PDD</w:t>
      </w:r>
      <w:r w:rsidR="005E7C38">
        <w:t>:</w:t>
      </w:r>
    </w:p>
    <w:p w14:paraId="46654875" w14:textId="647759ED" w:rsidR="00FF70B5" w:rsidRDefault="005E7C38">
      <w:pPr>
        <w:pStyle w:val="SDMSubPara1"/>
      </w:pPr>
      <w:r w:rsidRPr="00671563">
        <w:rPr>
          <w:b/>
          <w:bCs/>
        </w:rPr>
        <w:t>Option</w:t>
      </w:r>
      <w:r w:rsidR="00071748">
        <w:rPr>
          <w:b/>
          <w:bCs/>
        </w:rPr>
        <w:t> </w:t>
      </w:r>
      <w:r w:rsidRPr="00671563">
        <w:rPr>
          <w:b/>
          <w:bCs/>
        </w:rPr>
        <w:t>A</w:t>
      </w:r>
      <w:r w:rsidR="008619A2" w:rsidRPr="00671563">
        <w:rPr>
          <w:b/>
          <w:bCs/>
        </w:rPr>
        <w:t>:</w:t>
      </w:r>
      <w:r w:rsidR="008619A2">
        <w:t xml:space="preserve"> </w:t>
      </w:r>
      <w:r w:rsidR="00194F07">
        <w:t xml:space="preserve">calculate </w:t>
      </w:r>
      <w:r w:rsidR="008619A2">
        <w:t xml:space="preserve">the </w:t>
      </w:r>
      <w:r w:rsidR="007B6FA2">
        <w:t xml:space="preserve">combined margin </w:t>
      </w:r>
      <w:r w:rsidR="008619A2">
        <w:t>emission factor of the electricity system</w:t>
      </w:r>
      <w:r w:rsidR="000F2681">
        <w:t xml:space="preserve">, as set out </w:t>
      </w:r>
      <w:r w:rsidR="007B6FA2">
        <w:t xml:space="preserve">in </w:t>
      </w:r>
      <w:r w:rsidR="000F2681">
        <w:t>section</w:t>
      </w:r>
      <w:r w:rsidR="0045655E">
        <w:t xml:space="preserve"> </w:t>
      </w:r>
      <w:r>
        <w:fldChar w:fldCharType="begin"/>
      </w:r>
      <w:r>
        <w:instrText>REF _Ref215608724 \r</w:instrText>
      </w:r>
      <w:r>
        <w:fldChar w:fldCharType="separate"/>
      </w:r>
      <w:r w:rsidR="00D811A8">
        <w:rPr>
          <w:cs/>
        </w:rPr>
        <w:t>‎</w:t>
      </w:r>
      <w:r w:rsidR="00D811A8">
        <w:t>5.7.1</w:t>
      </w:r>
      <w:r>
        <w:fldChar w:fldCharType="end"/>
      </w:r>
      <w:r w:rsidR="000F2681">
        <w:t xml:space="preserve">; </w:t>
      </w:r>
      <w:r w:rsidR="007651FF">
        <w:t>or</w:t>
      </w:r>
    </w:p>
    <w:p w14:paraId="36999356" w14:textId="131C4345" w:rsidR="003A10D5" w:rsidRDefault="0060677B">
      <w:pPr>
        <w:pStyle w:val="SDMSubPara1"/>
      </w:pPr>
      <w:r w:rsidRPr="00671563">
        <w:rPr>
          <w:b/>
          <w:bCs/>
        </w:rPr>
        <w:t>Option</w:t>
      </w:r>
      <w:r w:rsidR="00071748">
        <w:rPr>
          <w:b/>
          <w:bCs/>
        </w:rPr>
        <w:t> </w:t>
      </w:r>
      <w:r w:rsidRPr="00671563">
        <w:rPr>
          <w:b/>
          <w:bCs/>
        </w:rPr>
        <w:t>B:</w:t>
      </w:r>
      <w:r>
        <w:t xml:space="preserve"> </w:t>
      </w:r>
      <w:r w:rsidR="00826948">
        <w:t xml:space="preserve">use </w:t>
      </w:r>
      <w:r w:rsidR="00A83306">
        <w:t xml:space="preserve">a conservative default emission </w:t>
      </w:r>
      <w:r w:rsidR="00F8097D">
        <w:t>factor</w:t>
      </w:r>
      <w:r w:rsidR="0045655E">
        <w:t xml:space="preserve">, as set out in section </w:t>
      </w:r>
      <w:r w:rsidR="00110EF2">
        <w:fldChar w:fldCharType="begin"/>
      </w:r>
      <w:r w:rsidR="00110EF2">
        <w:instrText xml:space="preserve"> REF _Ref215608692 \w \h </w:instrText>
      </w:r>
      <w:r w:rsidR="00110EF2">
        <w:fldChar w:fldCharType="separate"/>
      </w:r>
      <w:r w:rsidR="00D811A8">
        <w:rPr>
          <w:cs/>
        </w:rPr>
        <w:t>‎</w:t>
      </w:r>
      <w:r w:rsidR="00D811A8">
        <w:t>5.7.2</w:t>
      </w:r>
      <w:r w:rsidR="00110EF2">
        <w:fldChar w:fldCharType="end"/>
      </w:r>
      <w:r w:rsidR="005F699D">
        <w:t>.</w:t>
      </w:r>
    </w:p>
    <w:p w14:paraId="3CB6141F" w14:textId="2835D431" w:rsidR="00737BEA" w:rsidRDefault="00951FCB">
      <w:pPr>
        <w:pStyle w:val="SDMHead3"/>
      </w:pPr>
      <w:bookmarkStart w:id="457" w:name="_Ref212363004"/>
      <w:bookmarkStart w:id="458" w:name="_Ref215608724"/>
      <w:bookmarkStart w:id="459" w:name="_Toc215923330"/>
      <w:bookmarkStart w:id="460" w:name="_Toc216093026"/>
      <w:bookmarkStart w:id="461" w:name="_Toc216271755"/>
      <w:bookmarkStart w:id="462" w:name="_Toc216279372"/>
      <w:bookmarkStart w:id="463" w:name="_Toc216283410"/>
      <w:bookmarkStart w:id="464" w:name="_Toc216288028"/>
      <w:bookmarkStart w:id="465" w:name="_Toc219666135"/>
      <w:bookmarkStart w:id="466" w:name="_Toc220001395"/>
      <w:bookmarkStart w:id="467" w:name="_Toc221096419"/>
      <w:bookmarkStart w:id="468" w:name="_Toc221097971"/>
      <w:bookmarkStart w:id="469" w:name="_Toc221116267"/>
      <w:bookmarkStart w:id="470" w:name="_Toc221117283"/>
      <w:bookmarkStart w:id="471" w:name="_Toc222132121"/>
      <w:bookmarkStart w:id="472" w:name="_Toc222494922"/>
      <w:bookmarkStart w:id="473" w:name="_Toc222512438"/>
      <w:bookmarkStart w:id="474" w:name="_Toc222741758"/>
      <w:bookmarkEnd w:id="456"/>
      <w:r>
        <w:t xml:space="preserve">Option </w:t>
      </w:r>
      <w:r w:rsidR="009076AA">
        <w:t>A</w:t>
      </w:r>
      <w:r>
        <w:t xml:space="preserve">: </w:t>
      </w:r>
      <w:r w:rsidR="009E396C" w:rsidRPr="009E396C">
        <w:t>Calculate</w:t>
      </w:r>
      <w:r>
        <w:t xml:space="preserve"> the </w:t>
      </w:r>
      <w:r w:rsidR="009E396C" w:rsidRPr="009E396C">
        <w:t>combined margin</w:t>
      </w:r>
      <w:r>
        <w:t xml:space="preserve"> emission factor of the</w:t>
      </w:r>
      <w:r w:rsidDel="009B186D">
        <w:t xml:space="preserve"> </w:t>
      </w:r>
      <w:bookmarkEnd w:id="457"/>
      <w:r w:rsidR="009B186D">
        <w:t>electricity system</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14:paraId="233DF5A0" w14:textId="6EC26387" w:rsidR="00F74E46" w:rsidRPr="008A6023" w:rsidRDefault="008011FE">
      <w:pPr>
        <w:pStyle w:val="SDMPara"/>
      </w:pPr>
      <w:r w:rsidRPr="008A6023">
        <w:t xml:space="preserve">The emission factor of the electricity system shall be determined as the “combined margin” (CM) emission factor, which is the result of a weighted average of two emission factors pertaining to the electricity system: </w:t>
      </w:r>
      <w:r w:rsidR="0050186B" w:rsidRPr="008A6023">
        <w:t xml:space="preserve">the </w:t>
      </w:r>
      <w:r w:rsidRPr="008A6023">
        <w:t>“operating margin” (OM) emission factor and the “build margin” (BM) emission factor.</w:t>
      </w:r>
      <w:r w:rsidR="00A52AC2" w:rsidRPr="008A6023">
        <w:t xml:space="preserve"> The </w:t>
      </w:r>
      <w:r w:rsidR="00613292" w:rsidRPr="008A6023">
        <w:t>OM</w:t>
      </w:r>
      <w:r w:rsidR="00A52AC2" w:rsidRPr="008A6023">
        <w:t xml:space="preserve"> emission factor </w:t>
      </w:r>
      <w:r w:rsidR="00B05686" w:rsidRPr="008A6023">
        <w:t xml:space="preserve">aims to </w:t>
      </w:r>
      <w:r w:rsidR="00A52AC2" w:rsidRPr="008A6023">
        <w:t>represent</w:t>
      </w:r>
      <w:r w:rsidR="00F84F01" w:rsidRPr="008A6023">
        <w:t xml:space="preserve"> the emissions intensity of </w:t>
      </w:r>
      <w:r w:rsidR="001A0FB4" w:rsidRPr="008A6023">
        <w:t xml:space="preserve">existing power </w:t>
      </w:r>
      <w:r w:rsidR="00A44D0D" w:rsidRPr="008A6023">
        <w:t>units</w:t>
      </w:r>
      <w:r w:rsidR="001A0FB4" w:rsidRPr="008A6023">
        <w:t xml:space="preserve"> whose electricity generation is </w:t>
      </w:r>
      <w:r w:rsidR="004F4348" w:rsidRPr="008A6023">
        <w:t>affected by</w:t>
      </w:r>
      <w:r w:rsidR="001A0FB4" w:rsidRPr="008A6023">
        <w:t xml:space="preserve"> </w:t>
      </w:r>
      <w:r w:rsidR="00613292" w:rsidRPr="008A6023">
        <w:t>the Article 6.4 activity. The</w:t>
      </w:r>
      <w:r w:rsidR="00F46400" w:rsidRPr="008A6023">
        <w:t xml:space="preserve"> BM emission factor</w:t>
      </w:r>
      <w:r w:rsidR="00B05686" w:rsidRPr="008A6023">
        <w:t xml:space="preserve"> </w:t>
      </w:r>
      <w:r w:rsidR="00980C5C" w:rsidRPr="008A6023">
        <w:t>aims</w:t>
      </w:r>
      <w:r w:rsidR="00B05686" w:rsidRPr="008A6023">
        <w:t xml:space="preserve"> to</w:t>
      </w:r>
      <w:r w:rsidR="00F46400" w:rsidRPr="008A6023">
        <w:t xml:space="preserve"> represent the average emissions intensity of new power </w:t>
      </w:r>
      <w:r w:rsidR="00A44D0D" w:rsidRPr="008A6023">
        <w:t>units</w:t>
      </w:r>
      <w:r w:rsidR="00F46400" w:rsidRPr="008A6023">
        <w:t xml:space="preserve"> that </w:t>
      </w:r>
      <w:r w:rsidR="00B05686" w:rsidRPr="008A6023">
        <w:t xml:space="preserve">would </w:t>
      </w:r>
      <w:r w:rsidR="009C262D" w:rsidRPr="008A6023">
        <w:t xml:space="preserve">likely be built </w:t>
      </w:r>
      <w:r w:rsidR="00980C5C" w:rsidRPr="008A6023">
        <w:t xml:space="preserve">in </w:t>
      </w:r>
      <w:r w:rsidR="5E443C27" w:rsidRPr="008A6023">
        <w:t>the</w:t>
      </w:r>
      <w:r w:rsidR="00980C5C" w:rsidRPr="008A6023">
        <w:t xml:space="preserve"> absence of the Article 6.4 activity.</w:t>
      </w:r>
    </w:p>
    <w:p w14:paraId="0D8F47A7" w14:textId="4E3687DC" w:rsidR="008011FE" w:rsidRDefault="1B6CC91E" w:rsidP="00C72647">
      <w:pPr>
        <w:pStyle w:val="SDMPara"/>
        <w:keepNext/>
      </w:pPr>
      <w:r>
        <w:t>For both cases</w:t>
      </w:r>
      <w:r w:rsidR="00993073">
        <w:t xml:space="preserve"> (</w:t>
      </w:r>
      <w:r w:rsidR="007F5110" w:rsidRPr="007F5110">
        <w:rPr>
          <w:b/>
          <w:bCs/>
        </w:rPr>
        <w:t>case</w:t>
      </w:r>
      <w:r w:rsidR="00071748">
        <w:rPr>
          <w:b/>
          <w:bCs/>
        </w:rPr>
        <w:t> </w:t>
      </w:r>
      <w:r w:rsidR="00993073" w:rsidRPr="007F5110">
        <w:rPr>
          <w:b/>
          <w:bCs/>
        </w:rPr>
        <w:t>1</w:t>
      </w:r>
      <w:r w:rsidR="00993073">
        <w:t xml:space="preserve"> and </w:t>
      </w:r>
      <w:r w:rsidR="007F5110" w:rsidRPr="007F5110">
        <w:rPr>
          <w:b/>
          <w:bCs/>
        </w:rPr>
        <w:t>case</w:t>
      </w:r>
      <w:r w:rsidR="00071748">
        <w:rPr>
          <w:b/>
          <w:bCs/>
        </w:rPr>
        <w:t> </w:t>
      </w:r>
      <w:r w:rsidR="00993073" w:rsidRPr="007F5110">
        <w:rPr>
          <w:b/>
          <w:bCs/>
        </w:rPr>
        <w:t>2</w:t>
      </w:r>
      <w:r w:rsidR="00993073">
        <w:t>)</w:t>
      </w:r>
      <w:r>
        <w:t>,</w:t>
      </w:r>
      <w:r w:rsidR="0C1F7C79">
        <w:t xml:space="preserve"> t</w:t>
      </w:r>
      <w:r w:rsidR="5D410BC1">
        <w:t>he</w:t>
      </w:r>
      <w:r w:rsidR="008011FE">
        <w:t xml:space="preserve"> emission factor of the electricity system shall be determined based on the following </w:t>
      </w:r>
      <w:r w:rsidR="007F5110">
        <w:t>sub-</w:t>
      </w:r>
      <w:r w:rsidR="008011FE">
        <w:t>steps:</w:t>
      </w:r>
    </w:p>
    <w:p w14:paraId="4CBC9CD2" w14:textId="46C6F18B" w:rsidR="008011FE" w:rsidRPr="008A6023" w:rsidRDefault="00AB65F7">
      <w:pPr>
        <w:pStyle w:val="SDMSubPara1"/>
      </w:pPr>
      <w:r w:rsidRPr="008A6023">
        <w:t>Sub-step</w:t>
      </w:r>
      <w:r w:rsidR="00592D9E">
        <w:t> </w:t>
      </w:r>
      <w:r w:rsidRPr="008A6023">
        <w:t xml:space="preserve">a: </w:t>
      </w:r>
      <w:r w:rsidR="0000182E" w:rsidRPr="008A6023">
        <w:t xml:space="preserve">determination </w:t>
      </w:r>
      <w:r w:rsidRPr="008A6023">
        <w:t>of</w:t>
      </w:r>
      <w:r w:rsidR="008011FE" w:rsidRPr="008A6023">
        <w:t xml:space="preserve"> the OM emission factor </w:t>
      </w:r>
      <w:r w:rsidR="00993073" w:rsidRPr="008A6023">
        <w:t>(</w:t>
      </w:r>
      <w:r w:rsidR="008011FE" w:rsidRPr="00842253">
        <w:rPr>
          <w:i/>
          <w:iCs/>
        </w:rPr>
        <w:t>EF</w:t>
      </w:r>
      <w:r w:rsidR="008011FE" w:rsidRPr="00842253">
        <w:rPr>
          <w:i/>
          <w:iCs/>
          <w:vertAlign w:val="subscript"/>
        </w:rPr>
        <w:t>OM,y</w:t>
      </w:r>
      <w:r w:rsidR="00993073" w:rsidRPr="008A6023">
        <w:t>)</w:t>
      </w:r>
      <w:r w:rsidR="008011FE" w:rsidRPr="008A6023">
        <w:t>;</w:t>
      </w:r>
    </w:p>
    <w:p w14:paraId="7AD9053E" w14:textId="37FF3BC4" w:rsidR="008011FE" w:rsidRPr="008A6023" w:rsidRDefault="00AB65F7">
      <w:pPr>
        <w:pStyle w:val="SDMSubPara1"/>
      </w:pPr>
      <w:r w:rsidRPr="008A6023">
        <w:t>Sub-step</w:t>
      </w:r>
      <w:r w:rsidR="00592D9E">
        <w:t> </w:t>
      </w:r>
      <w:r w:rsidRPr="008A6023">
        <w:t xml:space="preserve">b: </w:t>
      </w:r>
      <w:r w:rsidR="0000182E" w:rsidRPr="008A6023">
        <w:t xml:space="preserve">determination </w:t>
      </w:r>
      <w:r w:rsidRPr="008A6023">
        <w:t>of</w:t>
      </w:r>
      <w:r w:rsidR="008011FE" w:rsidRPr="008A6023">
        <w:t xml:space="preserve"> the BM emission factor </w:t>
      </w:r>
      <w:r w:rsidR="00181837" w:rsidRPr="008A6023">
        <w:t>(</w:t>
      </w:r>
      <w:r w:rsidR="008011FE" w:rsidRPr="00842253">
        <w:rPr>
          <w:i/>
          <w:iCs/>
        </w:rPr>
        <w:t>EF</w:t>
      </w:r>
      <w:r w:rsidR="008011FE" w:rsidRPr="00842253">
        <w:rPr>
          <w:i/>
          <w:iCs/>
          <w:vertAlign w:val="subscript"/>
        </w:rPr>
        <w:t>BM,y</w:t>
      </w:r>
      <w:r w:rsidR="00181837" w:rsidRPr="008A6023">
        <w:t>)</w:t>
      </w:r>
      <w:r w:rsidR="008011FE" w:rsidRPr="008A6023">
        <w:t>;</w:t>
      </w:r>
      <w:r w:rsidR="0076784A" w:rsidRPr="008A6023">
        <w:t xml:space="preserve"> and</w:t>
      </w:r>
    </w:p>
    <w:p w14:paraId="72AB1D5F" w14:textId="2A14510E" w:rsidR="008011FE" w:rsidRPr="008A6023" w:rsidRDefault="00AB65F7">
      <w:pPr>
        <w:pStyle w:val="SDMSubPara1"/>
      </w:pPr>
      <w:r w:rsidRPr="008A6023">
        <w:t>Sub-step</w:t>
      </w:r>
      <w:r w:rsidR="00592D9E">
        <w:t> </w:t>
      </w:r>
      <w:r w:rsidRPr="008A6023">
        <w:t xml:space="preserve">c: </w:t>
      </w:r>
      <w:r w:rsidR="0000182E" w:rsidRPr="008A6023">
        <w:t xml:space="preserve">determination </w:t>
      </w:r>
      <w:r w:rsidRPr="008A6023">
        <w:t xml:space="preserve">of the </w:t>
      </w:r>
      <w:r w:rsidR="008011FE" w:rsidRPr="008A6023">
        <w:t xml:space="preserve">CM emission factor </w:t>
      </w:r>
      <w:r w:rsidR="00181837" w:rsidRPr="008A6023">
        <w:t>(</w:t>
      </w:r>
      <w:r w:rsidR="008011FE" w:rsidRPr="00842253">
        <w:rPr>
          <w:i/>
          <w:iCs/>
        </w:rPr>
        <w:t>EF</w:t>
      </w:r>
      <w:r w:rsidR="008011FE" w:rsidRPr="00842253">
        <w:rPr>
          <w:i/>
          <w:iCs/>
          <w:vertAlign w:val="subscript"/>
        </w:rPr>
        <w:t>CM,y</w:t>
      </w:r>
      <w:r w:rsidR="00181837" w:rsidRPr="008A6023">
        <w:t>)</w:t>
      </w:r>
      <w:r w:rsidR="008011FE" w:rsidRPr="008A6023">
        <w:t>.</w:t>
      </w:r>
    </w:p>
    <w:p w14:paraId="2992BD79" w14:textId="77777777" w:rsidR="00297DFB" w:rsidRDefault="00297DFB">
      <w:pPr>
        <w:pStyle w:val="SDMHead4"/>
      </w:pPr>
      <w:r>
        <w:t>General requirements applicable to different sub-steps</w:t>
      </w:r>
    </w:p>
    <w:p w14:paraId="7D7B9D73" w14:textId="77777777" w:rsidR="00E9501D" w:rsidRDefault="00994F56">
      <w:pPr>
        <w:pStyle w:val="SDMHead5"/>
      </w:pPr>
      <w:r>
        <w:t>Consideration of power plants or units</w:t>
      </w:r>
    </w:p>
    <w:p w14:paraId="0A544475" w14:textId="3C4484E8" w:rsidR="00994F56" w:rsidRPr="00DC0E00" w:rsidRDefault="00A6185B">
      <w:pPr>
        <w:pStyle w:val="SDMPara"/>
      </w:pPr>
      <w:r w:rsidRPr="00DC0E00">
        <w:t xml:space="preserve">For simplicity, </w:t>
      </w:r>
      <w:r w:rsidR="001C21A1" w:rsidRPr="00DC0E00">
        <w:t>section</w:t>
      </w:r>
      <w:r w:rsidR="00022689">
        <w:t> </w:t>
      </w:r>
      <w:r>
        <w:fldChar w:fldCharType="begin"/>
      </w:r>
      <w:r>
        <w:instrText>REF _Ref215680223 \r</w:instrText>
      </w:r>
      <w:r>
        <w:fldChar w:fldCharType="separate"/>
      </w:r>
      <w:r w:rsidR="00D811A8">
        <w:rPr>
          <w:cs/>
        </w:rPr>
        <w:t>‎</w:t>
      </w:r>
      <w:r w:rsidR="00D811A8">
        <w:t>5.7</w:t>
      </w:r>
      <w:r>
        <w:fldChar w:fldCharType="end"/>
      </w:r>
      <w:r w:rsidR="001C21A1" w:rsidRPr="00DC0E00">
        <w:t xml:space="preserve"> refer</w:t>
      </w:r>
      <w:r w:rsidR="00022689">
        <w:t>s</w:t>
      </w:r>
      <w:r w:rsidR="001C21A1" w:rsidRPr="00DC0E00">
        <w:t xml:space="preserve"> </w:t>
      </w:r>
      <w:r w:rsidR="0075389D">
        <w:t xml:space="preserve">only </w:t>
      </w:r>
      <w:r w:rsidR="001C21A1" w:rsidRPr="00DC0E00">
        <w:t xml:space="preserve">to power units. </w:t>
      </w:r>
      <w:r w:rsidR="00901AFD" w:rsidRPr="00DC0E00">
        <w:t xml:space="preserve">Whether power units or power plants shall be considered in the calculation depends </w:t>
      </w:r>
      <w:r w:rsidR="00994F56" w:rsidRPr="00DC0E00">
        <w:t xml:space="preserve">on the operational roles of the power units at </w:t>
      </w:r>
      <w:r w:rsidR="00901AFD" w:rsidRPr="00DC0E00">
        <w:t xml:space="preserve">the </w:t>
      </w:r>
      <w:r w:rsidR="00994F56" w:rsidRPr="00DC0E00">
        <w:t>site</w:t>
      </w:r>
      <w:r w:rsidR="00901AFD" w:rsidRPr="00DC0E00">
        <w:t xml:space="preserve"> of </w:t>
      </w:r>
      <w:r w:rsidR="3026E64D">
        <w:t xml:space="preserve">the </w:t>
      </w:r>
      <w:r w:rsidR="00901AFD" w:rsidRPr="00DC0E00">
        <w:t>power plant</w:t>
      </w:r>
      <w:r w:rsidR="00994F56" w:rsidRPr="00DC0E00">
        <w:t xml:space="preserve">. </w:t>
      </w:r>
      <w:r w:rsidR="001931F5" w:rsidRPr="00DC0E00">
        <w:t>P</w:t>
      </w:r>
      <w:r w:rsidR="00994F56" w:rsidRPr="00DC0E00">
        <w:t xml:space="preserve">ower units </w:t>
      </w:r>
      <w:r w:rsidR="00AE0349">
        <w:t>shall</w:t>
      </w:r>
      <w:r w:rsidR="00994F56" w:rsidRPr="00DC0E00">
        <w:t xml:space="preserve"> be considered </w:t>
      </w:r>
      <w:r w:rsidRPr="00DC0E00">
        <w:t>separately</w:t>
      </w:r>
      <w:r w:rsidR="001931F5" w:rsidRPr="00DC0E00">
        <w:t xml:space="preserve"> </w:t>
      </w:r>
      <w:r w:rsidRPr="00DC0E00">
        <w:t xml:space="preserve">in the calculation </w:t>
      </w:r>
      <w:r w:rsidR="00AE0349">
        <w:t>where</w:t>
      </w:r>
      <w:r w:rsidR="00AE0349" w:rsidRPr="00DC0E00">
        <w:t xml:space="preserve"> </w:t>
      </w:r>
      <w:r w:rsidR="001931F5" w:rsidRPr="00DC0E00">
        <w:t xml:space="preserve">any features relevant for the calculation differ among them, such as </w:t>
      </w:r>
      <w:r w:rsidR="6F8AF145" w:rsidRPr="00DC0E00">
        <w:t xml:space="preserve">fuel type, </w:t>
      </w:r>
      <w:r w:rsidR="001931F5" w:rsidRPr="00DC0E00">
        <w:t>efficiency</w:t>
      </w:r>
      <w:r w:rsidR="00A8609D">
        <w:t>,</w:t>
      </w:r>
      <w:r w:rsidR="001931F5" w:rsidRPr="00DC0E00">
        <w:t xml:space="preserve"> </w:t>
      </w:r>
      <w:r w:rsidR="001E0634" w:rsidRPr="00DC0E00">
        <w:t xml:space="preserve">or </w:t>
      </w:r>
      <w:r w:rsidR="00994F56" w:rsidRPr="00DC0E00">
        <w:t>must-run status (</w:t>
      </w:r>
      <w:r w:rsidR="001E0634" w:rsidRPr="00DC0E00">
        <w:t>e.g.</w:t>
      </w:r>
      <w:r w:rsidR="00994F56" w:rsidRPr="00DC0E00">
        <w:t xml:space="preserve">, </w:t>
      </w:r>
      <w:r w:rsidR="001044AA">
        <w:t>where a</w:t>
      </w:r>
      <w:r w:rsidR="001E0634" w:rsidRPr="00DC0E00">
        <w:t xml:space="preserve"> power plant includes </w:t>
      </w:r>
      <w:r w:rsidR="00994F56" w:rsidRPr="00DC0E00">
        <w:t xml:space="preserve">a mix of must-run and non-must-run units). </w:t>
      </w:r>
      <w:r w:rsidRPr="00DC0E00">
        <w:t>Otherwise, several power units may be aggregated into one power plant and considered together in the calculation.</w:t>
      </w:r>
    </w:p>
    <w:p w14:paraId="5DD303C2" w14:textId="613C9B0A" w:rsidR="008A3231" w:rsidRDefault="002425E5">
      <w:pPr>
        <w:pStyle w:val="SDMHead5"/>
      </w:pPr>
      <w:r>
        <w:t>Treatment of electricity imports and exports</w:t>
      </w:r>
    </w:p>
    <w:p w14:paraId="03441FB8" w14:textId="480E18CC" w:rsidR="00660023" w:rsidRDefault="00660023" w:rsidP="00C72647">
      <w:pPr>
        <w:pStyle w:val="SDMPara"/>
        <w:keepNext/>
      </w:pPr>
      <w:r>
        <w:t>Any net electricity imports from a connected electricity system to the project electricity system during the relevant period shall be treated as a power unit </w:t>
      </w:r>
      <w:r w:rsidR="00080F3E">
        <w:rPr>
          <w:i/>
          <w:iCs/>
        </w:rPr>
        <w:t>p</w:t>
      </w:r>
      <w:r>
        <w:t xml:space="preserve"> supplying electricity to the </w:t>
      </w:r>
      <w:r w:rsidR="00826B6C">
        <w:t xml:space="preserve">project </w:t>
      </w:r>
      <w:r>
        <w:t>electricity system</w:t>
      </w:r>
      <w:r w:rsidRPr="00895CFA">
        <w:t>.</w:t>
      </w:r>
      <w:r w:rsidRPr="00895CFA">
        <w:rPr>
          <w:rFonts w:eastAsia="Arial"/>
        </w:rPr>
        <w:t xml:space="preserve"> </w:t>
      </w:r>
      <w:r w:rsidR="00AF2897" w:rsidRPr="000F68AF">
        <w:rPr>
          <w:rFonts w:eastAsia="Arial"/>
        </w:rPr>
        <w:t>T</w:t>
      </w:r>
      <w:r w:rsidR="3B3411BD" w:rsidRPr="000F68AF">
        <w:rPr>
          <w:rFonts w:eastAsia="Arial"/>
        </w:rPr>
        <w:t>he must-run status of net electricity imports shall be determined in accordance with para 104, as applicable.</w:t>
      </w:r>
      <w:r w:rsidR="3B3411BD" w:rsidRPr="00895CFA">
        <w:t xml:space="preserve"> </w:t>
      </w:r>
      <w:r w:rsidRPr="00895CFA">
        <w:t xml:space="preserve">The emission factor for </w:t>
      </w:r>
      <w:r w:rsidR="000339E4" w:rsidRPr="00895CFA">
        <w:t xml:space="preserve">the connected electricity system </w:t>
      </w:r>
      <w:r w:rsidR="07796EB5" w:rsidRPr="00895CFA">
        <w:t>tha</w:t>
      </w:r>
      <w:r w:rsidR="23D2C943" w:rsidRPr="00895CFA">
        <w:t>t</w:t>
      </w:r>
      <w:r w:rsidR="000339E4" w:rsidRPr="00895CFA">
        <w:t xml:space="preserve"> is exporting electricity to the</w:t>
      </w:r>
      <w:r w:rsidR="000339E4">
        <w:t xml:space="preserve"> project electricity system </w:t>
      </w:r>
      <w:r>
        <w:t xml:space="preserve">shall be determined for the </w:t>
      </w:r>
      <w:r w:rsidR="00E611E2">
        <w:t xml:space="preserve">relevant </w:t>
      </w:r>
      <w:r w:rsidR="00964D5A">
        <w:t>period (</w:t>
      </w:r>
      <w:r w:rsidR="00C03E40" w:rsidRPr="00C03E40">
        <w:t>either</w:t>
      </w:r>
      <w:r>
        <w:t xml:space="preserve"> </w:t>
      </w:r>
      <w:r w:rsidDel="006F17E7">
        <w:t xml:space="preserve">the </w:t>
      </w:r>
      <w:r w:rsidR="00C03E40" w:rsidRPr="00C03E40">
        <w:t>calendar year</w:t>
      </w:r>
      <w:r w:rsidR="00AC52D3">
        <w:t> </w:t>
      </w:r>
      <w:r w:rsidR="00C03E40" w:rsidRPr="00AC52D3">
        <w:rPr>
          <w:i/>
          <w:iCs/>
        </w:rPr>
        <w:t>y</w:t>
      </w:r>
      <w:r w:rsidR="00C03E40" w:rsidRPr="00C03E40">
        <w:t xml:space="preserve"> of the crediting</w:t>
      </w:r>
      <w:r w:rsidDel="00786074">
        <w:t xml:space="preserve"> </w:t>
      </w:r>
      <w:r>
        <w:t>period</w:t>
      </w:r>
      <w:r w:rsidR="00C03E40" w:rsidRPr="00C03E40">
        <w:t xml:space="preserve"> or the hour</w:t>
      </w:r>
      <w:r w:rsidR="00AC52D3">
        <w:t> </w:t>
      </w:r>
      <w:r w:rsidR="00C03E40" w:rsidRPr="00AC52D3">
        <w:rPr>
          <w:i/>
          <w:iCs/>
        </w:rPr>
        <w:t>h</w:t>
      </w:r>
      <w:r w:rsidR="00C03E40" w:rsidRPr="00C03E40">
        <w:t xml:space="preserve"> within the calendar year</w:t>
      </w:r>
      <w:r w:rsidR="00AC52D3">
        <w:t> </w:t>
      </w:r>
      <w:r w:rsidR="00C03E40" w:rsidRPr="00AC52D3">
        <w:rPr>
          <w:i/>
          <w:iCs/>
        </w:rPr>
        <w:t>y</w:t>
      </w:r>
      <w:r w:rsidR="00C03E40" w:rsidRPr="00C03E40">
        <w:t xml:space="preserve"> of the crediting period</w:t>
      </w:r>
      <w:r>
        <w:t>) using one of the following options:</w:t>
      </w:r>
    </w:p>
    <w:p w14:paraId="67817B15" w14:textId="6F370AC3" w:rsidR="00660023" w:rsidRDefault="006D43EE">
      <w:pPr>
        <w:pStyle w:val="SDMSubPara1"/>
      </w:pPr>
      <w:r>
        <w:t>Use</w:t>
      </w:r>
      <w:r w:rsidR="00FE6B35" w:rsidDel="006D43EE">
        <w:t xml:space="preserve"> </w:t>
      </w:r>
      <w:r w:rsidR="00FE6B35">
        <w:t>the</w:t>
      </w:r>
      <w:r w:rsidR="00660023">
        <w:t xml:space="preserve"> </w:t>
      </w:r>
      <w:r w:rsidR="00FE6B35" w:rsidRPr="00FE6B35">
        <w:t xml:space="preserve">combined margin emission factor of the </w:t>
      </w:r>
      <w:r w:rsidR="00202529">
        <w:t xml:space="preserve">connected </w:t>
      </w:r>
      <w:r w:rsidR="00FE6B35" w:rsidRPr="00FE6B35">
        <w:t>electricity system</w:t>
      </w:r>
      <w:r w:rsidR="00D855F8">
        <w:t xml:space="preserve">, </w:t>
      </w:r>
      <w:r w:rsidR="00636EEA">
        <w:t xml:space="preserve">determined </w:t>
      </w:r>
      <w:r w:rsidR="005948D6">
        <w:t>in accordance with</w:t>
      </w:r>
      <w:r w:rsidR="00660023">
        <w:t xml:space="preserve"> </w:t>
      </w:r>
      <w:r w:rsidR="00FE6B35">
        <w:t>this section (</w:t>
      </w:r>
      <w:r w:rsidR="001211BE">
        <w:t>section </w:t>
      </w:r>
      <w:r>
        <w:fldChar w:fldCharType="begin"/>
      </w:r>
      <w:r>
        <w:instrText>REF _Ref215608724 \r</w:instrText>
      </w:r>
      <w:r>
        <w:fldChar w:fldCharType="separate"/>
      </w:r>
      <w:r w:rsidR="00D811A8">
        <w:rPr>
          <w:cs/>
        </w:rPr>
        <w:t>‎</w:t>
      </w:r>
      <w:r w:rsidR="00D811A8">
        <w:t>5.7.1</w:t>
      </w:r>
      <w:r>
        <w:fldChar w:fldCharType="end"/>
      </w:r>
      <w:r w:rsidR="00FE6B35">
        <w:t>)</w:t>
      </w:r>
      <w:r w:rsidR="00660023">
        <w:t>;</w:t>
      </w:r>
      <w:r w:rsidR="00485DA5">
        <w:t xml:space="preserve"> </w:t>
      </w:r>
      <w:r w:rsidR="00DF2A17">
        <w:t>or</w:t>
      </w:r>
    </w:p>
    <w:p w14:paraId="6D5BB908" w14:textId="23947EDF" w:rsidR="00660023" w:rsidRDefault="00660023">
      <w:pPr>
        <w:pStyle w:val="SDMSubPara1"/>
      </w:pPr>
      <w:r>
        <w:t>Use the conservative default emission factors</w:t>
      </w:r>
      <w:r w:rsidR="00AD1F22">
        <w:t xml:space="preserve"> set out</w:t>
      </w:r>
      <w:r>
        <w:t xml:space="preserve"> in section</w:t>
      </w:r>
      <w:r w:rsidR="001211BE">
        <w:t> </w:t>
      </w:r>
      <w:r>
        <w:fldChar w:fldCharType="begin"/>
      </w:r>
      <w:r>
        <w:instrText>REF _Ref215608692 \r</w:instrText>
      </w:r>
      <w:r>
        <w:fldChar w:fldCharType="separate"/>
      </w:r>
      <w:r w:rsidR="00D811A8">
        <w:rPr>
          <w:cs/>
        </w:rPr>
        <w:t>‎</w:t>
      </w:r>
      <w:r w:rsidR="00D811A8">
        <w:t>5.7.2</w:t>
      </w:r>
      <w:r>
        <w:fldChar w:fldCharType="end"/>
      </w:r>
      <w:r>
        <w:t xml:space="preserve"> for the exporting electricity system;</w:t>
      </w:r>
      <w:r w:rsidR="00AD1F22">
        <w:t xml:space="preserve"> or</w:t>
      </w:r>
    </w:p>
    <w:p w14:paraId="72D66808" w14:textId="1E02D197" w:rsidR="00660023" w:rsidRDefault="000F39EF" w:rsidP="00C72647">
      <w:pPr>
        <w:pStyle w:val="SDMSubPara1"/>
        <w:keepNext/>
      </w:pPr>
      <w:r>
        <w:t xml:space="preserve">Where </w:t>
      </w:r>
      <w:r w:rsidR="00660023">
        <w:t xml:space="preserve">the amount of net electricity imports is smaller than </w:t>
      </w:r>
      <w:r w:rsidR="007B10B4" w:rsidRPr="000F68AF">
        <w:t>5</w:t>
      </w:r>
      <w:r w:rsidR="00AD3FEB" w:rsidRPr="000F68AF">
        <w:t xml:space="preserve"> per cent</w:t>
      </w:r>
      <w:r w:rsidR="00660023" w:rsidRPr="00895CFA">
        <w:t xml:space="preserve"> of</w:t>
      </w:r>
      <w:r w:rsidR="00660023" w:rsidRPr="00895CFA" w:rsidDel="00A83C53">
        <w:t xml:space="preserve"> </w:t>
      </w:r>
      <w:r w:rsidR="00660023" w:rsidRPr="00895CFA">
        <w:t xml:space="preserve">electricity generation in the </w:t>
      </w:r>
      <w:r w:rsidR="00DA410E" w:rsidRPr="00895CFA">
        <w:t xml:space="preserve">project </w:t>
      </w:r>
      <w:r w:rsidR="00660023" w:rsidRPr="00895CFA">
        <w:t>electricity sys</w:t>
      </w:r>
      <w:r w:rsidR="00660023">
        <w:t xml:space="preserve">tem </w:t>
      </w:r>
      <w:r w:rsidR="00A83C53">
        <w:t xml:space="preserve">during </w:t>
      </w:r>
      <w:r w:rsidR="00660023">
        <w:t>the relevant period, one of the following options</w:t>
      </w:r>
      <w:r w:rsidR="0001425D">
        <w:t xml:space="preserve"> may be used</w:t>
      </w:r>
      <w:r w:rsidR="00660023">
        <w:t>:</w:t>
      </w:r>
    </w:p>
    <w:p w14:paraId="15AC4CC9" w14:textId="25943C2A" w:rsidR="00660023" w:rsidRDefault="00BA1878">
      <w:pPr>
        <w:pStyle w:val="SDMSubPara2"/>
      </w:pPr>
      <w:r w:rsidRPr="00BA1878">
        <w:rPr>
          <w:lang w:eastAsia="ja-JP"/>
        </w:rPr>
        <w:t>T</w:t>
      </w:r>
      <w:r w:rsidR="00660023" w:rsidRPr="00BA1878">
        <w:t>he</w:t>
      </w:r>
      <w:r w:rsidR="00660023">
        <w:t xml:space="preserve"> simple </w:t>
      </w:r>
      <w:r w:rsidR="00CA013E">
        <w:t>OM</w:t>
      </w:r>
      <w:r w:rsidR="00660023">
        <w:t xml:space="preserve"> emission factor of the exporting electricity system, determined as described in section </w:t>
      </w:r>
      <w:r w:rsidR="00953D98">
        <w:fldChar w:fldCharType="begin"/>
      </w:r>
      <w:r w:rsidR="00953D98">
        <w:instrText xml:space="preserve"> REF _Ref215683293 \w \h </w:instrText>
      </w:r>
      <w:r w:rsidR="00953D98">
        <w:fldChar w:fldCharType="separate"/>
      </w:r>
      <w:r w:rsidR="00D811A8">
        <w:rPr>
          <w:cs/>
        </w:rPr>
        <w:t>‎</w:t>
      </w:r>
      <w:r w:rsidR="00D811A8">
        <w:t>5.7.1.2.2</w:t>
      </w:r>
      <w:r w:rsidR="00953D98">
        <w:fldChar w:fldCharType="end"/>
      </w:r>
      <w:r w:rsidR="00660023">
        <w:t>,</w:t>
      </w:r>
      <w:r w:rsidR="00660023" w:rsidDel="00995F37">
        <w:t xml:space="preserve"> </w:t>
      </w:r>
      <w:r w:rsidR="00995F37">
        <w:t xml:space="preserve">where </w:t>
      </w:r>
      <w:r w:rsidR="00660023">
        <w:t>the conditions for this method, as described in paragraph</w:t>
      </w:r>
      <w:r w:rsidR="00371E1E">
        <w:t> </w:t>
      </w:r>
      <w:r w:rsidR="009D51CC">
        <w:fldChar w:fldCharType="begin"/>
      </w:r>
      <w:r w:rsidR="009D51CC">
        <w:instrText xml:space="preserve"> REF _Ref221037558 \w \h </w:instrText>
      </w:r>
      <w:r w:rsidR="009D51CC">
        <w:fldChar w:fldCharType="separate"/>
      </w:r>
      <w:r w:rsidR="00D811A8">
        <w:rPr>
          <w:cs/>
        </w:rPr>
        <w:t>‎</w:t>
      </w:r>
      <w:r w:rsidR="00D811A8">
        <w:t>74</w:t>
      </w:r>
      <w:r w:rsidR="009D51CC">
        <w:fldChar w:fldCharType="end"/>
      </w:r>
      <w:r w:rsidR="00660023">
        <w:t xml:space="preserve">, apply to the exporting </w:t>
      </w:r>
      <w:r w:rsidR="00B65CFC">
        <w:t>electricity system</w:t>
      </w:r>
      <w:r w:rsidR="00660023">
        <w:t>; or</w:t>
      </w:r>
    </w:p>
    <w:p w14:paraId="0E0A879A" w14:textId="4F6D60CB" w:rsidR="00660023" w:rsidRDefault="00660023">
      <w:pPr>
        <w:pStyle w:val="SDMSubPara2"/>
      </w:pPr>
      <w:r>
        <w:t xml:space="preserve">The simple adjusted </w:t>
      </w:r>
      <w:r w:rsidR="00995F37">
        <w:t>OM</w:t>
      </w:r>
      <w:r>
        <w:t xml:space="preserve"> emission factor of the exporting electricity system, determined as described in </w:t>
      </w:r>
      <w:r w:rsidR="006B731B">
        <w:t>section</w:t>
      </w:r>
      <w:r w:rsidR="00074014">
        <w:t xml:space="preserve"> </w:t>
      </w:r>
      <w:r w:rsidR="00300143">
        <w:fldChar w:fldCharType="begin"/>
      </w:r>
      <w:r w:rsidR="00300143">
        <w:instrText xml:space="preserve"> REF _Ref216065061 \w \h </w:instrText>
      </w:r>
      <w:r w:rsidR="00300143">
        <w:fldChar w:fldCharType="separate"/>
      </w:r>
      <w:r w:rsidR="00D811A8">
        <w:rPr>
          <w:cs/>
        </w:rPr>
        <w:t>‎</w:t>
      </w:r>
      <w:r w:rsidR="00D811A8">
        <w:t>5.7.1.2.3</w:t>
      </w:r>
      <w:r w:rsidR="00300143">
        <w:fldChar w:fldCharType="end"/>
      </w:r>
      <w:r w:rsidR="00074014">
        <w:t>,</w:t>
      </w:r>
      <w:r w:rsidDel="00C92046">
        <w:t xml:space="preserve"> </w:t>
      </w:r>
      <w:r w:rsidR="00C92046">
        <w:t xml:space="preserve">where </w:t>
      </w:r>
      <w:r>
        <w:t>the conditions for this method, as described in para</w:t>
      </w:r>
      <w:r w:rsidR="00C92046">
        <w:t>graph</w:t>
      </w:r>
      <w:r w:rsidR="00371E1E">
        <w:t> </w:t>
      </w:r>
      <w:r w:rsidR="00300143">
        <w:fldChar w:fldCharType="begin"/>
      </w:r>
      <w:r w:rsidR="00300143">
        <w:instrText xml:space="preserve"> REF _Ref220953076 \w \h </w:instrText>
      </w:r>
      <w:r w:rsidR="00300143">
        <w:fldChar w:fldCharType="separate"/>
      </w:r>
      <w:r w:rsidR="00D811A8">
        <w:rPr>
          <w:cs/>
        </w:rPr>
        <w:t>‎</w:t>
      </w:r>
      <w:r w:rsidR="00D811A8">
        <w:t>85</w:t>
      </w:r>
      <w:r w:rsidR="00300143">
        <w:fldChar w:fldCharType="end"/>
      </w:r>
      <w:r>
        <w:t xml:space="preserve">, apply to the exporting </w:t>
      </w:r>
      <w:r w:rsidR="00B65CFC">
        <w:t>electricity system</w:t>
      </w:r>
      <w:r w:rsidR="0045644E">
        <w:t>;</w:t>
      </w:r>
    </w:p>
    <w:p w14:paraId="5E0C40C8" w14:textId="1CE9BA35" w:rsidR="00402B15" w:rsidRDefault="00402B15">
      <w:pPr>
        <w:pStyle w:val="SDMSubPara2"/>
      </w:pPr>
      <w:r w:rsidRPr="00F77076">
        <w:rPr>
          <w:lang w:eastAsia="ja-JP"/>
        </w:rPr>
        <w:t>T</w:t>
      </w:r>
      <w:r w:rsidRPr="00BA1878">
        <w:t>he</w:t>
      </w:r>
      <w:r>
        <w:t xml:space="preserve"> average OM emission factor of the exporting electricity system, determined as described in section </w:t>
      </w:r>
      <w:r w:rsidR="00300143">
        <w:fldChar w:fldCharType="begin"/>
      </w:r>
      <w:r w:rsidR="00300143">
        <w:instrText xml:space="preserve"> REF _Ref221037618 \w \h </w:instrText>
      </w:r>
      <w:r w:rsidR="00300143">
        <w:fldChar w:fldCharType="separate"/>
      </w:r>
      <w:r w:rsidR="00D811A8">
        <w:rPr>
          <w:cs/>
        </w:rPr>
        <w:t>‎</w:t>
      </w:r>
      <w:r w:rsidR="00D811A8">
        <w:t>5.7.1.2.4</w:t>
      </w:r>
      <w:r w:rsidR="00300143">
        <w:fldChar w:fldCharType="end"/>
      </w:r>
      <w:r>
        <w:t>,</w:t>
      </w:r>
      <w:r w:rsidDel="00667CC3">
        <w:t xml:space="preserve"> </w:t>
      </w:r>
      <w:r>
        <w:t>where the conditions for this method, as described in paragraph</w:t>
      </w:r>
      <w:r w:rsidR="00371E1E">
        <w:t> </w:t>
      </w:r>
      <w:r w:rsidR="00300143">
        <w:fldChar w:fldCharType="begin"/>
      </w:r>
      <w:r w:rsidR="00300143">
        <w:instrText xml:space="preserve"> REF _Ref216176376 \w \h </w:instrText>
      </w:r>
      <w:r w:rsidR="00300143">
        <w:fldChar w:fldCharType="separate"/>
      </w:r>
      <w:r w:rsidR="00D811A8">
        <w:rPr>
          <w:cs/>
        </w:rPr>
        <w:t>‎</w:t>
      </w:r>
      <w:r w:rsidR="00D811A8">
        <w:t>91</w:t>
      </w:r>
      <w:r w:rsidR="00300143">
        <w:fldChar w:fldCharType="end"/>
      </w:r>
      <w:r>
        <w:t>, apply to the exporting electricity system</w:t>
      </w:r>
      <w:r w:rsidR="0045644E">
        <w:t>.</w:t>
      </w:r>
    </w:p>
    <w:p w14:paraId="4500C47C" w14:textId="0193ADC3" w:rsidR="00660023" w:rsidRDefault="00660023">
      <w:pPr>
        <w:pStyle w:val="SDMPara"/>
      </w:pPr>
      <w:r>
        <w:t xml:space="preserve">Any net electricity exports from the </w:t>
      </w:r>
      <w:r w:rsidR="552B20D0">
        <w:t>project</w:t>
      </w:r>
      <w:r w:rsidR="40E623C1">
        <w:t xml:space="preserve"> </w:t>
      </w:r>
      <w:r>
        <w:t xml:space="preserve">electricity system to a connected electricity system shall not be accounted for in the application of this </w:t>
      </w:r>
      <w:r w:rsidR="007F2B04">
        <w:t xml:space="preserve">methodological </w:t>
      </w:r>
      <w:r>
        <w:t>tool.</w:t>
      </w:r>
    </w:p>
    <w:p w14:paraId="497EA2F6" w14:textId="77777777" w:rsidR="00AF13FE" w:rsidRDefault="00272E6F">
      <w:pPr>
        <w:pStyle w:val="SDMHead5"/>
      </w:pPr>
      <w:bookmarkStart w:id="475" w:name="_Ref215698796"/>
      <w:bookmarkStart w:id="476" w:name="_Ref215687101"/>
      <w:r>
        <w:t>General requirements for determining</w:t>
      </w:r>
      <w:r w:rsidR="00AF13FE">
        <w:t xml:space="preserve"> </w:t>
      </w:r>
      <w:r w:rsidR="00AF13FE" w:rsidRPr="0061790D">
        <w:rPr>
          <w:lang w:val="en-US"/>
        </w:rPr>
        <w:t>CO</w:t>
      </w:r>
      <w:r w:rsidR="00AF13FE" w:rsidRPr="0061790D">
        <w:rPr>
          <w:vertAlign w:val="subscript"/>
          <w:lang w:val="en-US"/>
        </w:rPr>
        <w:t>2</w:t>
      </w:r>
      <w:r w:rsidR="00AF13FE">
        <w:t xml:space="preserve"> emission factors </w:t>
      </w:r>
      <w:r>
        <w:t>of</w:t>
      </w:r>
      <w:r w:rsidR="00AF13FE">
        <w:t xml:space="preserve"> power units</w:t>
      </w:r>
      <w:bookmarkEnd w:id="475"/>
      <w:bookmarkEnd w:id="476"/>
    </w:p>
    <w:p w14:paraId="1A3E9003" w14:textId="50295BCA" w:rsidR="007319A2" w:rsidRDefault="00FA5778">
      <w:pPr>
        <w:pStyle w:val="SDMPara"/>
      </w:pPr>
      <w:r>
        <w:t xml:space="preserve">This section sets out how activity participants shall determine the </w:t>
      </w:r>
      <w:r w:rsidRPr="0061790D">
        <w:rPr>
          <w:lang w:val="en-US"/>
        </w:rPr>
        <w:t>CO</w:t>
      </w:r>
      <w:r w:rsidRPr="0061790D">
        <w:rPr>
          <w:vertAlign w:val="subscript"/>
          <w:lang w:val="en-US"/>
        </w:rPr>
        <w:t>2</w:t>
      </w:r>
      <w:r>
        <w:t xml:space="preserve"> emission factors of power units </w:t>
      </w:r>
      <w:r w:rsidRPr="00FA5778">
        <w:rPr>
          <w:i/>
          <w:iCs/>
        </w:rPr>
        <w:t>p</w:t>
      </w:r>
      <w:r>
        <w:t xml:space="preserve">. The section applies to </w:t>
      </w:r>
      <w:r w:rsidR="00C01570">
        <w:t>the calculation</w:t>
      </w:r>
      <w:r w:rsidR="00A000FA">
        <w:t xml:space="preserve"> of</w:t>
      </w:r>
      <w:r w:rsidR="00C01570">
        <w:t xml:space="preserve"> </w:t>
      </w:r>
      <w:r>
        <w:t>both the BM and the OM emission factor.</w:t>
      </w:r>
    </w:p>
    <w:p w14:paraId="6D2771FE" w14:textId="77777777" w:rsidR="007319A2" w:rsidRDefault="00FA5778" w:rsidP="00C72647">
      <w:pPr>
        <w:pStyle w:val="SDMPara"/>
        <w:keepNext/>
      </w:pPr>
      <w:r w:rsidRPr="0038644B">
        <w:t xml:space="preserve">The </w:t>
      </w:r>
      <w:r w:rsidRPr="0061790D">
        <w:rPr>
          <w:lang w:val="en-US"/>
        </w:rPr>
        <w:t>CO</w:t>
      </w:r>
      <w:r w:rsidRPr="0061790D">
        <w:rPr>
          <w:vertAlign w:val="subscript"/>
          <w:lang w:val="en-US"/>
        </w:rPr>
        <w:t>2</w:t>
      </w:r>
      <w:r>
        <w:t xml:space="preserve"> </w:t>
      </w:r>
      <w:r w:rsidRPr="0038644B">
        <w:t>emission factor of each power unit</w:t>
      </w:r>
      <w:r>
        <w:t> </w:t>
      </w:r>
      <w:r>
        <w:rPr>
          <w:i/>
        </w:rPr>
        <w:t>p</w:t>
      </w:r>
      <w:r w:rsidRPr="0038644B">
        <w:t xml:space="preserve"> </w:t>
      </w:r>
      <w:r>
        <w:t>(</w:t>
      </w:r>
      <w:r w:rsidRPr="00F358C7">
        <w:rPr>
          <w:i/>
          <w:iCs/>
        </w:rPr>
        <w:t>EF</w:t>
      </w:r>
      <w:r w:rsidRPr="00F358C7">
        <w:rPr>
          <w:i/>
          <w:iCs/>
          <w:vertAlign w:val="subscript"/>
        </w:rPr>
        <w:t>EL,</w:t>
      </w:r>
      <w:r>
        <w:rPr>
          <w:i/>
          <w:iCs/>
          <w:vertAlign w:val="subscript"/>
        </w:rPr>
        <w:t>p</w:t>
      </w:r>
      <w:r w:rsidRPr="00F358C7">
        <w:rPr>
          <w:i/>
          <w:iCs/>
          <w:vertAlign w:val="subscript"/>
        </w:rPr>
        <w:t>,t</w:t>
      </w:r>
      <w:r>
        <w:t>) shall</w:t>
      </w:r>
      <w:r w:rsidRPr="0038644B">
        <w:t xml:space="preserve"> be determined as follows</w:t>
      </w:r>
      <w:r>
        <w:t>:</w:t>
      </w:r>
    </w:p>
    <w:p w14:paraId="1D4D123D" w14:textId="294D6DAA" w:rsidR="00FA5778" w:rsidRDefault="00FA5778" w:rsidP="00C72647">
      <w:pPr>
        <w:pStyle w:val="SDMSubPara1"/>
        <w:keepNext/>
      </w:pPr>
      <w:r w:rsidRPr="00F77076">
        <w:rPr>
          <w:b/>
        </w:rPr>
        <w:t>Option</w:t>
      </w:r>
      <w:r w:rsidR="00071748">
        <w:rPr>
          <w:b/>
        </w:rPr>
        <w:t> </w:t>
      </w:r>
      <w:r w:rsidRPr="00F77076">
        <w:rPr>
          <w:b/>
        </w:rPr>
        <w:t>1:</w:t>
      </w:r>
      <w:r w:rsidRPr="0038644B">
        <w:t xml:space="preserve"> </w:t>
      </w:r>
      <w:r w:rsidR="00A618FE">
        <w:t>i</w:t>
      </w:r>
      <w:r w:rsidR="00A618FE" w:rsidRPr="0038644B">
        <w:t>f</w:t>
      </w:r>
      <w:r w:rsidR="00C14C82">
        <w:t>,</w:t>
      </w:r>
      <w:r w:rsidRPr="0038644B">
        <w:t xml:space="preserve"> for a power unit</w:t>
      </w:r>
      <w:r>
        <w:t> </w:t>
      </w:r>
      <w:r w:rsidRPr="00F77076">
        <w:rPr>
          <w:i/>
        </w:rPr>
        <w:t>p</w:t>
      </w:r>
      <w:r w:rsidR="00C14C82">
        <w:rPr>
          <w:i/>
        </w:rPr>
        <w:t>,</w:t>
      </w:r>
      <w:r w:rsidRPr="0038644B">
        <w:t xml:space="preserve"> data on fuel consumption and </w:t>
      </w:r>
      <w:r>
        <w:t xml:space="preserve">net </w:t>
      </w:r>
      <w:r w:rsidRPr="0038644B">
        <w:t xml:space="preserve">electricity generation </w:t>
      </w:r>
      <w:r w:rsidR="00C00CE0">
        <w:t>are</w:t>
      </w:r>
      <w:r w:rsidR="00C00CE0" w:rsidRPr="0038644B">
        <w:t xml:space="preserve"> </w:t>
      </w:r>
      <w:r w:rsidRPr="0038644B">
        <w:t xml:space="preserve">available, the emission factor </w:t>
      </w:r>
      <w:r>
        <w:t>shall</w:t>
      </w:r>
      <w:r w:rsidRPr="0038644B">
        <w:t xml:space="preserve"> be determined as follows:</w:t>
      </w:r>
    </w:p>
    <w:p w14:paraId="19A2F724" w14:textId="20F7DE0B" w:rsidR="00257247" w:rsidRDefault="00257247" w:rsidP="00C72647">
      <w:pPr>
        <w:pStyle w:val="SDMSubPara2"/>
        <w:keepNext/>
      </w:pPr>
      <w:r>
        <w:t xml:space="preserve">Where </w:t>
      </w:r>
      <w:r w:rsidR="003665F9">
        <w:t>the power unit is not a cogeneration unit:</w:t>
      </w:r>
    </w:p>
    <w:tbl>
      <w:tblPr>
        <w:tblStyle w:val="SDMMethTableEquation"/>
        <w:tblW w:w="8760" w:type="dxa"/>
        <w:tblLook w:val="0600" w:firstRow="0" w:lastRow="0" w:firstColumn="0" w:lastColumn="0" w:noHBand="1" w:noVBand="1"/>
      </w:tblPr>
      <w:tblGrid>
        <w:gridCol w:w="7103"/>
        <w:gridCol w:w="1657"/>
      </w:tblGrid>
      <w:tr w:rsidR="00F832D6" w:rsidRPr="00E32F75" w14:paraId="13EF36FD" w14:textId="77777777">
        <w:tc>
          <w:tcPr>
            <w:tcW w:w="7224" w:type="dxa"/>
          </w:tcPr>
          <w:p w14:paraId="7D4317D0" w14:textId="5F2CD7AB" w:rsidR="00F832D6" w:rsidRPr="00071748" w:rsidRDefault="00000000" w:rsidP="00071748">
            <w:pPr>
              <w:pStyle w:val="SDMMethEquation"/>
              <w:ind w:left="1418"/>
            </w:pPr>
            <m:oMathPara>
              <m:oMathParaPr>
                <m:jc m:val="left"/>
              </m:oMathParaPr>
              <m:oMath>
                <m:sSub>
                  <m:sSubPr>
                    <m:ctrlPr>
                      <w:rPr>
                        <w:rFonts w:ascii="Cambria Math" w:hAnsi="Cambria Math" w:cs="Cambria Math"/>
                        <w:i/>
                      </w:rPr>
                    </m:ctrlPr>
                  </m:sSubPr>
                  <m:e>
                    <m:r>
                      <w:rPr>
                        <w:rFonts w:ascii="Cambria Math" w:hAnsi="Cambria Math" w:cs="Cambria Math"/>
                      </w:rPr>
                      <m:t>EF</m:t>
                    </m:r>
                  </m:e>
                  <m:sub>
                    <m:r>
                      <w:rPr>
                        <w:rFonts w:ascii="Cambria Math" w:hAnsi="Cambria Math" w:cs="Cambria Math"/>
                      </w:rPr>
                      <m:t>EL,p,t</m:t>
                    </m:r>
                  </m:sub>
                </m:sSub>
                <m:r>
                  <m:rPr>
                    <m:sty m:val="p"/>
                  </m:rPr>
                  <w:rPr>
                    <w:rFonts w:ascii="Cambria Math" w:hAnsi="Cambria Math" w:cs="Cambria Math"/>
                  </w:rPr>
                  <m:t>=</m:t>
                </m:r>
                <m:f>
                  <m:fPr>
                    <m:ctrlPr>
                      <w:rPr>
                        <w:rFonts w:ascii="Cambria Math" w:hAnsi="Cambria Math"/>
                      </w:rPr>
                    </m:ctrlPr>
                  </m:fPr>
                  <m:num>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FC</m:t>
                            </m:r>
                          </m:e>
                          <m:sub>
                            <m:r>
                              <w:rPr>
                                <w:rFonts w:ascii="Cambria Math" w:hAnsi="Cambria Math"/>
                              </w:rPr>
                              <m:t>i,p,t</m:t>
                            </m:r>
                          </m:sub>
                        </m:sSub>
                        <m:r>
                          <w:rPr>
                            <w:rFonts w:ascii="Cambria Math" w:hAnsi="Cambria Math"/>
                          </w:rPr>
                          <m:t>×</m:t>
                        </m:r>
                        <m:sSub>
                          <m:sSubPr>
                            <m:ctrlPr>
                              <w:rPr>
                                <w:rFonts w:ascii="Cambria Math" w:hAnsi="Cambria Math"/>
                                <w:i/>
                              </w:rPr>
                            </m:ctrlPr>
                          </m:sSubPr>
                          <m:e>
                            <m:r>
                              <w:rPr>
                                <w:rFonts w:ascii="Cambria Math" w:hAnsi="Cambria Math"/>
                              </w:rPr>
                              <m:t>NCV</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CO2,i,t</m:t>
                            </m:r>
                          </m:sub>
                        </m:sSub>
                      </m:e>
                    </m:nary>
                  </m:num>
                  <m:den>
                    <m:sSub>
                      <m:sSubPr>
                        <m:ctrlPr>
                          <w:rPr>
                            <w:rFonts w:ascii="Cambria Math" w:hAnsi="Cambria Math" w:cs="Cambria Math"/>
                          </w:rPr>
                        </m:ctrlPr>
                      </m:sSubPr>
                      <m:e>
                        <m:r>
                          <w:rPr>
                            <w:rFonts w:ascii="Cambria Math" w:hAnsi="Cambria Math" w:cs="Cambria Math"/>
                          </w:rPr>
                          <m:t>EG</m:t>
                        </m:r>
                      </m:e>
                      <m:sub>
                        <m:r>
                          <w:rPr>
                            <w:rFonts w:ascii="Cambria Math" w:hAnsi="Cambria Math" w:cs="Cambria Math"/>
                          </w:rPr>
                          <m:t>p,t</m:t>
                        </m:r>
                      </m:sub>
                    </m:sSub>
                  </m:den>
                </m:f>
              </m:oMath>
            </m:oMathPara>
          </w:p>
        </w:tc>
        <w:tc>
          <w:tcPr>
            <w:tcW w:w="1701" w:type="dxa"/>
          </w:tcPr>
          <w:p w14:paraId="11F58B57" w14:textId="77777777" w:rsidR="00F832D6" w:rsidRPr="002B6960" w:rsidRDefault="00F832D6">
            <w:pPr>
              <w:pStyle w:val="SDMMethEquationNr"/>
              <w:numPr>
                <w:ilvl w:val="0"/>
                <w:numId w:val="6"/>
              </w:numPr>
            </w:pPr>
          </w:p>
        </w:tc>
      </w:tr>
    </w:tbl>
    <w:p w14:paraId="5B1D4C18" w14:textId="77777777" w:rsidR="00F832D6" w:rsidRDefault="00F832D6" w:rsidP="00C72647">
      <w:pPr>
        <w:pStyle w:val="SDMMethCaptionEquationParametersTable"/>
        <w:tabs>
          <w:tab w:val="clear" w:pos="1134"/>
          <w:tab w:val="left" w:pos="1276"/>
        </w:tabs>
      </w:pPr>
      <w:r>
        <w:t>Where:</w:t>
      </w:r>
    </w:p>
    <w:tbl>
      <w:tblPr>
        <w:tblStyle w:val="SDMMethTableEquationParameters"/>
        <w:tblW w:w="8647" w:type="dxa"/>
        <w:tblInd w:w="601" w:type="dxa"/>
        <w:tblLook w:val="04A0" w:firstRow="1" w:lastRow="0" w:firstColumn="1" w:lastColumn="0" w:noHBand="0" w:noVBand="1"/>
      </w:tblPr>
      <w:tblGrid>
        <w:gridCol w:w="1701"/>
        <w:gridCol w:w="425"/>
        <w:gridCol w:w="6521"/>
      </w:tblGrid>
      <w:tr w:rsidR="003D19A2" w14:paraId="72123ACE" w14:textId="77777777" w:rsidTr="00AC5985">
        <w:tc>
          <w:tcPr>
            <w:tcW w:w="1701" w:type="dxa"/>
            <w:vAlign w:val="top"/>
          </w:tcPr>
          <w:p w14:paraId="0DFD19CD" w14:textId="3A81EB88" w:rsidR="003D19A2" w:rsidRPr="003D19A2" w:rsidRDefault="00000000" w:rsidP="00AC5985">
            <w:pPr>
              <w:pStyle w:val="SDMTableBoxParaNotNumbered"/>
              <w:tabs>
                <w:tab w:val="left" w:pos="1276"/>
              </w:tabs>
            </w:pPr>
            <m:oMathPara>
              <m:oMathParaPr>
                <m:jc m:val="left"/>
              </m:oMathParaPr>
              <m:oMath>
                <m:sSub>
                  <m:sSubPr>
                    <m:ctrlPr>
                      <w:rPr>
                        <w:rFonts w:ascii="Cambria Math" w:hAnsi="Cambria Math" w:cs="Cambria Math"/>
                        <w:i/>
                      </w:rPr>
                    </m:ctrlPr>
                  </m:sSubPr>
                  <m:e>
                    <m:r>
                      <w:rPr>
                        <w:rFonts w:ascii="Cambria Math" w:hAnsi="Cambria Math" w:cs="Cambria Math"/>
                      </w:rPr>
                      <m:t>EF</m:t>
                    </m:r>
                  </m:e>
                  <m:sub>
                    <m:r>
                      <w:rPr>
                        <w:rFonts w:ascii="Cambria Math" w:hAnsi="Cambria Math" w:cs="Cambria Math"/>
                      </w:rPr>
                      <m:t>EL,p,t</m:t>
                    </m:r>
                  </m:sub>
                </m:sSub>
              </m:oMath>
            </m:oMathPara>
          </w:p>
        </w:tc>
        <w:tc>
          <w:tcPr>
            <w:tcW w:w="425" w:type="dxa"/>
            <w:vAlign w:val="top"/>
          </w:tcPr>
          <w:p w14:paraId="41D38239" w14:textId="77777777" w:rsidR="003D19A2" w:rsidRDefault="003D19A2" w:rsidP="00AC5985">
            <w:pPr>
              <w:pStyle w:val="SDMTableBoxParaNotNumbered"/>
              <w:tabs>
                <w:tab w:val="left" w:pos="1276"/>
              </w:tabs>
              <w:ind w:left="601" w:hanging="601"/>
            </w:pPr>
            <w:r>
              <w:t>=</w:t>
            </w:r>
          </w:p>
        </w:tc>
        <w:tc>
          <w:tcPr>
            <w:tcW w:w="6521" w:type="dxa"/>
            <w:vAlign w:val="top"/>
          </w:tcPr>
          <w:p w14:paraId="6A3799C0" w14:textId="5849AC73" w:rsidR="003D19A2" w:rsidRDefault="003D19A2" w:rsidP="00AC5985">
            <w:pPr>
              <w:pStyle w:val="SDMTableBoxParaNotNumbered"/>
              <w:tabs>
                <w:tab w:val="left" w:pos="65"/>
              </w:tabs>
              <w:ind w:left="36"/>
            </w:pPr>
            <w:r>
              <w:t>CO</w:t>
            </w:r>
            <w:r w:rsidRPr="00FE67D5">
              <w:rPr>
                <w:vertAlign w:val="subscript"/>
              </w:rPr>
              <w:t>2</w:t>
            </w:r>
            <w:r w:rsidRPr="0038644B">
              <w:t xml:space="preserve"> emission factor of power unit</w:t>
            </w:r>
            <w:r>
              <w:t> </w:t>
            </w:r>
            <w:r>
              <w:rPr>
                <w:i/>
              </w:rPr>
              <w:t>p</w:t>
            </w:r>
            <w:r w:rsidRPr="0038644B">
              <w:t xml:space="preserve"> in </w:t>
            </w:r>
            <w:r w:rsidRPr="00F358C7">
              <w:t>period </w:t>
            </w:r>
            <w:r w:rsidRPr="41342212">
              <w:rPr>
                <w:i/>
                <w:iCs/>
              </w:rPr>
              <w:t>t</w:t>
            </w:r>
            <w:r>
              <w:t xml:space="preserve"> </w:t>
            </w:r>
            <w:r w:rsidRPr="0038644B">
              <w:t>(t</w:t>
            </w:r>
            <w:r>
              <w:t> CO</w:t>
            </w:r>
            <w:r w:rsidRPr="00FE67D5">
              <w:rPr>
                <w:vertAlign w:val="subscript"/>
              </w:rPr>
              <w:t>2</w:t>
            </w:r>
            <w:r w:rsidRPr="0038644B">
              <w:t>/MWh)</w:t>
            </w:r>
          </w:p>
        </w:tc>
      </w:tr>
      <w:tr w:rsidR="003D19A2" w14:paraId="2F263C7E" w14:textId="77777777" w:rsidTr="00AC5985">
        <w:tc>
          <w:tcPr>
            <w:tcW w:w="1701" w:type="dxa"/>
            <w:vAlign w:val="top"/>
          </w:tcPr>
          <w:p w14:paraId="4066EBCB" w14:textId="432ED4A0" w:rsidR="003D19A2" w:rsidRPr="003D19A2" w:rsidRDefault="00000000" w:rsidP="00AC5985">
            <w:pPr>
              <w:pStyle w:val="SDMTableBoxParaNotNumbered"/>
              <w:tabs>
                <w:tab w:val="left" w:pos="1276"/>
              </w:tabs>
              <w:ind w:left="30"/>
            </w:pPr>
            <m:oMathPara>
              <m:oMathParaPr>
                <m:jc m:val="left"/>
              </m:oMathParaPr>
              <m:oMath>
                <m:sSub>
                  <m:sSubPr>
                    <m:ctrlPr>
                      <w:rPr>
                        <w:rFonts w:ascii="Cambria Math" w:hAnsi="Cambria Math"/>
                        <w:i/>
                      </w:rPr>
                    </m:ctrlPr>
                  </m:sSubPr>
                  <m:e>
                    <m:r>
                      <w:rPr>
                        <w:rFonts w:ascii="Cambria Math" w:hAnsi="Cambria Math"/>
                      </w:rPr>
                      <m:t>FC</m:t>
                    </m:r>
                  </m:e>
                  <m:sub>
                    <m:r>
                      <w:rPr>
                        <w:rFonts w:ascii="Cambria Math" w:hAnsi="Cambria Math"/>
                      </w:rPr>
                      <m:t>i,p,t</m:t>
                    </m:r>
                  </m:sub>
                </m:sSub>
              </m:oMath>
            </m:oMathPara>
          </w:p>
        </w:tc>
        <w:tc>
          <w:tcPr>
            <w:tcW w:w="425" w:type="dxa"/>
            <w:vAlign w:val="top"/>
          </w:tcPr>
          <w:p w14:paraId="4770A76F" w14:textId="77777777" w:rsidR="003D19A2" w:rsidRDefault="003D19A2" w:rsidP="00AC5985">
            <w:pPr>
              <w:pStyle w:val="SDMTableBoxParaNotNumbered"/>
              <w:tabs>
                <w:tab w:val="left" w:pos="1276"/>
              </w:tabs>
              <w:ind w:left="601" w:hanging="601"/>
            </w:pPr>
            <w:r>
              <w:t>=</w:t>
            </w:r>
          </w:p>
        </w:tc>
        <w:tc>
          <w:tcPr>
            <w:tcW w:w="6521" w:type="dxa"/>
            <w:vAlign w:val="top"/>
          </w:tcPr>
          <w:p w14:paraId="440DC34C" w14:textId="77777777" w:rsidR="009C0775" w:rsidRDefault="003D19A2" w:rsidP="00AC5985">
            <w:pPr>
              <w:pStyle w:val="SDMTableBoxParaNotNumbered"/>
              <w:tabs>
                <w:tab w:val="left" w:pos="1276"/>
              </w:tabs>
              <w:ind w:left="36"/>
              <w:rPr>
                <w:i/>
                <w:iCs/>
              </w:rPr>
            </w:pPr>
            <w:r w:rsidRPr="0038644B">
              <w:t>Amount of fuel type</w:t>
            </w:r>
            <w:r>
              <w:t> </w:t>
            </w:r>
            <w:r w:rsidRPr="0038644B">
              <w:rPr>
                <w:i/>
                <w:iCs/>
              </w:rPr>
              <w:t xml:space="preserve">i </w:t>
            </w:r>
            <w:r w:rsidRPr="0038644B">
              <w:t>consumed by power unit</w:t>
            </w:r>
            <w:r>
              <w:t> </w:t>
            </w:r>
            <w:r>
              <w:rPr>
                <w:i/>
                <w:iCs/>
              </w:rPr>
              <w:t>p</w:t>
            </w:r>
            <w:r w:rsidRPr="0038644B">
              <w:rPr>
                <w:i/>
                <w:iCs/>
              </w:rPr>
              <w:t xml:space="preserve"> </w:t>
            </w:r>
            <w:r>
              <w:t>in</w:t>
            </w:r>
            <w:r w:rsidRPr="0038644B">
              <w:rPr>
                <w:i/>
                <w:iCs/>
              </w:rPr>
              <w:t xml:space="preserve"> </w:t>
            </w:r>
            <w:r w:rsidRPr="00BF7891">
              <w:t>period</w:t>
            </w:r>
            <w:r>
              <w:rPr>
                <w:i/>
                <w:iCs/>
              </w:rPr>
              <w:t> </w:t>
            </w:r>
            <w:r w:rsidRPr="41342212">
              <w:rPr>
                <w:i/>
                <w:iCs/>
              </w:rPr>
              <w:t>t</w:t>
            </w:r>
          </w:p>
          <w:p w14:paraId="47D41B40" w14:textId="27821288" w:rsidR="003D19A2" w:rsidRDefault="003D19A2" w:rsidP="00AC5985">
            <w:pPr>
              <w:pStyle w:val="SDMTableBoxParaNotNumbered"/>
              <w:tabs>
                <w:tab w:val="left" w:pos="1276"/>
              </w:tabs>
              <w:ind w:left="36"/>
            </w:pPr>
            <w:r w:rsidRPr="0038644B">
              <w:t>(Mass or volume unit)</w:t>
            </w:r>
          </w:p>
        </w:tc>
      </w:tr>
      <w:tr w:rsidR="003D19A2" w14:paraId="7A8F80C3" w14:textId="77777777" w:rsidTr="00AC5985">
        <w:tc>
          <w:tcPr>
            <w:tcW w:w="1701" w:type="dxa"/>
            <w:vAlign w:val="top"/>
          </w:tcPr>
          <w:p w14:paraId="68EB8A3C" w14:textId="47E3C96E" w:rsidR="003D19A2" w:rsidRPr="003D19A2" w:rsidRDefault="00000000" w:rsidP="00AC5985">
            <w:pPr>
              <w:pStyle w:val="SDMTableBoxParaNotNumbered"/>
              <w:tabs>
                <w:tab w:val="left" w:pos="1276"/>
              </w:tabs>
              <w:ind w:left="30"/>
            </w:pPr>
            <m:oMathPara>
              <m:oMathParaPr>
                <m:jc m:val="left"/>
              </m:oMathParaPr>
              <m:oMath>
                <m:sSub>
                  <m:sSubPr>
                    <m:ctrlPr>
                      <w:rPr>
                        <w:rFonts w:ascii="Cambria Math" w:hAnsi="Cambria Math"/>
                        <w:i/>
                      </w:rPr>
                    </m:ctrlPr>
                  </m:sSubPr>
                  <m:e>
                    <m:r>
                      <w:rPr>
                        <w:rFonts w:ascii="Cambria Math" w:hAnsi="Cambria Math"/>
                      </w:rPr>
                      <m:t>NCV</m:t>
                    </m:r>
                  </m:e>
                  <m:sub>
                    <m:r>
                      <w:rPr>
                        <w:rFonts w:ascii="Cambria Math" w:hAnsi="Cambria Math"/>
                      </w:rPr>
                      <m:t>i,t</m:t>
                    </m:r>
                  </m:sub>
                </m:sSub>
              </m:oMath>
            </m:oMathPara>
          </w:p>
        </w:tc>
        <w:tc>
          <w:tcPr>
            <w:tcW w:w="425" w:type="dxa"/>
            <w:vAlign w:val="top"/>
          </w:tcPr>
          <w:p w14:paraId="2F22FF2F" w14:textId="77777777" w:rsidR="003D19A2" w:rsidRDefault="003D19A2" w:rsidP="00AC5985">
            <w:pPr>
              <w:pStyle w:val="SDMTableBoxParaNotNumbered"/>
              <w:tabs>
                <w:tab w:val="left" w:pos="1276"/>
              </w:tabs>
              <w:ind w:left="601" w:hanging="601"/>
            </w:pPr>
            <w:r>
              <w:t>=</w:t>
            </w:r>
          </w:p>
        </w:tc>
        <w:tc>
          <w:tcPr>
            <w:tcW w:w="6521" w:type="dxa"/>
            <w:vAlign w:val="top"/>
          </w:tcPr>
          <w:p w14:paraId="1DB82890" w14:textId="77777777" w:rsidR="009C0775" w:rsidRDefault="003D19A2" w:rsidP="00AC5985">
            <w:pPr>
              <w:pStyle w:val="SDMTableBoxParaNotNumbered"/>
              <w:tabs>
                <w:tab w:val="left" w:pos="1276"/>
              </w:tabs>
              <w:ind w:left="36"/>
              <w:rPr>
                <w:i/>
                <w:iCs/>
              </w:rPr>
            </w:pPr>
            <w:r w:rsidRPr="0038644B">
              <w:t>Net calorific value (energy content) of fuel type</w:t>
            </w:r>
            <w:r>
              <w:t> </w:t>
            </w:r>
            <w:r w:rsidRPr="0038644B">
              <w:rPr>
                <w:i/>
                <w:iCs/>
              </w:rPr>
              <w:t>i</w:t>
            </w:r>
            <w:r w:rsidRPr="0038644B">
              <w:t xml:space="preserve"> in </w:t>
            </w:r>
            <w:r w:rsidRPr="00FA5778">
              <w:t>period</w:t>
            </w:r>
            <w:r>
              <w:rPr>
                <w:i/>
                <w:iCs/>
              </w:rPr>
              <w:t> </w:t>
            </w:r>
            <w:r w:rsidRPr="41342212">
              <w:rPr>
                <w:i/>
                <w:iCs/>
              </w:rPr>
              <w:t>t</w:t>
            </w:r>
          </w:p>
          <w:p w14:paraId="6CA46A50" w14:textId="211E2D2F" w:rsidR="003D19A2" w:rsidRDefault="003D19A2" w:rsidP="00AC5985">
            <w:pPr>
              <w:pStyle w:val="SDMTableBoxParaNotNumbered"/>
              <w:tabs>
                <w:tab w:val="left" w:pos="1276"/>
              </w:tabs>
              <w:ind w:left="36"/>
            </w:pPr>
            <w:r w:rsidRPr="0038644B">
              <w:t>(GJ/mass or volume unit)</w:t>
            </w:r>
          </w:p>
        </w:tc>
      </w:tr>
      <w:tr w:rsidR="003D19A2" w14:paraId="559AFF2A" w14:textId="77777777" w:rsidTr="00AC5985">
        <w:tc>
          <w:tcPr>
            <w:tcW w:w="1701" w:type="dxa"/>
            <w:vAlign w:val="top"/>
          </w:tcPr>
          <w:p w14:paraId="7E5B6187" w14:textId="3A0060AA" w:rsidR="003D19A2" w:rsidRPr="003D19A2" w:rsidRDefault="00000000" w:rsidP="00AC5985">
            <w:pPr>
              <w:pStyle w:val="SDMTableBoxParaNotNumbered"/>
              <w:tabs>
                <w:tab w:val="left" w:pos="1276"/>
              </w:tabs>
              <w:ind w:left="30"/>
            </w:pPr>
            <m:oMathPara>
              <m:oMathParaPr>
                <m:jc m:val="left"/>
              </m:oMathParaPr>
              <m:oMath>
                <m:sSub>
                  <m:sSubPr>
                    <m:ctrlPr>
                      <w:rPr>
                        <w:rFonts w:ascii="Cambria Math" w:hAnsi="Cambria Math"/>
                        <w:i/>
                      </w:rPr>
                    </m:ctrlPr>
                  </m:sSubPr>
                  <m:e>
                    <m:r>
                      <w:rPr>
                        <w:rFonts w:ascii="Cambria Math" w:hAnsi="Cambria Math"/>
                      </w:rPr>
                      <m:t>EF</m:t>
                    </m:r>
                  </m:e>
                  <m:sub>
                    <m:r>
                      <w:rPr>
                        <w:rFonts w:ascii="Cambria Math" w:hAnsi="Cambria Math"/>
                      </w:rPr>
                      <m:t>CO2,i,t</m:t>
                    </m:r>
                  </m:sub>
                </m:sSub>
              </m:oMath>
            </m:oMathPara>
          </w:p>
        </w:tc>
        <w:tc>
          <w:tcPr>
            <w:tcW w:w="425" w:type="dxa"/>
            <w:vAlign w:val="top"/>
          </w:tcPr>
          <w:p w14:paraId="12B975A0" w14:textId="60511EBE" w:rsidR="003D19A2" w:rsidRDefault="003D19A2" w:rsidP="00AC5985">
            <w:pPr>
              <w:pStyle w:val="SDMTableBoxParaNotNumbered"/>
              <w:tabs>
                <w:tab w:val="left" w:pos="1276"/>
              </w:tabs>
              <w:ind w:left="601" w:hanging="601"/>
            </w:pPr>
            <w:r>
              <w:t>=</w:t>
            </w:r>
          </w:p>
        </w:tc>
        <w:tc>
          <w:tcPr>
            <w:tcW w:w="6521" w:type="dxa"/>
            <w:vAlign w:val="top"/>
          </w:tcPr>
          <w:p w14:paraId="6FE23F15" w14:textId="5EFA0D77" w:rsidR="003D19A2" w:rsidRDefault="003D19A2" w:rsidP="00AC5985">
            <w:pPr>
              <w:pStyle w:val="SDMTableBoxParaNotNumbered"/>
              <w:tabs>
                <w:tab w:val="left" w:pos="1276"/>
              </w:tabs>
              <w:ind w:left="36"/>
            </w:pPr>
            <w:r>
              <w:t>CO</w:t>
            </w:r>
            <w:r w:rsidRPr="00FE67D5">
              <w:rPr>
                <w:vertAlign w:val="subscript"/>
              </w:rPr>
              <w:t>2</w:t>
            </w:r>
            <w:r w:rsidRPr="0038644B">
              <w:t xml:space="preserve"> emission factor of fuel type</w:t>
            </w:r>
            <w:r>
              <w:t> </w:t>
            </w:r>
            <w:r w:rsidRPr="0038644B">
              <w:rPr>
                <w:i/>
                <w:iCs/>
              </w:rPr>
              <w:t>i</w:t>
            </w:r>
            <w:r w:rsidRPr="0038644B">
              <w:t xml:space="preserve"> in </w:t>
            </w:r>
            <w:r w:rsidRPr="00FA5778">
              <w:t>period</w:t>
            </w:r>
            <w:r>
              <w:rPr>
                <w:i/>
                <w:iCs/>
              </w:rPr>
              <w:t> </w:t>
            </w:r>
            <w:r w:rsidRPr="41342212">
              <w:rPr>
                <w:i/>
                <w:iCs/>
              </w:rPr>
              <w:t>t</w:t>
            </w:r>
            <w:r>
              <w:t xml:space="preserve"> </w:t>
            </w:r>
            <w:r w:rsidRPr="0038644B">
              <w:rPr>
                <w:iCs/>
              </w:rPr>
              <w:t>(t</w:t>
            </w:r>
            <w:r>
              <w:rPr>
                <w:iCs/>
              </w:rPr>
              <w:t> CO</w:t>
            </w:r>
            <w:r w:rsidRPr="00FE67D5">
              <w:rPr>
                <w:iCs/>
                <w:vertAlign w:val="subscript"/>
              </w:rPr>
              <w:t>2</w:t>
            </w:r>
            <w:r w:rsidRPr="0038644B">
              <w:rPr>
                <w:iCs/>
              </w:rPr>
              <w:t>/GJ)</w:t>
            </w:r>
          </w:p>
        </w:tc>
      </w:tr>
      <w:tr w:rsidR="003D19A2" w14:paraId="42D0D390" w14:textId="77777777" w:rsidTr="00AC5985">
        <w:tc>
          <w:tcPr>
            <w:tcW w:w="1701" w:type="dxa"/>
            <w:vAlign w:val="top"/>
          </w:tcPr>
          <w:p w14:paraId="2EBF9F75" w14:textId="637DF91F" w:rsidR="003D19A2" w:rsidRPr="003D19A2" w:rsidRDefault="00000000" w:rsidP="00AC5985">
            <w:pPr>
              <w:pStyle w:val="SDMTableBoxParaNotNumbered"/>
              <w:tabs>
                <w:tab w:val="left" w:pos="1276"/>
              </w:tabs>
              <w:ind w:left="30"/>
            </w:pPr>
            <m:oMathPara>
              <m:oMathParaPr>
                <m:jc m:val="left"/>
              </m:oMathParaPr>
              <m:oMath>
                <m:sSub>
                  <m:sSubPr>
                    <m:ctrlPr>
                      <w:rPr>
                        <w:rFonts w:ascii="Cambria Math" w:hAnsi="Cambria Math" w:cs="Cambria Math"/>
                      </w:rPr>
                    </m:ctrlPr>
                  </m:sSubPr>
                  <m:e>
                    <m:r>
                      <w:rPr>
                        <w:rFonts w:ascii="Cambria Math" w:hAnsi="Cambria Math" w:cs="Cambria Math"/>
                      </w:rPr>
                      <m:t>EG</m:t>
                    </m:r>
                  </m:e>
                  <m:sub>
                    <m:r>
                      <w:rPr>
                        <w:rFonts w:ascii="Cambria Math" w:hAnsi="Cambria Math" w:cs="Cambria Math"/>
                      </w:rPr>
                      <m:t>p,t</m:t>
                    </m:r>
                  </m:sub>
                </m:sSub>
              </m:oMath>
            </m:oMathPara>
          </w:p>
        </w:tc>
        <w:tc>
          <w:tcPr>
            <w:tcW w:w="425" w:type="dxa"/>
            <w:vAlign w:val="top"/>
          </w:tcPr>
          <w:p w14:paraId="08550AE6" w14:textId="23153A4A" w:rsidR="003D19A2" w:rsidRDefault="003D19A2" w:rsidP="00AC5985">
            <w:pPr>
              <w:pStyle w:val="SDMTableBoxParaNotNumbered"/>
              <w:tabs>
                <w:tab w:val="left" w:pos="1276"/>
              </w:tabs>
              <w:ind w:left="601" w:hanging="601"/>
            </w:pPr>
            <w:r>
              <w:t>=</w:t>
            </w:r>
          </w:p>
        </w:tc>
        <w:tc>
          <w:tcPr>
            <w:tcW w:w="6521" w:type="dxa"/>
            <w:vAlign w:val="top"/>
          </w:tcPr>
          <w:p w14:paraId="418FC04B" w14:textId="6D11D772" w:rsidR="003D19A2" w:rsidRDefault="003D19A2" w:rsidP="00AC5985">
            <w:pPr>
              <w:pStyle w:val="SDMTableBoxParaNotNumbered"/>
              <w:tabs>
                <w:tab w:val="left" w:pos="1276"/>
              </w:tabs>
              <w:ind w:left="36"/>
            </w:pPr>
            <w:r w:rsidRPr="0038644B">
              <w:t xml:space="preserve">Net quantity of electricity generated and delivered to the </w:t>
            </w:r>
            <w:r>
              <w:t>electricity system</w:t>
            </w:r>
            <w:r w:rsidRPr="0038644B">
              <w:t xml:space="preserve"> by power unit</w:t>
            </w:r>
            <w:r>
              <w:t> </w:t>
            </w:r>
            <w:r w:rsidRPr="4D9D17D7">
              <w:rPr>
                <w:i/>
                <w:iCs/>
              </w:rPr>
              <w:t>p</w:t>
            </w:r>
            <w:r w:rsidRPr="0038644B">
              <w:rPr>
                <w:i/>
              </w:rPr>
              <w:t xml:space="preserve"> </w:t>
            </w:r>
            <w:r w:rsidRPr="0038644B">
              <w:t xml:space="preserve">in </w:t>
            </w:r>
            <w:r w:rsidRPr="00FA5778">
              <w:t>period</w:t>
            </w:r>
            <w:r>
              <w:rPr>
                <w:i/>
                <w:iCs/>
              </w:rPr>
              <w:t> </w:t>
            </w:r>
            <w:r w:rsidRPr="41342212">
              <w:rPr>
                <w:i/>
                <w:iCs/>
              </w:rPr>
              <w:t xml:space="preserve">t </w:t>
            </w:r>
            <w:r w:rsidRPr="0038644B">
              <w:t>(MWh)</w:t>
            </w:r>
          </w:p>
        </w:tc>
      </w:tr>
      <w:tr w:rsidR="003D19A2" w14:paraId="296C5736" w14:textId="77777777" w:rsidTr="00AC5985">
        <w:tc>
          <w:tcPr>
            <w:tcW w:w="1701" w:type="dxa"/>
            <w:vAlign w:val="top"/>
          </w:tcPr>
          <w:p w14:paraId="0E98B099" w14:textId="258B6CB2" w:rsidR="003D19A2" w:rsidRPr="001869A3" w:rsidRDefault="00826B6C" w:rsidP="00AC5985">
            <w:pPr>
              <w:pStyle w:val="SDMTableBoxParaNotNumbered"/>
              <w:tabs>
                <w:tab w:val="left" w:pos="1276"/>
              </w:tabs>
              <w:ind w:left="30"/>
              <w:rPr>
                <w:i/>
              </w:rPr>
            </w:pPr>
            <m:oMathPara>
              <m:oMathParaPr>
                <m:jc m:val="left"/>
              </m:oMathParaPr>
              <m:oMath>
                <m:r>
                  <w:rPr>
                    <w:rFonts w:ascii="Cambria Math" w:hAnsi="Cambria Math" w:cs="Cambria Math"/>
                  </w:rPr>
                  <m:t>p</m:t>
                </m:r>
              </m:oMath>
            </m:oMathPara>
          </w:p>
        </w:tc>
        <w:tc>
          <w:tcPr>
            <w:tcW w:w="425" w:type="dxa"/>
            <w:vAlign w:val="top"/>
          </w:tcPr>
          <w:p w14:paraId="12BBA3DE" w14:textId="3C5A6BCA" w:rsidR="003D19A2" w:rsidRDefault="003D19A2" w:rsidP="00AC5985">
            <w:pPr>
              <w:pStyle w:val="SDMTableBoxParaNotNumbered"/>
              <w:tabs>
                <w:tab w:val="left" w:pos="1276"/>
              </w:tabs>
              <w:ind w:left="601" w:hanging="601"/>
            </w:pPr>
            <w:r>
              <w:t>=</w:t>
            </w:r>
          </w:p>
        </w:tc>
        <w:tc>
          <w:tcPr>
            <w:tcW w:w="6521" w:type="dxa"/>
            <w:vAlign w:val="top"/>
          </w:tcPr>
          <w:p w14:paraId="438A3DA9" w14:textId="6F913529" w:rsidR="003D19A2" w:rsidRDefault="003D19A2" w:rsidP="00AC5985">
            <w:pPr>
              <w:pStyle w:val="SDMTableBoxParaNotNumbered"/>
              <w:tabs>
                <w:tab w:val="left" w:pos="1276"/>
              </w:tabs>
              <w:ind w:left="36"/>
            </w:pPr>
            <w:r w:rsidRPr="0038644B">
              <w:t xml:space="preserve">All </w:t>
            </w:r>
            <w:r>
              <w:t xml:space="preserve">relevant </w:t>
            </w:r>
            <w:r w:rsidRPr="0038644B">
              <w:t xml:space="preserve">power units serving the </w:t>
            </w:r>
            <w:r>
              <w:t>electricity system</w:t>
            </w:r>
            <w:r w:rsidRPr="0038644B">
              <w:t xml:space="preserve"> in </w:t>
            </w:r>
            <w:r w:rsidR="00A932CB">
              <w:t>period</w:t>
            </w:r>
            <w:r w:rsidRPr="0077016A">
              <w:t> </w:t>
            </w:r>
            <w:r w:rsidR="00AB4C81" w:rsidRPr="001869A3">
              <w:rPr>
                <w:i/>
                <w:iCs/>
              </w:rPr>
              <w:t>t</w:t>
            </w:r>
            <w:r w:rsidRPr="0038644B">
              <w:t xml:space="preserve"> </w:t>
            </w:r>
            <w:r>
              <w:t>as per the method used for determining the OM or BM emission factor</w:t>
            </w:r>
          </w:p>
        </w:tc>
      </w:tr>
      <w:tr w:rsidR="003D19A2" w14:paraId="662422E6" w14:textId="50AFBE1C" w:rsidTr="00AC5985">
        <w:tc>
          <w:tcPr>
            <w:tcW w:w="1701" w:type="dxa"/>
            <w:vAlign w:val="top"/>
          </w:tcPr>
          <w:p w14:paraId="4BF82035" w14:textId="16973550" w:rsidR="003D19A2" w:rsidRPr="003D19A2" w:rsidRDefault="003D19A2" w:rsidP="00AC5985">
            <w:pPr>
              <w:pStyle w:val="SDMTableBoxParaNotNumbered"/>
              <w:tabs>
                <w:tab w:val="left" w:pos="1276"/>
              </w:tabs>
              <w:ind w:left="30"/>
            </w:pPr>
            <m:oMathPara>
              <m:oMathParaPr>
                <m:jc m:val="left"/>
              </m:oMathParaPr>
              <m:oMath>
                <m:r>
                  <w:rPr>
                    <w:rFonts w:ascii="Cambria Math" w:hAnsi="Cambria Math" w:cs="Cambria Math"/>
                  </w:rPr>
                  <m:t>i</m:t>
                </m:r>
              </m:oMath>
            </m:oMathPara>
          </w:p>
        </w:tc>
        <w:tc>
          <w:tcPr>
            <w:tcW w:w="425" w:type="dxa"/>
            <w:vAlign w:val="top"/>
          </w:tcPr>
          <w:p w14:paraId="08F86002" w14:textId="135BB510" w:rsidR="003D19A2" w:rsidRDefault="003D19A2" w:rsidP="00AC5985">
            <w:pPr>
              <w:pStyle w:val="SDMTableBoxParaNotNumbered"/>
              <w:tabs>
                <w:tab w:val="left" w:pos="1276"/>
              </w:tabs>
              <w:ind w:left="601" w:hanging="601"/>
            </w:pPr>
            <w:r>
              <w:t>=</w:t>
            </w:r>
          </w:p>
        </w:tc>
        <w:tc>
          <w:tcPr>
            <w:tcW w:w="6521" w:type="dxa"/>
            <w:vAlign w:val="top"/>
          </w:tcPr>
          <w:p w14:paraId="3B87DC88" w14:textId="7D3237E8" w:rsidR="003D19A2" w:rsidRDefault="003D19A2" w:rsidP="00AC5985">
            <w:pPr>
              <w:pStyle w:val="SDMTableBoxParaNotNumbered"/>
              <w:tabs>
                <w:tab w:val="left" w:pos="1276"/>
              </w:tabs>
              <w:ind w:left="36"/>
            </w:pPr>
            <w:r w:rsidRPr="0038644B">
              <w:t>All fuel types combusted in power unit</w:t>
            </w:r>
            <w:r>
              <w:t> </w:t>
            </w:r>
            <w:r>
              <w:rPr>
                <w:i/>
              </w:rPr>
              <w:t>p</w:t>
            </w:r>
            <w:r w:rsidRPr="0038644B">
              <w:t xml:space="preserve"> in</w:t>
            </w:r>
            <w:r w:rsidRPr="41342212">
              <w:rPr>
                <w:i/>
                <w:iCs/>
              </w:rPr>
              <w:t xml:space="preserve"> period</w:t>
            </w:r>
            <w:r>
              <w:rPr>
                <w:i/>
                <w:iCs/>
              </w:rPr>
              <w:t> </w:t>
            </w:r>
            <w:r w:rsidRPr="41342212">
              <w:rPr>
                <w:i/>
                <w:iCs/>
              </w:rPr>
              <w:t>t</w:t>
            </w:r>
          </w:p>
        </w:tc>
      </w:tr>
      <w:tr w:rsidR="003D19A2" w14:paraId="6CBF8AC5" w14:textId="77777777" w:rsidTr="00AC5985">
        <w:tc>
          <w:tcPr>
            <w:tcW w:w="1701" w:type="dxa"/>
            <w:vAlign w:val="top"/>
          </w:tcPr>
          <w:p w14:paraId="3E4D65C1" w14:textId="449E8A71" w:rsidR="003D19A2" w:rsidRPr="003D19A2" w:rsidRDefault="003D19A2" w:rsidP="00AC5985">
            <w:pPr>
              <w:pStyle w:val="SDMTableBoxParaNotNumbered"/>
              <w:tabs>
                <w:tab w:val="left" w:pos="1276"/>
              </w:tabs>
              <w:ind w:left="30"/>
            </w:pPr>
            <m:oMathPara>
              <m:oMathParaPr>
                <m:jc m:val="left"/>
              </m:oMathParaPr>
              <m:oMath>
                <m:r>
                  <w:rPr>
                    <w:rFonts w:ascii="Cambria Math" w:hAnsi="Cambria Math"/>
                  </w:rPr>
                  <m:t>t</m:t>
                </m:r>
              </m:oMath>
            </m:oMathPara>
          </w:p>
        </w:tc>
        <w:tc>
          <w:tcPr>
            <w:tcW w:w="425" w:type="dxa"/>
            <w:vAlign w:val="top"/>
          </w:tcPr>
          <w:p w14:paraId="3A458471" w14:textId="0B3B92DE" w:rsidR="003D19A2" w:rsidRDefault="003D19A2" w:rsidP="00AC5985">
            <w:pPr>
              <w:pStyle w:val="SDMTableBoxParaNotNumbered"/>
              <w:tabs>
                <w:tab w:val="left" w:pos="1276"/>
              </w:tabs>
              <w:ind w:left="601" w:hanging="601"/>
            </w:pPr>
            <w:r>
              <w:t>=</w:t>
            </w:r>
          </w:p>
        </w:tc>
        <w:tc>
          <w:tcPr>
            <w:tcW w:w="6521" w:type="dxa"/>
            <w:vAlign w:val="top"/>
          </w:tcPr>
          <w:p w14:paraId="17F6A909" w14:textId="0A97C33C" w:rsidR="003D19A2" w:rsidRDefault="003D19A2" w:rsidP="00AC5985">
            <w:pPr>
              <w:pStyle w:val="SDMTableBoxParaNotNumbered"/>
              <w:tabs>
                <w:tab w:val="left" w:pos="1276"/>
              </w:tabs>
              <w:ind w:left="36"/>
            </w:pPr>
            <w:r w:rsidRPr="0038644B">
              <w:t xml:space="preserve">The relevant </w:t>
            </w:r>
            <w:r>
              <w:t>period used for determining the emission factor</w:t>
            </w:r>
          </w:p>
        </w:tc>
      </w:tr>
    </w:tbl>
    <w:p w14:paraId="01C161A5" w14:textId="452A716C" w:rsidR="00B52D65" w:rsidRDefault="00B52D65" w:rsidP="00C72647">
      <w:pPr>
        <w:pStyle w:val="SDMSubPara2"/>
        <w:keepNext/>
      </w:pPr>
      <w:r>
        <w:t>Where the power generation unit is a cogeneration unit</w:t>
      </w:r>
      <w:r w:rsidR="00556068">
        <w:t xml:space="preserve">, by </w:t>
      </w:r>
      <w:r w:rsidR="00E97519">
        <w:t>a</w:t>
      </w:r>
      <w:r w:rsidR="00E97519" w:rsidRPr="00E97519">
        <w:t>llocat</w:t>
      </w:r>
      <w:r w:rsidR="00E97519">
        <w:t xml:space="preserve">ing </w:t>
      </w:r>
      <w:r w:rsidR="00E97519" w:rsidRPr="00E97519">
        <w:t xml:space="preserve">the emissions of the power </w:t>
      </w:r>
      <w:r w:rsidR="00E97519">
        <w:t>unit </w:t>
      </w:r>
      <w:r w:rsidR="00E97519" w:rsidRPr="0001698A">
        <w:rPr>
          <w:i/>
        </w:rPr>
        <w:t>p</w:t>
      </w:r>
      <w:r w:rsidR="00E97519">
        <w:t xml:space="preserve"> </w:t>
      </w:r>
      <w:r w:rsidR="00E97519" w:rsidRPr="00E97519">
        <w:t xml:space="preserve">to heat and power by assuming that, in the absence of cogeneration, the heat would be generated in a boiler using the same type(s) of fossil fuel as those used in the power </w:t>
      </w:r>
      <w:r w:rsidR="00E97519">
        <w:t>unit</w:t>
      </w:r>
      <w:r>
        <w:t>:</w:t>
      </w:r>
    </w:p>
    <w:tbl>
      <w:tblPr>
        <w:tblStyle w:val="SDMMethTableEquation"/>
        <w:tblW w:w="8760" w:type="dxa"/>
        <w:tblLook w:val="0600" w:firstRow="0" w:lastRow="0" w:firstColumn="0" w:lastColumn="0" w:noHBand="1" w:noVBand="1"/>
      </w:tblPr>
      <w:tblGrid>
        <w:gridCol w:w="7104"/>
        <w:gridCol w:w="1656"/>
      </w:tblGrid>
      <w:tr w:rsidR="00E97519" w:rsidRPr="00E32F75" w14:paraId="7CE13E94" w14:textId="77777777">
        <w:tc>
          <w:tcPr>
            <w:tcW w:w="7224" w:type="dxa"/>
          </w:tcPr>
          <w:p w14:paraId="3DA69704" w14:textId="478117F6" w:rsidR="00E97519" w:rsidRPr="00071748" w:rsidRDefault="00000000" w:rsidP="00071748">
            <w:pPr>
              <w:pStyle w:val="SDMMethEquation"/>
              <w:ind w:left="1418"/>
            </w:pPr>
            <m:oMathPara>
              <m:oMathParaPr>
                <m:jc m:val="left"/>
              </m:oMathParaPr>
              <m:oMath>
                <m:sSub>
                  <m:sSubPr>
                    <m:ctrlPr>
                      <w:rPr>
                        <w:rFonts w:ascii="Cambria Math" w:hAnsi="Cambria Math"/>
                        <w:i/>
                      </w:rPr>
                    </m:ctrlPr>
                  </m:sSubPr>
                  <m:e>
                    <m:r>
                      <w:rPr>
                        <w:rFonts w:ascii="Cambria Math" w:hAnsi="Cambria Math"/>
                      </w:rPr>
                      <m:t>EF</m:t>
                    </m:r>
                  </m:e>
                  <m:sub>
                    <m:r>
                      <w:rPr>
                        <w:rFonts w:ascii="Cambria Math" w:hAnsi="Cambria Math"/>
                      </w:rPr>
                      <m:t>EL,p,t</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nary>
                          <m:naryPr>
                            <m:chr m:val="∑"/>
                            <m:limLoc m:val="undOvr"/>
                            <m:supHide m:val="1"/>
                            <m:ctrlPr>
                              <w:rPr>
                                <w:rFonts w:ascii="Cambria Math" w:hAnsi="Cambria Math"/>
                                <w:i/>
                              </w:rPr>
                            </m:ctrlPr>
                          </m:naryPr>
                          <m:sub>
                            <m:r>
                              <w:rPr>
                                <w:rFonts w:ascii="Cambria Math" w:hAnsi="Cambria Math"/>
                              </w:rPr>
                              <m:t>i</m:t>
                            </m:r>
                          </m:sub>
                          <m:sup/>
                          <m:e>
                            <m:d>
                              <m:dPr>
                                <m:ctrlPr>
                                  <w:rPr>
                                    <w:rFonts w:ascii="Cambria Math" w:hAnsi="Cambria Math"/>
                                    <w:i/>
                                  </w:rPr>
                                </m:ctrlPr>
                              </m:dPr>
                              <m:e>
                                <m:sSub>
                                  <m:sSubPr>
                                    <m:ctrlPr>
                                      <w:rPr>
                                        <w:rFonts w:ascii="Cambria Math" w:hAnsi="Cambria Math"/>
                                        <w:i/>
                                      </w:rPr>
                                    </m:ctrlPr>
                                  </m:sSubPr>
                                  <m:e>
                                    <m:r>
                                      <w:rPr>
                                        <w:rFonts w:ascii="Cambria Math" w:hAnsi="Cambria Math"/>
                                      </w:rPr>
                                      <m:t>FC</m:t>
                                    </m:r>
                                  </m:e>
                                  <m:sub>
                                    <m:r>
                                      <w:rPr>
                                        <w:rFonts w:ascii="Cambria Math" w:hAnsi="Cambria Math"/>
                                      </w:rPr>
                                      <m:t>i,p,t</m:t>
                                    </m:r>
                                  </m:sub>
                                </m:sSub>
                                <m:r>
                                  <w:rPr>
                                    <w:rFonts w:ascii="Cambria Math" w:hAnsi="Cambria Math"/>
                                  </w:rPr>
                                  <m:t>×</m:t>
                                </m:r>
                                <m:sSub>
                                  <m:sSubPr>
                                    <m:ctrlPr>
                                      <w:rPr>
                                        <w:rFonts w:ascii="Cambria Math" w:hAnsi="Cambria Math"/>
                                        <w:i/>
                                      </w:rPr>
                                    </m:ctrlPr>
                                  </m:sSubPr>
                                  <m:e>
                                    <m:r>
                                      <w:rPr>
                                        <w:rFonts w:ascii="Cambria Math" w:hAnsi="Cambria Math"/>
                                      </w:rPr>
                                      <m:t>NCV</m:t>
                                    </m:r>
                                  </m:e>
                                  <m:sub>
                                    <m:r>
                                      <w:rPr>
                                        <w:rFonts w:ascii="Cambria Math" w:hAnsi="Cambria Math"/>
                                      </w:rPr>
                                      <m:t>i,t</m:t>
                                    </m:r>
                                  </m:sub>
                                </m:sSub>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HG</m:t>
                                    </m:r>
                                  </m:e>
                                  <m:sub>
                                    <m:r>
                                      <w:rPr>
                                        <w:rFonts w:ascii="Cambria Math" w:hAnsi="Cambria Math"/>
                                      </w:rPr>
                                      <m:t>p,t</m:t>
                                    </m:r>
                                  </m:sub>
                                </m:sSub>
                              </m:num>
                              <m:den>
                                <m:sSub>
                                  <m:sSubPr>
                                    <m:ctrlPr>
                                      <w:rPr>
                                        <w:rFonts w:ascii="Cambria Math" w:hAnsi="Cambria Math"/>
                                        <w:i/>
                                      </w:rPr>
                                    </m:ctrlPr>
                                  </m:sSubPr>
                                  <m:e>
                                    <m:r>
                                      <w:rPr>
                                        <w:rFonts w:ascii="Cambria Math" w:hAnsi="Cambria Math"/>
                                      </w:rPr>
                                      <m:t>η</m:t>
                                    </m:r>
                                  </m:e>
                                  <m:sub>
                                    <m:r>
                                      <w:rPr>
                                        <w:rFonts w:ascii="Cambria Math" w:hAnsi="Cambria Math"/>
                                      </w:rPr>
                                      <m:t>boiler</m:t>
                                    </m:r>
                                  </m:sub>
                                </m:sSub>
                              </m:den>
                            </m:f>
                          </m:e>
                        </m:nary>
                      </m:e>
                    </m:d>
                  </m:num>
                  <m:den>
                    <m:sSub>
                      <m:sSubPr>
                        <m:ctrlPr>
                          <w:rPr>
                            <w:rFonts w:ascii="Cambria Math" w:hAnsi="Cambria Math"/>
                            <w:i/>
                          </w:rPr>
                        </m:ctrlPr>
                      </m:sSubPr>
                      <m:e>
                        <m:r>
                          <w:rPr>
                            <w:rFonts w:ascii="Cambria Math" w:hAnsi="Cambria Math"/>
                          </w:rPr>
                          <m:t>EG</m:t>
                        </m:r>
                      </m:e>
                      <m:sub>
                        <m:r>
                          <w:rPr>
                            <w:rFonts w:ascii="Cambria Math" w:hAnsi="Cambria Math"/>
                          </w:rPr>
                          <m:t>p,t</m:t>
                        </m:r>
                      </m:sub>
                    </m:sSub>
                  </m:den>
                </m:f>
                <m:r>
                  <w:rPr>
                    <w:rFonts w:ascii="Cambria Math" w:hAnsi="Cambria Math"/>
                  </w:rPr>
                  <m:t>×</m:t>
                </m:r>
                <m:f>
                  <m:fPr>
                    <m:ctrlPr>
                      <w:rPr>
                        <w:rFonts w:ascii="Cambria Math" w:hAnsi="Cambria Math"/>
                        <w:i/>
                      </w:rPr>
                    </m:ctrlPr>
                  </m:fPr>
                  <m:num>
                    <m:nary>
                      <m:naryPr>
                        <m:chr m:val="∑"/>
                        <m:limLoc m:val="subSup"/>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FC</m:t>
                            </m:r>
                          </m:e>
                          <m:sub>
                            <m:r>
                              <w:rPr>
                                <w:rFonts w:ascii="Cambria Math" w:hAnsi="Cambria Math"/>
                              </w:rPr>
                              <m:t>i,p,t</m:t>
                            </m:r>
                          </m:sub>
                        </m:sSub>
                        <m:r>
                          <w:rPr>
                            <w:rFonts w:ascii="Cambria Math" w:hAnsi="Cambria Math"/>
                          </w:rPr>
                          <m:t>×</m:t>
                        </m:r>
                        <m:sSub>
                          <m:sSubPr>
                            <m:ctrlPr>
                              <w:rPr>
                                <w:rFonts w:ascii="Cambria Math" w:hAnsi="Cambria Math"/>
                                <w:i/>
                              </w:rPr>
                            </m:ctrlPr>
                          </m:sSubPr>
                          <m:e>
                            <m:r>
                              <w:rPr>
                                <w:rFonts w:ascii="Cambria Math" w:hAnsi="Cambria Math"/>
                              </w:rPr>
                              <m:t>NCV</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CO2,i,t</m:t>
                            </m:r>
                          </m:sub>
                        </m:sSub>
                      </m:e>
                    </m:nary>
                  </m:num>
                  <m:den>
                    <m:nary>
                      <m:naryPr>
                        <m:chr m:val="∑"/>
                        <m:limLoc m:val="subSup"/>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FC</m:t>
                            </m:r>
                          </m:e>
                          <m:sub>
                            <m:r>
                              <w:rPr>
                                <w:rFonts w:ascii="Cambria Math" w:hAnsi="Cambria Math"/>
                              </w:rPr>
                              <m:t>i,p,t</m:t>
                            </m:r>
                          </m:sub>
                        </m:sSub>
                        <m:r>
                          <w:rPr>
                            <w:rFonts w:ascii="Cambria Math" w:hAnsi="Cambria Math"/>
                          </w:rPr>
                          <m:t>×</m:t>
                        </m:r>
                        <m:sSub>
                          <m:sSubPr>
                            <m:ctrlPr>
                              <w:rPr>
                                <w:rFonts w:ascii="Cambria Math" w:hAnsi="Cambria Math"/>
                                <w:i/>
                              </w:rPr>
                            </m:ctrlPr>
                          </m:sSubPr>
                          <m:e>
                            <m:r>
                              <w:rPr>
                                <w:rFonts w:ascii="Cambria Math" w:hAnsi="Cambria Math"/>
                              </w:rPr>
                              <m:t>NCV</m:t>
                            </m:r>
                          </m:e>
                          <m:sub>
                            <m:r>
                              <w:rPr>
                                <w:rFonts w:ascii="Cambria Math" w:hAnsi="Cambria Math"/>
                              </w:rPr>
                              <m:t>i,t</m:t>
                            </m:r>
                          </m:sub>
                        </m:sSub>
                      </m:e>
                    </m:nary>
                  </m:den>
                </m:f>
              </m:oMath>
            </m:oMathPara>
          </w:p>
        </w:tc>
        <w:tc>
          <w:tcPr>
            <w:tcW w:w="1701" w:type="dxa"/>
          </w:tcPr>
          <w:p w14:paraId="3AFC51F7" w14:textId="77777777" w:rsidR="00E97519" w:rsidRPr="002B6960" w:rsidRDefault="00E97519">
            <w:pPr>
              <w:pStyle w:val="SDMMethEquationNr"/>
              <w:numPr>
                <w:ilvl w:val="0"/>
                <w:numId w:val="9"/>
              </w:numPr>
            </w:pPr>
          </w:p>
        </w:tc>
      </w:tr>
    </w:tbl>
    <w:p w14:paraId="682AA967" w14:textId="77777777" w:rsidR="00E97519" w:rsidRDefault="00E97519" w:rsidP="00C72647">
      <w:pPr>
        <w:pStyle w:val="SDMMethCaptionEquationParametersTable"/>
      </w:pPr>
      <w:r>
        <w:t>Where:</w:t>
      </w:r>
    </w:p>
    <w:tbl>
      <w:tblPr>
        <w:tblStyle w:val="SDMMethTableEquationParameters"/>
        <w:tblW w:w="8676" w:type="dxa"/>
        <w:tblInd w:w="601" w:type="dxa"/>
        <w:tblLook w:val="04A0" w:firstRow="1" w:lastRow="0" w:firstColumn="1" w:lastColumn="0" w:noHBand="0" w:noVBand="1"/>
      </w:tblPr>
      <w:tblGrid>
        <w:gridCol w:w="1701"/>
        <w:gridCol w:w="345"/>
        <w:gridCol w:w="6630"/>
      </w:tblGrid>
      <w:tr w:rsidR="00E97519" w:rsidRPr="00071748" w14:paraId="749C058A" w14:textId="77777777" w:rsidTr="00E70B79">
        <w:tc>
          <w:tcPr>
            <w:tcW w:w="1701" w:type="dxa"/>
            <w:vAlign w:val="top"/>
          </w:tcPr>
          <w:p w14:paraId="47B1B526" w14:textId="77777777" w:rsidR="00E97519" w:rsidRPr="00071748" w:rsidRDefault="00E97519" w:rsidP="00E70B79">
            <w:pPr>
              <w:pStyle w:val="SDMTableBoxParaNotNumbered"/>
              <w:rPr>
                <w:rFonts w:cs="Arial"/>
                <w:i/>
              </w:rPr>
            </w:pPr>
            <w:r w:rsidRPr="00071748">
              <w:rPr>
                <w:rFonts w:cs="Arial"/>
                <w:i/>
              </w:rPr>
              <w:t>EF</w:t>
            </w:r>
            <w:r w:rsidRPr="00071748">
              <w:rPr>
                <w:rFonts w:cs="Arial"/>
                <w:i/>
                <w:vertAlign w:val="subscript"/>
              </w:rPr>
              <w:t>EL,p,t</w:t>
            </w:r>
          </w:p>
        </w:tc>
        <w:tc>
          <w:tcPr>
            <w:tcW w:w="345" w:type="dxa"/>
            <w:vAlign w:val="top"/>
          </w:tcPr>
          <w:p w14:paraId="077F5FC1" w14:textId="77777777" w:rsidR="00E97519" w:rsidRPr="00071748" w:rsidRDefault="00E97519" w:rsidP="00E70B79">
            <w:pPr>
              <w:pStyle w:val="SDMTableBoxParaNotNumbered"/>
              <w:rPr>
                <w:rFonts w:cs="Arial"/>
              </w:rPr>
            </w:pPr>
            <w:r w:rsidRPr="00071748">
              <w:rPr>
                <w:rFonts w:cs="Arial"/>
              </w:rPr>
              <w:t>=</w:t>
            </w:r>
          </w:p>
        </w:tc>
        <w:tc>
          <w:tcPr>
            <w:tcW w:w="6630" w:type="dxa"/>
            <w:vAlign w:val="top"/>
          </w:tcPr>
          <w:p w14:paraId="3C8926A3" w14:textId="3472D758" w:rsidR="00E97519" w:rsidRPr="00071748" w:rsidRDefault="00E6232E" w:rsidP="00E70B79">
            <w:pPr>
              <w:pStyle w:val="SDMTableBoxParaNotNumbered"/>
              <w:rPr>
                <w:rFonts w:cs="Arial"/>
              </w:rPr>
            </w:pPr>
            <w:r w:rsidRPr="00071748">
              <w:rPr>
                <w:rFonts w:cs="Arial"/>
              </w:rPr>
              <w:t>CO</w:t>
            </w:r>
            <w:r w:rsidRPr="00071748">
              <w:rPr>
                <w:rFonts w:cs="Arial"/>
                <w:vertAlign w:val="subscript"/>
              </w:rPr>
              <w:t>2</w:t>
            </w:r>
            <w:r w:rsidRPr="00071748">
              <w:rPr>
                <w:rFonts w:cs="Arial"/>
              </w:rPr>
              <w:t xml:space="preserve"> emission factor of power unit </w:t>
            </w:r>
            <w:r w:rsidRPr="00071748">
              <w:rPr>
                <w:rFonts w:cs="Arial"/>
                <w:i/>
              </w:rPr>
              <w:t>p</w:t>
            </w:r>
            <w:r w:rsidRPr="00071748">
              <w:rPr>
                <w:rFonts w:cs="Arial"/>
              </w:rPr>
              <w:t xml:space="preserve"> in period </w:t>
            </w:r>
            <w:r w:rsidRPr="00071748">
              <w:rPr>
                <w:rFonts w:cs="Arial"/>
                <w:i/>
                <w:iCs/>
              </w:rPr>
              <w:t>t</w:t>
            </w:r>
            <w:r w:rsidRPr="00071748">
              <w:rPr>
                <w:rFonts w:cs="Arial"/>
              </w:rPr>
              <w:t xml:space="preserve"> (t CO</w:t>
            </w:r>
            <w:r w:rsidRPr="00071748">
              <w:rPr>
                <w:rFonts w:cs="Arial"/>
                <w:vertAlign w:val="subscript"/>
              </w:rPr>
              <w:t>2</w:t>
            </w:r>
            <w:r w:rsidRPr="00071748">
              <w:rPr>
                <w:rFonts w:cs="Arial"/>
              </w:rPr>
              <w:t>/MWh)</w:t>
            </w:r>
          </w:p>
        </w:tc>
      </w:tr>
      <w:tr w:rsidR="00E97519" w:rsidRPr="00071748" w14:paraId="2B3265CA" w14:textId="77777777" w:rsidTr="00E70B79">
        <w:tc>
          <w:tcPr>
            <w:tcW w:w="1701" w:type="dxa"/>
            <w:vAlign w:val="top"/>
          </w:tcPr>
          <w:p w14:paraId="208D8688" w14:textId="77777777" w:rsidR="00E97519" w:rsidRPr="00071748" w:rsidRDefault="00E97519" w:rsidP="00E70B79">
            <w:pPr>
              <w:pStyle w:val="SDMTableBoxParaNotNumbered"/>
              <w:rPr>
                <w:rFonts w:cs="Arial"/>
                <w:i/>
              </w:rPr>
            </w:pPr>
            <w:r w:rsidRPr="00071748">
              <w:rPr>
                <w:rFonts w:cs="Arial"/>
                <w:i/>
              </w:rPr>
              <w:t>FC</w:t>
            </w:r>
            <w:r w:rsidRPr="00071748">
              <w:rPr>
                <w:rFonts w:cs="Arial"/>
                <w:i/>
                <w:vertAlign w:val="subscript"/>
              </w:rPr>
              <w:t>i,p,t</w:t>
            </w:r>
          </w:p>
        </w:tc>
        <w:tc>
          <w:tcPr>
            <w:tcW w:w="345" w:type="dxa"/>
            <w:vAlign w:val="top"/>
          </w:tcPr>
          <w:p w14:paraId="706ECB92" w14:textId="77777777" w:rsidR="00E97519" w:rsidRPr="00071748" w:rsidRDefault="00E97519" w:rsidP="00E70B79">
            <w:pPr>
              <w:pStyle w:val="SDMTableBoxParaNotNumbered"/>
              <w:rPr>
                <w:rFonts w:cs="Arial"/>
              </w:rPr>
            </w:pPr>
            <w:r w:rsidRPr="00071748">
              <w:rPr>
                <w:rFonts w:cs="Arial"/>
              </w:rPr>
              <w:t>=</w:t>
            </w:r>
          </w:p>
        </w:tc>
        <w:tc>
          <w:tcPr>
            <w:tcW w:w="6630" w:type="dxa"/>
            <w:vAlign w:val="top"/>
          </w:tcPr>
          <w:p w14:paraId="49C1E21D" w14:textId="77777777" w:rsidR="00037FAC" w:rsidRPr="00071748" w:rsidRDefault="00037FAC" w:rsidP="00E70B79">
            <w:pPr>
              <w:pStyle w:val="SDMTableBoxParaNotNumbered"/>
              <w:tabs>
                <w:tab w:val="left" w:pos="1276"/>
              </w:tabs>
              <w:ind w:left="36"/>
              <w:rPr>
                <w:rFonts w:cs="Arial"/>
                <w:i/>
                <w:iCs/>
              </w:rPr>
            </w:pPr>
            <w:r w:rsidRPr="00071748">
              <w:rPr>
                <w:rFonts w:cs="Arial"/>
              </w:rPr>
              <w:t>Amount of fuel type </w:t>
            </w:r>
            <w:r w:rsidRPr="00071748">
              <w:rPr>
                <w:rFonts w:cs="Arial"/>
                <w:i/>
                <w:iCs/>
              </w:rPr>
              <w:t xml:space="preserve">i </w:t>
            </w:r>
            <w:r w:rsidRPr="00071748">
              <w:rPr>
                <w:rFonts w:cs="Arial"/>
              </w:rPr>
              <w:t>consumed by power unit </w:t>
            </w:r>
            <w:r w:rsidRPr="00071748">
              <w:rPr>
                <w:rFonts w:cs="Arial"/>
                <w:i/>
                <w:iCs/>
              </w:rPr>
              <w:t xml:space="preserve">p </w:t>
            </w:r>
            <w:r w:rsidRPr="00071748">
              <w:rPr>
                <w:rFonts w:cs="Arial"/>
              </w:rPr>
              <w:t>in</w:t>
            </w:r>
            <w:r w:rsidRPr="00071748">
              <w:rPr>
                <w:rFonts w:cs="Arial"/>
                <w:i/>
                <w:iCs/>
              </w:rPr>
              <w:t xml:space="preserve"> </w:t>
            </w:r>
            <w:r w:rsidRPr="00071748">
              <w:rPr>
                <w:rFonts w:cs="Arial"/>
              </w:rPr>
              <w:t>period</w:t>
            </w:r>
            <w:r w:rsidRPr="00071748">
              <w:rPr>
                <w:rFonts w:cs="Arial"/>
                <w:i/>
                <w:iCs/>
              </w:rPr>
              <w:t> t</w:t>
            </w:r>
          </w:p>
          <w:p w14:paraId="65849AC5" w14:textId="2E0C4CAD" w:rsidR="00E97519" w:rsidRPr="00071748" w:rsidRDefault="00037FAC" w:rsidP="00E70B79">
            <w:pPr>
              <w:pStyle w:val="SDMTableBoxParaNotNumbered"/>
              <w:rPr>
                <w:rFonts w:cs="Arial"/>
              </w:rPr>
            </w:pPr>
            <w:r w:rsidRPr="00071748">
              <w:rPr>
                <w:rFonts w:cs="Arial"/>
              </w:rPr>
              <w:t>(Mass or volume unit)</w:t>
            </w:r>
          </w:p>
        </w:tc>
      </w:tr>
      <w:tr w:rsidR="00E97519" w:rsidRPr="00071748" w14:paraId="4F0E70F8" w14:textId="77777777" w:rsidTr="00E70B79">
        <w:tc>
          <w:tcPr>
            <w:tcW w:w="1701" w:type="dxa"/>
            <w:vAlign w:val="top"/>
          </w:tcPr>
          <w:p w14:paraId="4777B147" w14:textId="77777777" w:rsidR="00E97519" w:rsidRPr="00071748" w:rsidRDefault="00E97519" w:rsidP="00E70B79">
            <w:pPr>
              <w:pStyle w:val="SDMTableBoxParaNotNumbered"/>
              <w:rPr>
                <w:rFonts w:cs="Arial"/>
                <w:i/>
              </w:rPr>
            </w:pPr>
            <w:r w:rsidRPr="00071748">
              <w:rPr>
                <w:rFonts w:cs="Arial"/>
                <w:i/>
              </w:rPr>
              <w:t>NCV</w:t>
            </w:r>
            <w:r w:rsidRPr="00071748">
              <w:rPr>
                <w:rFonts w:cs="Arial"/>
                <w:i/>
                <w:vertAlign w:val="subscript"/>
              </w:rPr>
              <w:t>i,t</w:t>
            </w:r>
          </w:p>
        </w:tc>
        <w:tc>
          <w:tcPr>
            <w:tcW w:w="345" w:type="dxa"/>
            <w:vAlign w:val="top"/>
          </w:tcPr>
          <w:p w14:paraId="55D8C1CA" w14:textId="77777777" w:rsidR="00E97519" w:rsidRPr="00071748" w:rsidRDefault="00E97519" w:rsidP="00E70B79">
            <w:pPr>
              <w:pStyle w:val="SDMTableBoxParaNotNumbered"/>
              <w:rPr>
                <w:rFonts w:cs="Arial"/>
              </w:rPr>
            </w:pPr>
            <w:r w:rsidRPr="00071748">
              <w:rPr>
                <w:rFonts w:cs="Arial"/>
              </w:rPr>
              <w:t>=</w:t>
            </w:r>
          </w:p>
        </w:tc>
        <w:tc>
          <w:tcPr>
            <w:tcW w:w="6630" w:type="dxa"/>
            <w:vAlign w:val="top"/>
          </w:tcPr>
          <w:p w14:paraId="2AD36DC6" w14:textId="77777777" w:rsidR="00037FAC" w:rsidRPr="00071748" w:rsidRDefault="00037FAC" w:rsidP="00E70B79">
            <w:pPr>
              <w:pStyle w:val="SDMTableBoxParaNotNumbered"/>
              <w:tabs>
                <w:tab w:val="left" w:pos="1276"/>
              </w:tabs>
              <w:ind w:left="36"/>
              <w:rPr>
                <w:rFonts w:cs="Arial"/>
                <w:i/>
                <w:iCs/>
              </w:rPr>
            </w:pPr>
            <w:r w:rsidRPr="00071748">
              <w:rPr>
                <w:rFonts w:cs="Arial"/>
              </w:rPr>
              <w:t>Net calorific value (energy content) of fuel type </w:t>
            </w:r>
            <w:r w:rsidRPr="00071748">
              <w:rPr>
                <w:rFonts w:cs="Arial"/>
                <w:i/>
                <w:iCs/>
              </w:rPr>
              <w:t>i</w:t>
            </w:r>
            <w:r w:rsidRPr="00071748">
              <w:rPr>
                <w:rFonts w:cs="Arial"/>
              </w:rPr>
              <w:t xml:space="preserve"> in period</w:t>
            </w:r>
            <w:r w:rsidRPr="00071748">
              <w:rPr>
                <w:rFonts w:cs="Arial"/>
                <w:i/>
                <w:iCs/>
              </w:rPr>
              <w:t> t</w:t>
            </w:r>
          </w:p>
          <w:p w14:paraId="778F49C8" w14:textId="0C270E83" w:rsidR="00E97519" w:rsidRPr="00071748" w:rsidRDefault="00037FAC" w:rsidP="00E70B79">
            <w:pPr>
              <w:pStyle w:val="SDMTableBoxParaNotNumbered"/>
              <w:rPr>
                <w:rFonts w:cs="Arial"/>
              </w:rPr>
            </w:pPr>
            <w:r w:rsidRPr="00071748">
              <w:rPr>
                <w:rFonts w:cs="Arial"/>
              </w:rPr>
              <w:t>(GJ/mass or volume unit)</w:t>
            </w:r>
          </w:p>
        </w:tc>
      </w:tr>
      <w:tr w:rsidR="00E97519" w:rsidRPr="00071748" w14:paraId="588DEFC8" w14:textId="77777777" w:rsidTr="00E70B79">
        <w:tc>
          <w:tcPr>
            <w:tcW w:w="1701" w:type="dxa"/>
            <w:vAlign w:val="top"/>
          </w:tcPr>
          <w:p w14:paraId="7810C8E9" w14:textId="77777777" w:rsidR="00E97519" w:rsidRPr="00071748" w:rsidRDefault="00E97519" w:rsidP="00E70B79">
            <w:pPr>
              <w:pStyle w:val="SDMTableBoxParaNotNumbered"/>
              <w:rPr>
                <w:rFonts w:cs="Arial"/>
                <w:i/>
              </w:rPr>
            </w:pPr>
            <w:r w:rsidRPr="00071748">
              <w:rPr>
                <w:rFonts w:cs="Arial"/>
                <w:i/>
                <w:iCs/>
              </w:rPr>
              <w:t>HG</w:t>
            </w:r>
            <w:r w:rsidRPr="00071748">
              <w:rPr>
                <w:rFonts w:cs="Arial"/>
                <w:i/>
                <w:iCs/>
                <w:vertAlign w:val="subscript"/>
              </w:rPr>
              <w:t>p,t</w:t>
            </w:r>
          </w:p>
        </w:tc>
        <w:tc>
          <w:tcPr>
            <w:tcW w:w="345" w:type="dxa"/>
            <w:vAlign w:val="top"/>
          </w:tcPr>
          <w:p w14:paraId="36F88549" w14:textId="77777777" w:rsidR="00E97519" w:rsidRPr="00071748" w:rsidRDefault="00E97519" w:rsidP="00E70B79">
            <w:pPr>
              <w:pStyle w:val="SDMTableBoxParaNotNumbered"/>
              <w:rPr>
                <w:rFonts w:cs="Arial"/>
              </w:rPr>
            </w:pPr>
            <w:r w:rsidRPr="00071748">
              <w:rPr>
                <w:rFonts w:cs="Arial"/>
              </w:rPr>
              <w:t>=</w:t>
            </w:r>
          </w:p>
        </w:tc>
        <w:tc>
          <w:tcPr>
            <w:tcW w:w="6630" w:type="dxa"/>
            <w:vAlign w:val="top"/>
          </w:tcPr>
          <w:p w14:paraId="771E180F" w14:textId="381EE012" w:rsidR="00E97519" w:rsidRPr="00071748" w:rsidRDefault="00A05E99" w:rsidP="00E70B79">
            <w:pPr>
              <w:pStyle w:val="SDMTableBoxParaNotNumbered"/>
              <w:rPr>
                <w:rFonts w:cs="Arial"/>
              </w:rPr>
            </w:pPr>
            <w:r w:rsidRPr="00071748">
              <w:rPr>
                <w:rFonts w:cs="Arial"/>
              </w:rPr>
              <w:t>H</w:t>
            </w:r>
            <w:r w:rsidR="00E97519" w:rsidRPr="00071748">
              <w:rPr>
                <w:rFonts w:cs="Arial"/>
              </w:rPr>
              <w:t xml:space="preserve">eat co-generated </w:t>
            </w:r>
            <w:r w:rsidRPr="00071748">
              <w:rPr>
                <w:rFonts w:cs="Arial"/>
              </w:rPr>
              <w:t>in</w:t>
            </w:r>
            <w:r w:rsidR="00E97519" w:rsidRPr="00071748">
              <w:rPr>
                <w:rFonts w:cs="Arial"/>
              </w:rPr>
              <w:t xml:space="preserve"> power plant</w:t>
            </w:r>
            <w:r w:rsidR="00E97519" w:rsidRPr="00071748">
              <w:rPr>
                <w:rFonts w:cs="Arial"/>
                <w:i/>
              </w:rPr>
              <w:t> </w:t>
            </w:r>
            <w:r w:rsidR="00E97519" w:rsidRPr="00071748">
              <w:rPr>
                <w:rFonts w:cs="Arial"/>
                <w:i/>
                <w:iCs/>
              </w:rPr>
              <w:t>p</w:t>
            </w:r>
            <w:r w:rsidR="00E97519" w:rsidRPr="00071748">
              <w:rPr>
                <w:rFonts w:cs="Arial"/>
                <w:i/>
              </w:rPr>
              <w:t xml:space="preserve"> </w:t>
            </w:r>
            <w:r w:rsidR="00E97519" w:rsidRPr="00071748">
              <w:rPr>
                <w:rFonts w:cs="Arial"/>
              </w:rPr>
              <w:t>in period</w:t>
            </w:r>
            <w:r w:rsidR="00E97519" w:rsidRPr="00071748">
              <w:rPr>
                <w:rFonts w:cs="Arial"/>
                <w:i/>
              </w:rPr>
              <w:t xml:space="preserve"> t </w:t>
            </w:r>
            <w:r w:rsidR="00E97519" w:rsidRPr="00071748">
              <w:rPr>
                <w:rFonts w:cs="Arial"/>
              </w:rPr>
              <w:t>(GJ)</w:t>
            </w:r>
          </w:p>
        </w:tc>
      </w:tr>
      <w:tr w:rsidR="00E97519" w:rsidRPr="00071748" w14:paraId="49DFF9C6" w14:textId="77777777" w:rsidTr="00E70B79">
        <w:tc>
          <w:tcPr>
            <w:tcW w:w="1701" w:type="dxa"/>
            <w:vAlign w:val="top"/>
          </w:tcPr>
          <w:p w14:paraId="5834C111" w14:textId="77777777" w:rsidR="00E97519" w:rsidRPr="00071748" w:rsidRDefault="00E97519" w:rsidP="00E70B79">
            <w:pPr>
              <w:pStyle w:val="SDMTableBoxParaNotNumbered"/>
              <w:rPr>
                <w:rFonts w:cs="Arial"/>
                <w:i/>
                <w:iCs/>
              </w:rPr>
            </w:pPr>
            <w:r w:rsidRPr="00071748">
              <w:rPr>
                <w:rFonts w:cs="Arial"/>
                <w:i/>
                <w:iCs/>
              </w:rPr>
              <w:t>h</w:t>
            </w:r>
            <w:r w:rsidRPr="00071748">
              <w:rPr>
                <w:rFonts w:cs="Arial"/>
                <w:i/>
                <w:iCs/>
                <w:vertAlign w:val="subscript"/>
              </w:rPr>
              <w:t>boiler</w:t>
            </w:r>
          </w:p>
        </w:tc>
        <w:tc>
          <w:tcPr>
            <w:tcW w:w="345" w:type="dxa"/>
            <w:vAlign w:val="top"/>
          </w:tcPr>
          <w:p w14:paraId="7ADF9B37" w14:textId="77777777" w:rsidR="00E97519" w:rsidRPr="00071748" w:rsidRDefault="00E97519" w:rsidP="00E70B79">
            <w:pPr>
              <w:pStyle w:val="SDMTableBoxParaNotNumbered"/>
              <w:rPr>
                <w:rFonts w:cs="Arial"/>
              </w:rPr>
            </w:pPr>
            <w:r w:rsidRPr="00071748">
              <w:rPr>
                <w:rFonts w:cs="Arial"/>
              </w:rPr>
              <w:t>=</w:t>
            </w:r>
          </w:p>
        </w:tc>
        <w:tc>
          <w:tcPr>
            <w:tcW w:w="6630" w:type="dxa"/>
            <w:vAlign w:val="top"/>
          </w:tcPr>
          <w:p w14:paraId="6F52785A" w14:textId="7377D3EA" w:rsidR="00E97519" w:rsidRPr="00071748" w:rsidRDefault="00E97519" w:rsidP="00E70B79">
            <w:pPr>
              <w:pStyle w:val="SDMTableBoxParaNotNumbered"/>
              <w:rPr>
                <w:rFonts w:cs="Arial"/>
              </w:rPr>
            </w:pPr>
            <w:r w:rsidRPr="00071748">
              <w:rPr>
                <w:rFonts w:cs="Arial"/>
              </w:rPr>
              <w:t>Efficiency of the boiler assumed to generate heat in the absence of cogeneration</w:t>
            </w:r>
          </w:p>
        </w:tc>
      </w:tr>
      <w:tr w:rsidR="00E97519" w:rsidRPr="00071748" w14:paraId="5C49AD2C" w14:textId="77777777" w:rsidTr="00E70B79">
        <w:tc>
          <w:tcPr>
            <w:tcW w:w="1701" w:type="dxa"/>
            <w:vAlign w:val="top"/>
          </w:tcPr>
          <w:p w14:paraId="307DFC1E" w14:textId="54E7E60F" w:rsidR="00E97519" w:rsidRPr="00071748" w:rsidRDefault="00E97519" w:rsidP="00E70B79">
            <w:pPr>
              <w:pStyle w:val="SDMTableBoxParaNotNumbered"/>
              <w:rPr>
                <w:rFonts w:cs="Arial"/>
                <w:i/>
                <w:iCs/>
              </w:rPr>
            </w:pPr>
            <w:r w:rsidRPr="00071748">
              <w:rPr>
                <w:rFonts w:cs="Arial"/>
                <w:i/>
                <w:iCs/>
              </w:rPr>
              <w:t>EF</w:t>
            </w:r>
            <w:r w:rsidRPr="00071748">
              <w:rPr>
                <w:rFonts w:cs="Arial"/>
                <w:i/>
                <w:iCs/>
                <w:vertAlign w:val="subscript"/>
              </w:rPr>
              <w:t>CO2,</w:t>
            </w:r>
            <w:r w:rsidR="0DF61D92" w:rsidRPr="00071748">
              <w:rPr>
                <w:rFonts w:cs="Arial"/>
                <w:i/>
                <w:iCs/>
                <w:vertAlign w:val="subscript"/>
              </w:rPr>
              <w:t>i</w:t>
            </w:r>
            <w:r w:rsidRPr="00071748">
              <w:rPr>
                <w:rFonts w:cs="Arial"/>
                <w:i/>
                <w:iCs/>
                <w:vertAlign w:val="subscript"/>
              </w:rPr>
              <w:t>,t</w:t>
            </w:r>
          </w:p>
        </w:tc>
        <w:tc>
          <w:tcPr>
            <w:tcW w:w="345" w:type="dxa"/>
            <w:vAlign w:val="top"/>
          </w:tcPr>
          <w:p w14:paraId="6C3DE6E8" w14:textId="77777777" w:rsidR="00E97519" w:rsidRPr="00071748" w:rsidRDefault="00E97519" w:rsidP="00E70B79">
            <w:pPr>
              <w:pStyle w:val="SDMTableBoxParaNotNumbered"/>
              <w:rPr>
                <w:rFonts w:cs="Arial"/>
              </w:rPr>
            </w:pPr>
            <w:r w:rsidRPr="00071748">
              <w:rPr>
                <w:rFonts w:cs="Arial"/>
              </w:rPr>
              <w:t>=</w:t>
            </w:r>
          </w:p>
        </w:tc>
        <w:tc>
          <w:tcPr>
            <w:tcW w:w="6630" w:type="dxa"/>
            <w:vAlign w:val="top"/>
          </w:tcPr>
          <w:p w14:paraId="1DD05495" w14:textId="16ACFB65" w:rsidR="00E97519" w:rsidRPr="00071748" w:rsidRDefault="00AE42E4" w:rsidP="00E70B79">
            <w:pPr>
              <w:pStyle w:val="SDMTableBoxParaNotNumbered"/>
              <w:rPr>
                <w:rFonts w:cs="Arial"/>
              </w:rPr>
            </w:pPr>
            <w:r w:rsidRPr="00071748">
              <w:rPr>
                <w:rFonts w:cs="Arial"/>
              </w:rPr>
              <w:t>CO</w:t>
            </w:r>
            <w:r w:rsidRPr="00071748">
              <w:rPr>
                <w:rFonts w:cs="Arial"/>
                <w:vertAlign w:val="subscript"/>
              </w:rPr>
              <w:t>2</w:t>
            </w:r>
            <w:r w:rsidRPr="00071748">
              <w:rPr>
                <w:rFonts w:cs="Arial"/>
              </w:rPr>
              <w:t xml:space="preserve"> emission factor of fuel type </w:t>
            </w:r>
            <w:r w:rsidRPr="00071748">
              <w:rPr>
                <w:rFonts w:cs="Arial"/>
                <w:i/>
                <w:iCs/>
              </w:rPr>
              <w:t>i</w:t>
            </w:r>
            <w:r w:rsidRPr="00071748">
              <w:rPr>
                <w:rFonts w:cs="Arial"/>
              </w:rPr>
              <w:t xml:space="preserve"> in period</w:t>
            </w:r>
            <w:r w:rsidRPr="00071748">
              <w:rPr>
                <w:rFonts w:cs="Arial"/>
                <w:i/>
                <w:iCs/>
              </w:rPr>
              <w:t> t</w:t>
            </w:r>
            <w:r w:rsidRPr="00071748">
              <w:rPr>
                <w:rFonts w:cs="Arial"/>
              </w:rPr>
              <w:t xml:space="preserve"> </w:t>
            </w:r>
            <w:r w:rsidRPr="00071748">
              <w:rPr>
                <w:rFonts w:cs="Arial"/>
                <w:iCs/>
              </w:rPr>
              <w:t>(t CO</w:t>
            </w:r>
            <w:r w:rsidRPr="00071748">
              <w:rPr>
                <w:rFonts w:cs="Arial"/>
                <w:iCs/>
                <w:vertAlign w:val="subscript"/>
              </w:rPr>
              <w:t>2</w:t>
            </w:r>
            <w:r w:rsidRPr="00071748">
              <w:rPr>
                <w:rFonts w:cs="Arial"/>
                <w:iCs/>
              </w:rPr>
              <w:t>/GJ)</w:t>
            </w:r>
          </w:p>
        </w:tc>
      </w:tr>
      <w:tr w:rsidR="00E97519" w:rsidRPr="00071748" w14:paraId="71E38A8C" w14:textId="77777777" w:rsidTr="00E70B79">
        <w:tc>
          <w:tcPr>
            <w:tcW w:w="1701" w:type="dxa"/>
            <w:vAlign w:val="top"/>
          </w:tcPr>
          <w:p w14:paraId="1185510C" w14:textId="77777777" w:rsidR="00E97519" w:rsidRPr="00071748" w:rsidRDefault="00E97519" w:rsidP="00E70B79">
            <w:pPr>
              <w:pStyle w:val="SDMTableBoxParaNotNumbered"/>
              <w:rPr>
                <w:rFonts w:cs="Arial"/>
                <w:i/>
                <w:iCs/>
              </w:rPr>
            </w:pPr>
            <w:r w:rsidRPr="00071748">
              <w:rPr>
                <w:rFonts w:cs="Arial"/>
                <w:i/>
                <w:iCs/>
              </w:rPr>
              <w:t>EG</w:t>
            </w:r>
            <w:r w:rsidRPr="00071748">
              <w:rPr>
                <w:rFonts w:cs="Arial"/>
                <w:i/>
                <w:iCs/>
                <w:vertAlign w:val="subscript"/>
              </w:rPr>
              <w:t>p,t</w:t>
            </w:r>
          </w:p>
        </w:tc>
        <w:tc>
          <w:tcPr>
            <w:tcW w:w="345" w:type="dxa"/>
            <w:vAlign w:val="top"/>
          </w:tcPr>
          <w:p w14:paraId="4282E797" w14:textId="77777777" w:rsidR="00E97519" w:rsidRPr="00071748" w:rsidRDefault="00E97519" w:rsidP="00E70B79">
            <w:pPr>
              <w:pStyle w:val="SDMTableBoxParaNotNumbered"/>
              <w:rPr>
                <w:rFonts w:cs="Arial"/>
              </w:rPr>
            </w:pPr>
            <w:r w:rsidRPr="00071748">
              <w:rPr>
                <w:rFonts w:cs="Arial"/>
              </w:rPr>
              <w:t>=</w:t>
            </w:r>
          </w:p>
        </w:tc>
        <w:tc>
          <w:tcPr>
            <w:tcW w:w="6630" w:type="dxa"/>
            <w:vAlign w:val="top"/>
          </w:tcPr>
          <w:p w14:paraId="32FB6878" w14:textId="18B1BD3F" w:rsidR="00E97519" w:rsidRPr="00071748" w:rsidRDefault="00263DB8" w:rsidP="00E70B79">
            <w:pPr>
              <w:pStyle w:val="SDMTableBoxParaNotNumbered"/>
              <w:rPr>
                <w:rFonts w:cs="Arial"/>
              </w:rPr>
            </w:pPr>
            <w:r w:rsidRPr="00071748">
              <w:rPr>
                <w:rFonts w:cs="Arial"/>
              </w:rPr>
              <w:t>Net quantity of electricity generated and delivered to the electricity system by power unit </w:t>
            </w:r>
            <w:r w:rsidRPr="00071748">
              <w:rPr>
                <w:rFonts w:cs="Arial"/>
                <w:i/>
                <w:iCs/>
              </w:rPr>
              <w:t>p</w:t>
            </w:r>
            <w:r w:rsidRPr="00071748">
              <w:rPr>
                <w:rFonts w:cs="Arial"/>
                <w:i/>
              </w:rPr>
              <w:t xml:space="preserve"> </w:t>
            </w:r>
            <w:r w:rsidRPr="00071748">
              <w:rPr>
                <w:rFonts w:cs="Arial"/>
              </w:rPr>
              <w:t>in period</w:t>
            </w:r>
            <w:r w:rsidRPr="00071748">
              <w:rPr>
                <w:rFonts w:cs="Arial"/>
                <w:i/>
                <w:iCs/>
              </w:rPr>
              <w:t xml:space="preserve"> t </w:t>
            </w:r>
            <w:r w:rsidRPr="00071748">
              <w:rPr>
                <w:rFonts w:cs="Arial"/>
              </w:rPr>
              <w:t>(MWh)</w:t>
            </w:r>
          </w:p>
        </w:tc>
      </w:tr>
      <w:tr w:rsidR="00556905" w:rsidRPr="00071748" w14:paraId="5318521D" w14:textId="77777777" w:rsidTr="00E70B79">
        <w:tc>
          <w:tcPr>
            <w:tcW w:w="1701" w:type="dxa"/>
            <w:vAlign w:val="top"/>
          </w:tcPr>
          <w:p w14:paraId="41471D96" w14:textId="77777777" w:rsidR="00556905" w:rsidRPr="00071748" w:rsidRDefault="00556905" w:rsidP="00E70B79">
            <w:pPr>
              <w:pStyle w:val="SDMTableBoxParaNotNumbered"/>
              <w:rPr>
                <w:rFonts w:cs="Arial"/>
                <w:i/>
                <w:iCs/>
              </w:rPr>
            </w:pPr>
            <w:r w:rsidRPr="00071748">
              <w:rPr>
                <w:rFonts w:cs="Arial"/>
                <w:i/>
                <w:iCs/>
              </w:rPr>
              <w:t>p</w:t>
            </w:r>
          </w:p>
        </w:tc>
        <w:tc>
          <w:tcPr>
            <w:tcW w:w="345" w:type="dxa"/>
            <w:vAlign w:val="top"/>
          </w:tcPr>
          <w:p w14:paraId="6046DFBA" w14:textId="77777777" w:rsidR="00556905" w:rsidRPr="00071748" w:rsidRDefault="00556905" w:rsidP="00E70B79">
            <w:pPr>
              <w:pStyle w:val="SDMTableBoxParaNotNumbered"/>
              <w:rPr>
                <w:rFonts w:cs="Arial"/>
              </w:rPr>
            </w:pPr>
            <w:r w:rsidRPr="00071748">
              <w:rPr>
                <w:rFonts w:cs="Arial"/>
              </w:rPr>
              <w:t>=</w:t>
            </w:r>
          </w:p>
        </w:tc>
        <w:tc>
          <w:tcPr>
            <w:tcW w:w="6630" w:type="dxa"/>
            <w:vAlign w:val="top"/>
          </w:tcPr>
          <w:p w14:paraId="1A01D36A" w14:textId="50225785" w:rsidR="00556905" w:rsidRPr="00071748" w:rsidRDefault="00556905" w:rsidP="00E70B79">
            <w:pPr>
              <w:pStyle w:val="SDMTableBoxParaNotNumbered"/>
              <w:rPr>
                <w:rFonts w:cs="Arial"/>
              </w:rPr>
            </w:pPr>
            <w:r w:rsidRPr="00071748">
              <w:rPr>
                <w:rFonts w:cs="Arial"/>
              </w:rPr>
              <w:t>All relevant power units serving the electricity system in period </w:t>
            </w:r>
            <w:r w:rsidRPr="00071748">
              <w:rPr>
                <w:rFonts w:cs="Arial"/>
                <w:i/>
                <w:iCs/>
              </w:rPr>
              <w:t>t</w:t>
            </w:r>
            <w:r w:rsidRPr="00071748">
              <w:rPr>
                <w:rFonts w:cs="Arial"/>
              </w:rPr>
              <w:t xml:space="preserve"> as per the method used for determining the OM or BM emission factor</w:t>
            </w:r>
          </w:p>
        </w:tc>
      </w:tr>
      <w:tr w:rsidR="00556905" w:rsidRPr="00071748" w14:paraId="4254BA7D" w14:textId="77777777" w:rsidTr="00E70B79">
        <w:tc>
          <w:tcPr>
            <w:tcW w:w="1701" w:type="dxa"/>
            <w:vAlign w:val="top"/>
          </w:tcPr>
          <w:p w14:paraId="6712FCBF" w14:textId="77777777" w:rsidR="00556905" w:rsidRPr="00071748" w:rsidRDefault="00556905" w:rsidP="00E70B79">
            <w:pPr>
              <w:pStyle w:val="SDMTableBoxParaNotNumbered"/>
              <w:rPr>
                <w:rFonts w:cs="Arial"/>
                <w:i/>
                <w:iCs/>
              </w:rPr>
            </w:pPr>
            <w:r w:rsidRPr="00071748">
              <w:rPr>
                <w:rFonts w:cs="Arial"/>
                <w:i/>
                <w:iCs/>
              </w:rPr>
              <w:t>t</w:t>
            </w:r>
          </w:p>
        </w:tc>
        <w:tc>
          <w:tcPr>
            <w:tcW w:w="345" w:type="dxa"/>
            <w:vAlign w:val="top"/>
          </w:tcPr>
          <w:p w14:paraId="5E771FE6" w14:textId="77777777" w:rsidR="00556905" w:rsidRPr="00071748" w:rsidRDefault="00556905" w:rsidP="00E70B79">
            <w:pPr>
              <w:pStyle w:val="SDMTableBoxParaNotNumbered"/>
              <w:rPr>
                <w:rFonts w:cs="Arial"/>
              </w:rPr>
            </w:pPr>
            <w:r w:rsidRPr="00071748">
              <w:rPr>
                <w:rFonts w:cs="Arial"/>
              </w:rPr>
              <w:t>=</w:t>
            </w:r>
          </w:p>
        </w:tc>
        <w:tc>
          <w:tcPr>
            <w:tcW w:w="6630" w:type="dxa"/>
            <w:vAlign w:val="top"/>
          </w:tcPr>
          <w:p w14:paraId="1B0FA5B4" w14:textId="7E25C575" w:rsidR="00556905" w:rsidRPr="00071748" w:rsidRDefault="00556905" w:rsidP="00E70B79">
            <w:pPr>
              <w:pStyle w:val="SDMTableBoxParaNotNumbered"/>
              <w:rPr>
                <w:rFonts w:cs="Arial"/>
              </w:rPr>
            </w:pPr>
            <w:r w:rsidRPr="00071748">
              <w:rPr>
                <w:rFonts w:cs="Arial"/>
              </w:rPr>
              <w:t>The relevant period used for determining the emission factor</w:t>
            </w:r>
          </w:p>
        </w:tc>
      </w:tr>
    </w:tbl>
    <w:p w14:paraId="44955502" w14:textId="53A83429" w:rsidR="001A2D56" w:rsidRDefault="00FA5778" w:rsidP="00C72647">
      <w:pPr>
        <w:pStyle w:val="SDMSubPara1"/>
        <w:keepNext/>
      </w:pPr>
      <w:r w:rsidRPr="004DF0AE">
        <w:rPr>
          <w:b/>
          <w:bCs/>
        </w:rPr>
        <w:t>Option</w:t>
      </w:r>
      <w:r w:rsidR="00071748">
        <w:rPr>
          <w:b/>
          <w:bCs/>
        </w:rPr>
        <w:t> </w:t>
      </w:r>
      <w:r w:rsidRPr="004DF0AE">
        <w:rPr>
          <w:b/>
          <w:bCs/>
        </w:rPr>
        <w:t>2</w:t>
      </w:r>
      <w:r>
        <w:rPr>
          <w:b/>
          <w:bCs/>
        </w:rPr>
        <w:t>:</w:t>
      </w:r>
      <w:r w:rsidRPr="0038644B">
        <w:t xml:space="preserve"> </w:t>
      </w:r>
      <w:r w:rsidR="00A618FE">
        <w:t>i</w:t>
      </w:r>
      <w:r w:rsidR="00A618FE" w:rsidRPr="0038644B">
        <w:t>f</w:t>
      </w:r>
      <w:r w:rsidR="00BD2183">
        <w:t>,</w:t>
      </w:r>
      <w:r w:rsidRPr="0038644B">
        <w:t xml:space="preserve"> for a power unit</w:t>
      </w:r>
      <w:r>
        <w:t> </w:t>
      </w:r>
      <w:r w:rsidR="00830192">
        <w:rPr>
          <w:i/>
          <w:iCs/>
        </w:rPr>
        <w:t>p</w:t>
      </w:r>
      <w:r w:rsidR="00BD2183">
        <w:rPr>
          <w:i/>
          <w:iCs/>
        </w:rPr>
        <w:t>,</w:t>
      </w:r>
      <w:r w:rsidRPr="0038644B">
        <w:t xml:space="preserve"> only data on the fuel type</w:t>
      </w:r>
      <w:r w:rsidR="00BD2183">
        <w:t>(</w:t>
      </w:r>
      <w:r w:rsidRPr="0038644B">
        <w:t>s</w:t>
      </w:r>
      <w:r w:rsidR="00BD2183">
        <w:t>)</w:t>
      </w:r>
      <w:r w:rsidRPr="0038644B">
        <w:t xml:space="preserve"> used </w:t>
      </w:r>
      <w:r w:rsidRPr="0038644B" w:rsidDel="00BD2183">
        <w:t xml:space="preserve">is </w:t>
      </w:r>
      <w:r w:rsidRPr="0038644B">
        <w:t xml:space="preserve">available, the emission factor </w:t>
      </w:r>
      <w:r>
        <w:t>shall</w:t>
      </w:r>
      <w:r w:rsidRPr="0038644B">
        <w:t xml:space="preserve"> be determined </w:t>
      </w:r>
      <w:r w:rsidR="001A2D56">
        <w:t>using one of the following two approaches:</w:t>
      </w:r>
    </w:p>
    <w:p w14:paraId="7718E1AB" w14:textId="2E5F6BB0" w:rsidR="00FA5778" w:rsidRDefault="001A2D56" w:rsidP="00C72647">
      <w:pPr>
        <w:pStyle w:val="SDMSubPara2"/>
        <w:keepNext/>
      </w:pPr>
      <w:r>
        <w:t>B</w:t>
      </w:r>
      <w:r w:rsidR="00FA5778" w:rsidRPr="0038644B">
        <w:t xml:space="preserve">ased on the </w:t>
      </w:r>
      <w:r w:rsidR="00FA5778">
        <w:t>CO</w:t>
      </w:r>
      <w:r w:rsidR="00FA5778" w:rsidRPr="00FE67D5">
        <w:rPr>
          <w:vertAlign w:val="subscript"/>
        </w:rPr>
        <w:t>2</w:t>
      </w:r>
      <w:r w:rsidR="00FA5778" w:rsidRPr="0038644B">
        <w:t xml:space="preserve"> emission factor of the fuel type used and the efficiency of the power unit, as follows:</w:t>
      </w:r>
    </w:p>
    <w:tbl>
      <w:tblPr>
        <w:tblStyle w:val="SDMMethTableEquation"/>
        <w:tblW w:w="8760" w:type="dxa"/>
        <w:tblLook w:val="0600" w:firstRow="0" w:lastRow="0" w:firstColumn="0" w:lastColumn="0" w:noHBand="1" w:noVBand="1"/>
      </w:tblPr>
      <w:tblGrid>
        <w:gridCol w:w="7094"/>
        <w:gridCol w:w="1666"/>
      </w:tblGrid>
      <w:tr w:rsidR="003D19A2" w:rsidRPr="00E32F75" w14:paraId="7634252B" w14:textId="77777777">
        <w:tc>
          <w:tcPr>
            <w:tcW w:w="7224" w:type="dxa"/>
          </w:tcPr>
          <w:p w14:paraId="053EEA9B" w14:textId="6D429242" w:rsidR="003D19A2" w:rsidRPr="00071748" w:rsidRDefault="00000000" w:rsidP="00071748">
            <w:pPr>
              <w:pStyle w:val="SDMMethEquation"/>
              <w:ind w:left="1418"/>
            </w:pPr>
            <m:oMathPara>
              <m:oMathParaPr>
                <m:jc m:val="left"/>
              </m:oMathParaPr>
              <m:oMath>
                <m:sSub>
                  <m:sSubPr>
                    <m:ctrlPr>
                      <w:rPr>
                        <w:rFonts w:ascii="Cambria Math" w:hAnsi="Cambria Math" w:cs="Cambria Math"/>
                        <w:i/>
                      </w:rPr>
                    </m:ctrlPr>
                  </m:sSubPr>
                  <m:e>
                    <m:r>
                      <w:rPr>
                        <w:rFonts w:ascii="Cambria Math" w:hAnsi="Cambria Math" w:cs="Cambria Math"/>
                      </w:rPr>
                      <m:t>EF</m:t>
                    </m:r>
                  </m:e>
                  <m:sub>
                    <m:r>
                      <w:rPr>
                        <w:rFonts w:ascii="Cambria Math" w:hAnsi="Cambria Math" w:cs="Cambria Math"/>
                      </w:rPr>
                      <m:t>EL,p,t</m:t>
                    </m:r>
                  </m:sub>
                </m:sSub>
                <m:r>
                  <m:rPr>
                    <m:sty m:val="p"/>
                  </m:rPr>
                  <w:rPr>
                    <w:rFonts w:ascii="Cambria Math" w:hAnsi="Cambria Math" w:cs="Cambria Math"/>
                  </w:rPr>
                  <m:t>=</m:t>
                </m:r>
                <m:f>
                  <m:fPr>
                    <m:ctrlPr>
                      <w:rPr>
                        <w:rFonts w:ascii="Cambria Math" w:hAnsi="Cambria Math"/>
                      </w:rPr>
                    </m:ctrlPr>
                  </m:fPr>
                  <m:num>
                    <m:sSub>
                      <m:sSubPr>
                        <m:ctrlPr>
                          <w:rPr>
                            <w:rFonts w:ascii="Cambria Math" w:hAnsi="Cambria Math"/>
                            <w:i/>
                          </w:rPr>
                        </m:ctrlPr>
                      </m:sSubPr>
                      <m:e>
                        <m:r>
                          <w:rPr>
                            <w:rFonts w:ascii="Cambria Math" w:hAnsi="Cambria Math"/>
                          </w:rPr>
                          <m:t>EF</m:t>
                        </m:r>
                      </m:e>
                      <m:sub>
                        <m:r>
                          <w:rPr>
                            <w:rFonts w:ascii="Cambria Math" w:hAnsi="Cambria Math"/>
                          </w:rPr>
                          <m:t>CO2,p,t</m:t>
                        </m:r>
                      </m:sub>
                    </m:sSub>
                    <m:r>
                      <w:rPr>
                        <w:rFonts w:ascii="Cambria Math" w:hAnsi="Cambria Math"/>
                      </w:rPr>
                      <m:t>×3.6</m:t>
                    </m:r>
                  </m:num>
                  <m:den>
                    <m:sSub>
                      <m:sSubPr>
                        <m:ctrlPr>
                          <w:rPr>
                            <w:rFonts w:ascii="Cambria Math" w:hAnsi="Cambria Math" w:cs="Cambria Math"/>
                            <w:i/>
                          </w:rPr>
                        </m:ctrlPr>
                      </m:sSubPr>
                      <m:e>
                        <m:r>
                          <w:rPr>
                            <w:rFonts w:ascii="Cambria Math" w:hAnsi="Cambria Math" w:cs="Cambria Math"/>
                          </w:rPr>
                          <m:t>η</m:t>
                        </m:r>
                      </m:e>
                      <m:sub>
                        <m:r>
                          <w:rPr>
                            <w:rFonts w:ascii="Cambria Math" w:hAnsi="Cambria Math" w:cs="Cambria Math"/>
                          </w:rPr>
                          <m:t>p,t</m:t>
                        </m:r>
                      </m:sub>
                    </m:sSub>
                  </m:den>
                </m:f>
              </m:oMath>
            </m:oMathPara>
          </w:p>
        </w:tc>
        <w:tc>
          <w:tcPr>
            <w:tcW w:w="1701" w:type="dxa"/>
          </w:tcPr>
          <w:p w14:paraId="59BB0177" w14:textId="77777777" w:rsidR="003D19A2" w:rsidRPr="002B6960" w:rsidRDefault="003D19A2">
            <w:pPr>
              <w:pStyle w:val="SDMMethEquationNr"/>
              <w:numPr>
                <w:ilvl w:val="0"/>
                <w:numId w:val="6"/>
              </w:numPr>
            </w:pPr>
          </w:p>
        </w:tc>
      </w:tr>
    </w:tbl>
    <w:p w14:paraId="4982D4E3" w14:textId="6FE096AB" w:rsidR="003D19A2" w:rsidRDefault="003D19A2" w:rsidP="00C72647">
      <w:pPr>
        <w:pStyle w:val="SDMMethCaptionEquationParametersTable"/>
      </w:pPr>
      <w:r>
        <w:t>Where:</w:t>
      </w:r>
    </w:p>
    <w:tbl>
      <w:tblPr>
        <w:tblStyle w:val="SDMMethTableEquationParameters"/>
        <w:tblW w:w="8647" w:type="dxa"/>
        <w:tblInd w:w="601" w:type="dxa"/>
        <w:tblLook w:val="04A0" w:firstRow="1" w:lastRow="0" w:firstColumn="1" w:lastColumn="0" w:noHBand="0" w:noVBand="1"/>
      </w:tblPr>
      <w:tblGrid>
        <w:gridCol w:w="1701"/>
        <w:gridCol w:w="345"/>
        <w:gridCol w:w="6601"/>
      </w:tblGrid>
      <w:tr w:rsidR="003D19A2" w14:paraId="0BC23788" w14:textId="77777777" w:rsidTr="00E70B79">
        <w:tc>
          <w:tcPr>
            <w:tcW w:w="1701" w:type="dxa"/>
            <w:vAlign w:val="top"/>
          </w:tcPr>
          <w:p w14:paraId="3B2DE274" w14:textId="688A0CCF" w:rsidR="003D19A2" w:rsidRPr="003D19A2" w:rsidRDefault="00000000" w:rsidP="00E70B79">
            <w:pPr>
              <w:pStyle w:val="SDMTableBoxParaNotNumbered"/>
            </w:pPr>
            <m:oMathPara>
              <m:oMathParaPr>
                <m:jc m:val="left"/>
              </m:oMathParaPr>
              <m:oMath>
                <m:sSub>
                  <m:sSubPr>
                    <m:ctrlPr>
                      <w:rPr>
                        <w:rFonts w:ascii="Cambria Math" w:hAnsi="Cambria Math" w:cs="Cambria Math"/>
                        <w:i/>
                      </w:rPr>
                    </m:ctrlPr>
                  </m:sSubPr>
                  <m:e>
                    <m:r>
                      <w:rPr>
                        <w:rFonts w:ascii="Cambria Math" w:hAnsi="Cambria Math" w:cs="Cambria Math"/>
                      </w:rPr>
                      <m:t>EF</m:t>
                    </m:r>
                  </m:e>
                  <m:sub>
                    <m:r>
                      <w:rPr>
                        <w:rFonts w:ascii="Cambria Math" w:hAnsi="Cambria Math" w:cs="Cambria Math"/>
                      </w:rPr>
                      <m:t>EL,p,t</m:t>
                    </m:r>
                  </m:sub>
                </m:sSub>
              </m:oMath>
            </m:oMathPara>
          </w:p>
        </w:tc>
        <w:tc>
          <w:tcPr>
            <w:tcW w:w="345" w:type="dxa"/>
            <w:vAlign w:val="top"/>
          </w:tcPr>
          <w:p w14:paraId="6A555BBF" w14:textId="77777777" w:rsidR="003D19A2" w:rsidRDefault="003D19A2" w:rsidP="00E70B79">
            <w:pPr>
              <w:pStyle w:val="SDMTableBoxParaNotNumbered"/>
            </w:pPr>
            <w:r>
              <w:t>=</w:t>
            </w:r>
          </w:p>
        </w:tc>
        <w:tc>
          <w:tcPr>
            <w:tcW w:w="0" w:type="auto"/>
            <w:vAlign w:val="top"/>
          </w:tcPr>
          <w:p w14:paraId="67ADA5E5" w14:textId="2BB889B6" w:rsidR="003D19A2" w:rsidRDefault="003D19A2" w:rsidP="00E70B79">
            <w:pPr>
              <w:pStyle w:val="SDMTableBoxParaNotNumbered"/>
            </w:pPr>
            <w:r>
              <w:t>CO</w:t>
            </w:r>
            <w:r w:rsidRPr="00FE67D5">
              <w:rPr>
                <w:vertAlign w:val="subscript"/>
              </w:rPr>
              <w:t>2</w:t>
            </w:r>
            <w:r w:rsidRPr="0038644B">
              <w:t xml:space="preserve"> emission factor of power unit</w:t>
            </w:r>
            <w:r>
              <w:t> </w:t>
            </w:r>
            <w:r>
              <w:rPr>
                <w:i/>
              </w:rPr>
              <w:t>p</w:t>
            </w:r>
            <w:r w:rsidRPr="0038644B">
              <w:t xml:space="preserve"> in </w:t>
            </w:r>
            <w:r w:rsidRPr="00F358C7">
              <w:t>period </w:t>
            </w:r>
            <w:r w:rsidRPr="41342212">
              <w:rPr>
                <w:i/>
                <w:iCs/>
              </w:rPr>
              <w:t>t</w:t>
            </w:r>
            <w:r>
              <w:t xml:space="preserve"> </w:t>
            </w:r>
            <w:r w:rsidRPr="0038644B">
              <w:t>(t</w:t>
            </w:r>
            <w:r>
              <w:t> CO</w:t>
            </w:r>
            <w:r w:rsidRPr="00FE67D5">
              <w:rPr>
                <w:vertAlign w:val="subscript"/>
              </w:rPr>
              <w:t>2</w:t>
            </w:r>
            <w:r w:rsidRPr="0038644B">
              <w:t>/MWh)</w:t>
            </w:r>
          </w:p>
        </w:tc>
      </w:tr>
      <w:tr w:rsidR="003D19A2" w14:paraId="18A929A7" w14:textId="77777777" w:rsidTr="00E70B79">
        <w:tc>
          <w:tcPr>
            <w:tcW w:w="1701" w:type="dxa"/>
            <w:vAlign w:val="top"/>
          </w:tcPr>
          <w:p w14:paraId="34D9211E" w14:textId="39A84BE9" w:rsidR="003D19A2" w:rsidRPr="003D19A2" w:rsidRDefault="00000000" w:rsidP="00E70B79">
            <w:pPr>
              <w:pStyle w:val="SDMTableBoxParaNotNumbered"/>
            </w:pPr>
            <m:oMathPara>
              <m:oMathParaPr>
                <m:jc m:val="left"/>
              </m:oMathParaPr>
              <m:oMath>
                <m:sSub>
                  <m:sSubPr>
                    <m:ctrlPr>
                      <w:rPr>
                        <w:rFonts w:ascii="Cambria Math" w:hAnsi="Cambria Math"/>
                        <w:i/>
                      </w:rPr>
                    </m:ctrlPr>
                  </m:sSubPr>
                  <m:e>
                    <m:r>
                      <w:rPr>
                        <w:rFonts w:ascii="Cambria Math" w:hAnsi="Cambria Math"/>
                      </w:rPr>
                      <m:t>EF</m:t>
                    </m:r>
                  </m:e>
                  <m:sub>
                    <m:r>
                      <w:rPr>
                        <w:rFonts w:ascii="Cambria Math" w:hAnsi="Cambria Math"/>
                      </w:rPr>
                      <m:t>CO2,p,t</m:t>
                    </m:r>
                  </m:sub>
                </m:sSub>
              </m:oMath>
            </m:oMathPara>
          </w:p>
        </w:tc>
        <w:tc>
          <w:tcPr>
            <w:tcW w:w="345" w:type="dxa"/>
            <w:vAlign w:val="top"/>
          </w:tcPr>
          <w:p w14:paraId="08D84508" w14:textId="77777777" w:rsidR="003D19A2" w:rsidRDefault="003D19A2" w:rsidP="00E70B79">
            <w:pPr>
              <w:pStyle w:val="SDMTableBoxParaNotNumbered"/>
            </w:pPr>
            <w:r>
              <w:t>=</w:t>
            </w:r>
          </w:p>
        </w:tc>
        <w:tc>
          <w:tcPr>
            <w:tcW w:w="0" w:type="auto"/>
            <w:vAlign w:val="top"/>
          </w:tcPr>
          <w:p w14:paraId="6BDD022B" w14:textId="6DDE7956" w:rsidR="003D19A2" w:rsidRDefault="003D19A2" w:rsidP="00E70B79">
            <w:pPr>
              <w:pStyle w:val="SDMTableBoxParaNotNumbered"/>
            </w:pPr>
            <w:r w:rsidRPr="0038644B">
              <w:t xml:space="preserve">Average </w:t>
            </w:r>
            <w:r>
              <w:t>CO</w:t>
            </w:r>
            <w:r w:rsidRPr="00FE67D5">
              <w:rPr>
                <w:vertAlign w:val="subscript"/>
              </w:rPr>
              <w:t>2</w:t>
            </w:r>
            <w:r w:rsidRPr="0038644B">
              <w:t xml:space="preserve"> emission factor of </w:t>
            </w:r>
            <w:r w:rsidR="00DE311E">
              <w:t xml:space="preserve">the </w:t>
            </w:r>
            <w:r w:rsidRPr="0038644B">
              <w:t>fuel used in power unit</w:t>
            </w:r>
            <w:r>
              <w:t> </w:t>
            </w:r>
            <w:r>
              <w:rPr>
                <w:i/>
              </w:rPr>
              <w:t>p</w:t>
            </w:r>
            <w:r w:rsidRPr="0038644B">
              <w:t xml:space="preserve"> in </w:t>
            </w:r>
            <w:r w:rsidRPr="00FF58E4">
              <w:t>period</w:t>
            </w:r>
            <w:r>
              <w:rPr>
                <w:i/>
                <w:iCs/>
              </w:rPr>
              <w:t> </w:t>
            </w:r>
            <w:r w:rsidRPr="41342212">
              <w:rPr>
                <w:i/>
                <w:iCs/>
              </w:rPr>
              <w:t>t</w:t>
            </w:r>
            <w:r>
              <w:t xml:space="preserve"> </w:t>
            </w:r>
            <w:r w:rsidRPr="0038644B">
              <w:rPr>
                <w:iCs/>
              </w:rPr>
              <w:t>(t</w:t>
            </w:r>
            <w:r>
              <w:rPr>
                <w:iCs/>
              </w:rPr>
              <w:t> CO</w:t>
            </w:r>
            <w:r w:rsidRPr="00FE67D5">
              <w:rPr>
                <w:iCs/>
                <w:vertAlign w:val="subscript"/>
              </w:rPr>
              <w:t>2</w:t>
            </w:r>
            <w:r w:rsidRPr="0038644B">
              <w:rPr>
                <w:iCs/>
              </w:rPr>
              <w:t>/GJ)</w:t>
            </w:r>
          </w:p>
        </w:tc>
      </w:tr>
      <w:tr w:rsidR="003D19A2" w14:paraId="455335BD" w14:textId="77777777" w:rsidTr="00E70B79">
        <w:tc>
          <w:tcPr>
            <w:tcW w:w="1701" w:type="dxa"/>
            <w:vAlign w:val="top"/>
          </w:tcPr>
          <w:p w14:paraId="2CAFB33A" w14:textId="4485051F" w:rsidR="003D19A2" w:rsidRPr="003D19A2" w:rsidRDefault="00000000" w:rsidP="00E70B79">
            <w:pPr>
              <w:pStyle w:val="SDMTableBoxParaNotNumbered"/>
            </w:pPr>
            <m:oMathPara>
              <m:oMathParaPr>
                <m:jc m:val="left"/>
              </m:oMathParaPr>
              <m:oMath>
                <m:sSub>
                  <m:sSubPr>
                    <m:ctrlPr>
                      <w:rPr>
                        <w:rFonts w:ascii="Cambria Math" w:hAnsi="Cambria Math" w:cs="Cambria Math"/>
                        <w:i/>
                      </w:rPr>
                    </m:ctrlPr>
                  </m:sSubPr>
                  <m:e>
                    <m:r>
                      <w:rPr>
                        <w:rFonts w:ascii="Cambria Math" w:hAnsi="Cambria Math" w:cs="Cambria Math"/>
                      </w:rPr>
                      <m:t>η</m:t>
                    </m:r>
                  </m:e>
                  <m:sub>
                    <m:r>
                      <w:rPr>
                        <w:rFonts w:ascii="Cambria Math" w:hAnsi="Cambria Math" w:cs="Cambria Math"/>
                      </w:rPr>
                      <m:t>p,t</m:t>
                    </m:r>
                  </m:sub>
                </m:sSub>
              </m:oMath>
            </m:oMathPara>
          </w:p>
        </w:tc>
        <w:tc>
          <w:tcPr>
            <w:tcW w:w="345" w:type="dxa"/>
            <w:vAlign w:val="top"/>
          </w:tcPr>
          <w:p w14:paraId="6B7B7D74" w14:textId="77777777" w:rsidR="003D19A2" w:rsidRDefault="003D19A2" w:rsidP="00E70B79">
            <w:pPr>
              <w:pStyle w:val="SDMTableBoxParaNotNumbered"/>
            </w:pPr>
            <w:r>
              <w:t>=</w:t>
            </w:r>
          </w:p>
        </w:tc>
        <w:tc>
          <w:tcPr>
            <w:tcW w:w="0" w:type="auto"/>
            <w:vAlign w:val="top"/>
          </w:tcPr>
          <w:p w14:paraId="7B88AC9E" w14:textId="33145773" w:rsidR="003D19A2" w:rsidRDefault="003D19A2" w:rsidP="00E70B79">
            <w:pPr>
              <w:pStyle w:val="SDMTableBoxParaNotNumbered"/>
            </w:pPr>
            <w:r w:rsidRPr="0038644B">
              <w:t>Average net energy conversion efficiency of power unit</w:t>
            </w:r>
            <w:r>
              <w:t> </w:t>
            </w:r>
            <w:r>
              <w:rPr>
                <w:i/>
              </w:rPr>
              <w:t>p</w:t>
            </w:r>
            <w:r w:rsidRPr="0038644B">
              <w:t xml:space="preserve"> in </w:t>
            </w:r>
            <w:r w:rsidRPr="00FF58E4">
              <w:t>period </w:t>
            </w:r>
            <w:r w:rsidRPr="41342212">
              <w:rPr>
                <w:i/>
                <w:iCs/>
              </w:rPr>
              <w:t>t</w:t>
            </w:r>
            <w:r>
              <w:t xml:space="preserve"> </w:t>
            </w:r>
            <w:r w:rsidRPr="0038644B">
              <w:t>(ratio)</w:t>
            </w:r>
          </w:p>
        </w:tc>
      </w:tr>
      <w:tr w:rsidR="003D19A2" w14:paraId="4442001E" w14:textId="77777777" w:rsidTr="00E70B79">
        <w:tc>
          <w:tcPr>
            <w:tcW w:w="1701" w:type="dxa"/>
            <w:vAlign w:val="top"/>
          </w:tcPr>
          <w:p w14:paraId="645843A6" w14:textId="4FF7D357" w:rsidR="003D19A2" w:rsidRPr="003D19A2" w:rsidRDefault="003D19A2" w:rsidP="00E70B79">
            <w:pPr>
              <w:pStyle w:val="SDMTableBoxParaNotNumbered"/>
            </w:pPr>
            <m:oMathPara>
              <m:oMathParaPr>
                <m:jc m:val="left"/>
              </m:oMathParaPr>
              <m:oMath>
                <m:r>
                  <w:rPr>
                    <w:rFonts w:ascii="Cambria Math" w:hAnsi="Cambria Math" w:cs="Cambria Math"/>
                  </w:rPr>
                  <m:t>p</m:t>
                </m:r>
              </m:oMath>
            </m:oMathPara>
          </w:p>
        </w:tc>
        <w:tc>
          <w:tcPr>
            <w:tcW w:w="345" w:type="dxa"/>
            <w:vAlign w:val="top"/>
          </w:tcPr>
          <w:p w14:paraId="2928193D" w14:textId="4216C35D" w:rsidR="003D19A2" w:rsidRDefault="003D19A2" w:rsidP="00E70B79">
            <w:pPr>
              <w:pStyle w:val="SDMTableBoxParaNotNumbered"/>
            </w:pPr>
            <w:r>
              <w:t>=</w:t>
            </w:r>
          </w:p>
        </w:tc>
        <w:tc>
          <w:tcPr>
            <w:tcW w:w="0" w:type="auto"/>
            <w:vAlign w:val="top"/>
          </w:tcPr>
          <w:p w14:paraId="025CFC26" w14:textId="2E6B92DF" w:rsidR="003D19A2" w:rsidRDefault="003D19A2" w:rsidP="00E70B79">
            <w:pPr>
              <w:pStyle w:val="SDMTableBoxParaNotNumbered"/>
            </w:pPr>
            <w:r w:rsidRPr="0038644B">
              <w:t xml:space="preserve">All </w:t>
            </w:r>
            <w:r>
              <w:t xml:space="preserve">relevant </w:t>
            </w:r>
            <w:r w:rsidRPr="0038644B">
              <w:t xml:space="preserve">power units serving the </w:t>
            </w:r>
            <w:r>
              <w:t>electricity system</w:t>
            </w:r>
            <w:r w:rsidRPr="0038644B">
              <w:t xml:space="preserve"> in </w:t>
            </w:r>
            <w:r>
              <w:t>period</w:t>
            </w:r>
            <w:r w:rsidRPr="0077016A">
              <w:t> </w:t>
            </w:r>
            <w:r>
              <w:rPr>
                <w:i/>
              </w:rPr>
              <w:t>t</w:t>
            </w:r>
            <w:r w:rsidRPr="0038644B">
              <w:t xml:space="preserve"> </w:t>
            </w:r>
            <w:r>
              <w:t xml:space="preserve">as per the method used for determining the OM or BM emission factor </w:t>
            </w:r>
          </w:p>
        </w:tc>
      </w:tr>
      <w:tr w:rsidR="003D19A2" w14:paraId="48EC475D" w14:textId="77777777" w:rsidTr="00E70B79">
        <w:tc>
          <w:tcPr>
            <w:tcW w:w="1701" w:type="dxa"/>
            <w:vAlign w:val="top"/>
          </w:tcPr>
          <w:p w14:paraId="4EF14441" w14:textId="0977AF06" w:rsidR="003D19A2" w:rsidRPr="003D19A2" w:rsidRDefault="003D19A2" w:rsidP="00E70B79">
            <w:pPr>
              <w:pStyle w:val="SDMTableBoxParaNotNumbered"/>
            </w:pPr>
            <m:oMathPara>
              <m:oMathParaPr>
                <m:jc m:val="left"/>
              </m:oMathParaPr>
              <m:oMath>
                <m:r>
                  <w:rPr>
                    <w:rFonts w:ascii="Cambria Math" w:hAnsi="Cambria Math" w:cs="Cambria Math"/>
                  </w:rPr>
                  <m:t>t</m:t>
                </m:r>
              </m:oMath>
            </m:oMathPara>
          </w:p>
        </w:tc>
        <w:tc>
          <w:tcPr>
            <w:tcW w:w="345" w:type="dxa"/>
            <w:vAlign w:val="top"/>
          </w:tcPr>
          <w:p w14:paraId="18D45366" w14:textId="2B7A8A5C" w:rsidR="003D19A2" w:rsidRDefault="003D19A2" w:rsidP="00E70B79">
            <w:pPr>
              <w:pStyle w:val="SDMTableBoxParaNotNumbered"/>
            </w:pPr>
            <w:r>
              <w:t>=</w:t>
            </w:r>
          </w:p>
        </w:tc>
        <w:tc>
          <w:tcPr>
            <w:tcW w:w="0" w:type="auto"/>
            <w:vAlign w:val="top"/>
          </w:tcPr>
          <w:p w14:paraId="2490251B" w14:textId="49F0B920" w:rsidR="003D19A2" w:rsidRDefault="003D19A2" w:rsidP="00E70B79">
            <w:pPr>
              <w:pStyle w:val="SDMTableBoxParaNotNumbered"/>
            </w:pPr>
            <w:r>
              <w:t>The relevant period used for determining the emission factor</w:t>
            </w:r>
          </w:p>
        </w:tc>
      </w:tr>
    </w:tbl>
    <w:p w14:paraId="304BC60F" w14:textId="7FC92986" w:rsidR="00FA5778" w:rsidRDefault="00FA5778">
      <w:pPr>
        <w:pStyle w:val="SDMSubPara2"/>
      </w:pPr>
      <w:r w:rsidDel="001A2D56">
        <w:t>A</w:t>
      </w:r>
      <w:r w:rsidRPr="0038644B" w:rsidDel="001A2D56">
        <w:t xml:space="preserve">s </w:t>
      </w:r>
      <w:r w:rsidR="00B90870" w:rsidDel="001A2D56">
        <w:t>a</w:t>
      </w:r>
      <w:r w:rsidRPr="0038644B">
        <w:t xml:space="preserve"> simple and conservative approach</w:t>
      </w:r>
      <w:r>
        <w:t xml:space="preserve">, </w:t>
      </w:r>
      <w:r w:rsidR="001A2D56">
        <w:t xml:space="preserve">using </w:t>
      </w:r>
      <w:r>
        <w:t xml:space="preserve">the default values </w:t>
      </w:r>
      <w:r w:rsidR="009C4AE9">
        <w:t>in</w:t>
      </w:r>
      <w:r w:rsidR="00323B6B">
        <w:t>.</w:t>
      </w:r>
    </w:p>
    <w:p w14:paraId="59B3B47B" w14:textId="00380E91" w:rsidR="00451CA7" w:rsidRDefault="00FE2DAD" w:rsidP="00FE2DAD">
      <w:pPr>
        <w:pStyle w:val="Caption"/>
      </w:pPr>
      <w:bookmarkStart w:id="477" w:name="_Ref220950638"/>
      <w:bookmarkStart w:id="478" w:name="_Ref216286480"/>
      <w:r>
        <w:t>Table</w:t>
      </w:r>
      <w:r w:rsidR="005A04B7">
        <w:t> </w:t>
      </w:r>
      <w:r>
        <w:fldChar w:fldCharType="begin"/>
      </w:r>
      <w:r>
        <w:instrText>SEQ Table \* ARABIC</w:instrText>
      </w:r>
      <w:r>
        <w:fldChar w:fldCharType="separate"/>
      </w:r>
      <w:r w:rsidR="00D811A8">
        <w:rPr>
          <w:noProof/>
        </w:rPr>
        <w:t>3</w:t>
      </w:r>
      <w:r>
        <w:fldChar w:fldCharType="end"/>
      </w:r>
      <w:bookmarkEnd w:id="477"/>
      <w:r w:rsidR="008B7921">
        <w:rPr>
          <w:noProof/>
        </w:rPr>
        <w:t>.</w:t>
      </w:r>
      <w:r w:rsidR="008B7921">
        <w:tab/>
      </w:r>
      <w:r w:rsidR="00451CA7" w:rsidRPr="00451CA7">
        <w:t>Default values for the emission factor of power units</w:t>
      </w:r>
      <w:bookmarkEnd w:id="478"/>
      <w:r w:rsidR="00876F21">
        <w:t xml:space="preserve"> (t</w:t>
      </w:r>
      <w:r w:rsidR="00071748">
        <w:t> </w:t>
      </w:r>
      <w:r w:rsidR="00876F21">
        <w:t>CO</w:t>
      </w:r>
      <w:r w:rsidR="00876F21" w:rsidRPr="00451CA7">
        <w:rPr>
          <w:vertAlign w:val="subscript"/>
        </w:rPr>
        <w:t>2</w:t>
      </w:r>
      <w:r w:rsidR="00876F21">
        <w:t>/MWh)</w:t>
      </w:r>
      <w:r w:rsidR="00451CA7">
        <w:rPr>
          <w:rStyle w:val="FootnoteReference"/>
        </w:rPr>
        <w:footnoteReference w:id="11"/>
      </w:r>
    </w:p>
    <w:tbl>
      <w:tblPr>
        <w:tblStyle w:val="SDMTable"/>
        <w:tblW w:w="8618" w:type="dxa"/>
        <w:jc w:val="right"/>
        <w:tblInd w:w="0" w:type="dxa"/>
        <w:tblLayout w:type="fixed"/>
        <w:tblLook w:val="0620" w:firstRow="1" w:lastRow="0" w:firstColumn="0" w:lastColumn="0" w:noHBand="1" w:noVBand="1"/>
      </w:tblPr>
      <w:tblGrid>
        <w:gridCol w:w="2872"/>
        <w:gridCol w:w="2873"/>
        <w:gridCol w:w="2873"/>
      </w:tblGrid>
      <w:tr w:rsidR="009709BE" w:rsidRPr="00911F51" w14:paraId="3AD1962D" w14:textId="77777777" w:rsidTr="00612113">
        <w:trPr>
          <w:cnfStyle w:val="100000000000" w:firstRow="1" w:lastRow="0" w:firstColumn="0" w:lastColumn="0" w:oddVBand="0" w:evenVBand="0" w:oddHBand="0" w:evenHBand="0" w:firstRowFirstColumn="0" w:firstRowLastColumn="0" w:lastRowFirstColumn="0" w:lastRowLastColumn="0"/>
          <w:jc w:val="right"/>
        </w:trPr>
        <w:tc>
          <w:tcPr>
            <w:tcW w:w="2872" w:type="dxa"/>
          </w:tcPr>
          <w:p w14:paraId="7A90841E" w14:textId="3E2E440F" w:rsidR="009709BE" w:rsidRPr="004F23C4" w:rsidRDefault="009709BE" w:rsidP="00905501">
            <w:pPr>
              <w:pStyle w:val="SDMTableBoxParaNumbered"/>
              <w:numPr>
                <w:ilvl w:val="0"/>
                <w:numId w:val="0"/>
              </w:numPr>
            </w:pPr>
            <w:r w:rsidRPr="00163AE9">
              <w:t>Fuel type</w:t>
            </w:r>
          </w:p>
        </w:tc>
        <w:tc>
          <w:tcPr>
            <w:tcW w:w="2873" w:type="dxa"/>
          </w:tcPr>
          <w:p w14:paraId="15296996" w14:textId="0FF5B6D0" w:rsidR="009709BE" w:rsidRPr="00CF6457" w:rsidRDefault="009709BE" w:rsidP="00905501">
            <w:pPr>
              <w:pStyle w:val="SDMTableBoxParaNotNumbered"/>
            </w:pPr>
            <w:r w:rsidRPr="00163AE9">
              <w:t>Case 1</w:t>
            </w:r>
          </w:p>
        </w:tc>
        <w:tc>
          <w:tcPr>
            <w:tcW w:w="2873" w:type="dxa"/>
          </w:tcPr>
          <w:p w14:paraId="70C46E8A" w14:textId="6073085A" w:rsidR="009709BE" w:rsidRPr="00CF6457" w:rsidRDefault="009709BE" w:rsidP="00905501">
            <w:pPr>
              <w:pStyle w:val="SDMTableBoxParaNotNumbered"/>
            </w:pPr>
            <w:r w:rsidRPr="00163AE9">
              <w:t>Case 2</w:t>
            </w:r>
          </w:p>
        </w:tc>
      </w:tr>
      <w:tr w:rsidR="009709BE" w:rsidRPr="00911F51" w14:paraId="6633B292" w14:textId="77777777" w:rsidTr="00612113">
        <w:trPr>
          <w:jc w:val="right"/>
        </w:trPr>
        <w:tc>
          <w:tcPr>
            <w:tcW w:w="2872" w:type="dxa"/>
          </w:tcPr>
          <w:p w14:paraId="157B0182" w14:textId="37F9591C" w:rsidR="009709BE" w:rsidRPr="004F23C4" w:rsidRDefault="009709BE" w:rsidP="00905501">
            <w:pPr>
              <w:pStyle w:val="SDMTableBoxParaNotNumbered"/>
            </w:pPr>
            <w:r w:rsidRPr="00A715A2">
              <w:t>Coal</w:t>
            </w:r>
          </w:p>
        </w:tc>
        <w:tc>
          <w:tcPr>
            <w:tcW w:w="2873" w:type="dxa"/>
          </w:tcPr>
          <w:p w14:paraId="2AF5A4CE" w14:textId="73DC6BF3" w:rsidR="009709BE" w:rsidRPr="00CF6457" w:rsidRDefault="009709BE" w:rsidP="00905501">
            <w:pPr>
              <w:pStyle w:val="SDMTableBoxParaNotNumbered"/>
            </w:pPr>
            <w:r w:rsidRPr="00A715A2">
              <w:t>1.3</w:t>
            </w:r>
          </w:p>
        </w:tc>
        <w:tc>
          <w:tcPr>
            <w:tcW w:w="2873" w:type="dxa"/>
          </w:tcPr>
          <w:p w14:paraId="2CC03EBD" w14:textId="6A262EE1" w:rsidR="009709BE" w:rsidRPr="00CF6457" w:rsidRDefault="009709BE" w:rsidP="00905501">
            <w:pPr>
              <w:pStyle w:val="SDMTableBoxParaNotNumbered"/>
            </w:pPr>
            <w:r w:rsidRPr="00A715A2">
              <w:t>0.7</w:t>
            </w:r>
          </w:p>
        </w:tc>
      </w:tr>
      <w:tr w:rsidR="009709BE" w:rsidRPr="00911F51" w14:paraId="412588A1" w14:textId="77777777" w:rsidTr="00612113">
        <w:trPr>
          <w:jc w:val="right"/>
        </w:trPr>
        <w:tc>
          <w:tcPr>
            <w:tcW w:w="2872" w:type="dxa"/>
          </w:tcPr>
          <w:p w14:paraId="47C4E7A0" w14:textId="55E15344" w:rsidR="009709BE" w:rsidRPr="004F23C4" w:rsidRDefault="009709BE" w:rsidP="00905501">
            <w:pPr>
              <w:pStyle w:val="SDMTableBoxParaNotNumbered"/>
            </w:pPr>
            <w:r w:rsidRPr="00A715A2">
              <w:t>Oil</w:t>
            </w:r>
          </w:p>
        </w:tc>
        <w:tc>
          <w:tcPr>
            <w:tcW w:w="2873" w:type="dxa"/>
          </w:tcPr>
          <w:p w14:paraId="67F6CED9" w14:textId="40443643" w:rsidR="009709BE" w:rsidRPr="00CF6457" w:rsidRDefault="009709BE" w:rsidP="00905501">
            <w:pPr>
              <w:pStyle w:val="SDMTableBoxParaNotNumbered"/>
            </w:pPr>
            <w:r w:rsidRPr="00A715A2">
              <w:t>0.9</w:t>
            </w:r>
          </w:p>
        </w:tc>
        <w:tc>
          <w:tcPr>
            <w:tcW w:w="2873" w:type="dxa"/>
          </w:tcPr>
          <w:p w14:paraId="026A3FFD" w14:textId="13E28B06" w:rsidR="009709BE" w:rsidRPr="00CF6457" w:rsidRDefault="009709BE" w:rsidP="00905501">
            <w:pPr>
              <w:pStyle w:val="SDMTableBoxParaNotNumbered"/>
            </w:pPr>
            <w:r w:rsidRPr="00A715A2">
              <w:t>0.54</w:t>
            </w:r>
          </w:p>
        </w:tc>
      </w:tr>
      <w:tr w:rsidR="009709BE" w:rsidRPr="00911F51" w14:paraId="280054D2" w14:textId="77777777" w:rsidTr="00612113">
        <w:trPr>
          <w:jc w:val="right"/>
        </w:trPr>
        <w:tc>
          <w:tcPr>
            <w:tcW w:w="2872" w:type="dxa"/>
          </w:tcPr>
          <w:p w14:paraId="2122F2A8" w14:textId="74FC211F" w:rsidR="009709BE" w:rsidRPr="004F23C4" w:rsidRDefault="009709BE" w:rsidP="00905501">
            <w:pPr>
              <w:pStyle w:val="SDMTableBoxParaNotNumbered"/>
            </w:pPr>
            <w:r w:rsidRPr="00A715A2">
              <w:t>Natural gas</w:t>
            </w:r>
          </w:p>
        </w:tc>
        <w:tc>
          <w:tcPr>
            <w:tcW w:w="2873" w:type="dxa"/>
          </w:tcPr>
          <w:p w14:paraId="54C3E601" w14:textId="078F8818" w:rsidR="009709BE" w:rsidRPr="00CF6457" w:rsidRDefault="009709BE" w:rsidP="00905501">
            <w:pPr>
              <w:pStyle w:val="SDMTableBoxParaNotNumbered"/>
            </w:pPr>
            <w:r w:rsidRPr="00A715A2">
              <w:t>0.7</w:t>
            </w:r>
          </w:p>
        </w:tc>
        <w:tc>
          <w:tcPr>
            <w:tcW w:w="2873" w:type="dxa"/>
          </w:tcPr>
          <w:p w14:paraId="7A5B9F6F" w14:textId="2864AE80" w:rsidR="009709BE" w:rsidRPr="00CF6457" w:rsidRDefault="009709BE" w:rsidP="00905501">
            <w:pPr>
              <w:pStyle w:val="SDMTableBoxParaNotNumbered"/>
            </w:pPr>
            <w:r w:rsidRPr="00A715A2">
              <w:t>0.3</w:t>
            </w:r>
          </w:p>
        </w:tc>
      </w:tr>
    </w:tbl>
    <w:p w14:paraId="1F5576EE" w14:textId="1F9AD9FF" w:rsidR="00FA5778" w:rsidRDefault="00C3587A">
      <w:pPr>
        <w:pStyle w:val="SDMPara"/>
        <w:rPr>
          <w:rFonts w:eastAsia="SimSun"/>
        </w:rPr>
      </w:pPr>
      <w:bookmarkStart w:id="479" w:name="_Ref216284882"/>
      <w:bookmarkStart w:id="480" w:name="_Ref220951287"/>
      <w:r>
        <w:rPr>
          <w:rFonts w:eastAsia="SimSun"/>
        </w:rPr>
        <w:t>W</w:t>
      </w:r>
      <w:r w:rsidR="00FA5778">
        <w:rPr>
          <w:rFonts w:eastAsia="SimSun"/>
        </w:rPr>
        <w:t xml:space="preserve">here biomass or biomass-derived fuels are </w:t>
      </w:r>
      <w:r w:rsidR="00FC2443">
        <w:rPr>
          <w:rFonts w:eastAsia="SimSun"/>
        </w:rPr>
        <w:t xml:space="preserve">consumed by </w:t>
      </w:r>
      <w:r w:rsidR="00FA5778">
        <w:rPr>
          <w:rFonts w:eastAsia="SimSun"/>
        </w:rPr>
        <w:t>a power unit </w:t>
      </w:r>
      <w:r w:rsidR="003017D1">
        <w:rPr>
          <w:rFonts w:eastAsia="SimSun"/>
          <w:i/>
          <w:iCs/>
        </w:rPr>
        <w:t>p</w:t>
      </w:r>
      <w:r w:rsidR="00FA5778">
        <w:rPr>
          <w:rFonts w:eastAsia="SimSun"/>
        </w:rPr>
        <w:t>, use</w:t>
      </w:r>
      <w:r w:rsidR="00CE2903">
        <w:rPr>
          <w:rFonts w:eastAsia="SimSun"/>
        </w:rPr>
        <w:t>,</w:t>
      </w:r>
      <w:r w:rsidR="00FA5778">
        <w:rPr>
          <w:rFonts w:eastAsia="SimSun"/>
        </w:rPr>
        <w:t xml:space="preserve"> for </w:t>
      </w:r>
      <w:r w:rsidR="00CE2903" w:rsidRPr="00CE2903">
        <w:rPr>
          <w:rFonts w:eastAsia="SimSun"/>
          <w:b/>
          <w:bCs/>
        </w:rPr>
        <w:t>case 1</w:t>
      </w:r>
      <w:r w:rsidR="00CE2903">
        <w:rPr>
          <w:rFonts w:eastAsia="SimSun"/>
        </w:rPr>
        <w:t xml:space="preserve">, </w:t>
      </w:r>
      <w:r w:rsidR="00FA5778">
        <w:rPr>
          <w:rFonts w:eastAsia="SimSun"/>
        </w:rPr>
        <w:t xml:space="preserve">the higher value within a plausible range of emission factors, assuming that the biomass is not renewable, and use for </w:t>
      </w:r>
      <w:r w:rsidR="00CE2903" w:rsidRPr="00CE2903">
        <w:rPr>
          <w:rFonts w:eastAsia="SimSun"/>
          <w:b/>
          <w:bCs/>
        </w:rPr>
        <w:t>case </w:t>
      </w:r>
      <w:r w:rsidR="00FA5778" w:rsidRPr="00CE2903">
        <w:rPr>
          <w:rFonts w:eastAsia="SimSun"/>
          <w:b/>
          <w:bCs/>
        </w:rPr>
        <w:t>2</w:t>
      </w:r>
      <w:r w:rsidR="00FA5778">
        <w:rPr>
          <w:rFonts w:eastAsia="SimSun"/>
        </w:rPr>
        <w:t xml:space="preserve"> an emission factor of zero.</w:t>
      </w:r>
      <w:bookmarkEnd w:id="479"/>
      <w:r w:rsidR="00E94667">
        <w:rPr>
          <w:rStyle w:val="FootnoteReference"/>
          <w:rFonts w:eastAsia="SimSun"/>
        </w:rPr>
        <w:footnoteReference w:id="12"/>
      </w:r>
      <w:bookmarkEnd w:id="480"/>
    </w:p>
    <w:p w14:paraId="2CC05B1C" w14:textId="5867210C" w:rsidR="00FA5778" w:rsidRDefault="00FA5778">
      <w:pPr>
        <w:pStyle w:val="SDMPara"/>
        <w:rPr>
          <w:rFonts w:eastAsia="SimSun"/>
        </w:rPr>
      </w:pPr>
      <w:bookmarkStart w:id="481" w:name="_Ref220951293"/>
      <w:r>
        <w:rPr>
          <w:rFonts w:eastAsia="SimSun"/>
        </w:rPr>
        <w:t xml:space="preserve">Where hydrogen or hydrogen-derived fuels are </w:t>
      </w:r>
      <w:r w:rsidR="00FC2443">
        <w:rPr>
          <w:rFonts w:eastAsia="SimSun"/>
        </w:rPr>
        <w:t xml:space="preserve">consumed by </w:t>
      </w:r>
      <w:r>
        <w:rPr>
          <w:rFonts w:eastAsia="SimSun"/>
        </w:rPr>
        <w:t>a power unit </w:t>
      </w:r>
      <w:r w:rsidR="00272E6F">
        <w:rPr>
          <w:rFonts w:eastAsia="SimSun"/>
          <w:i/>
          <w:iCs/>
        </w:rPr>
        <w:t>p</w:t>
      </w:r>
      <w:r>
        <w:rPr>
          <w:rFonts w:eastAsia="SimSun"/>
        </w:rPr>
        <w:t>, use</w:t>
      </w:r>
      <w:r w:rsidR="00CE2903">
        <w:rPr>
          <w:rFonts w:eastAsia="SimSun"/>
        </w:rPr>
        <w:t>,</w:t>
      </w:r>
      <w:r>
        <w:rPr>
          <w:rFonts w:eastAsia="SimSun"/>
        </w:rPr>
        <w:t xml:space="preserve"> for </w:t>
      </w:r>
      <w:r w:rsidR="00CE2903" w:rsidRPr="00CE2903">
        <w:rPr>
          <w:rFonts w:eastAsia="SimSun"/>
          <w:b/>
          <w:bCs/>
        </w:rPr>
        <w:t>case </w:t>
      </w:r>
      <w:r w:rsidRPr="00CE2903">
        <w:rPr>
          <w:rFonts w:eastAsia="SimSun"/>
          <w:b/>
          <w:bCs/>
        </w:rPr>
        <w:t>1</w:t>
      </w:r>
      <w:r w:rsidR="00CE2903">
        <w:rPr>
          <w:rFonts w:eastAsia="SimSun"/>
          <w:b/>
          <w:bCs/>
        </w:rPr>
        <w:t>,</w:t>
      </w:r>
      <w:r>
        <w:rPr>
          <w:rFonts w:eastAsia="SimSun"/>
        </w:rPr>
        <w:t xml:space="preserve"> the higher value within a plausible range of emission factors, assuming that the hydrogen </w:t>
      </w:r>
      <w:r w:rsidR="00CE2903">
        <w:rPr>
          <w:rFonts w:eastAsia="SimSun"/>
        </w:rPr>
        <w:t xml:space="preserve">is </w:t>
      </w:r>
      <w:r>
        <w:rPr>
          <w:rFonts w:eastAsia="SimSun"/>
        </w:rPr>
        <w:t xml:space="preserve">produced from </w:t>
      </w:r>
      <w:r w:rsidR="00692FDB">
        <w:rPr>
          <w:rFonts w:eastAsia="SimSun"/>
        </w:rPr>
        <w:t xml:space="preserve">fossil fuels </w:t>
      </w:r>
      <w:r>
        <w:rPr>
          <w:rFonts w:eastAsia="SimSun"/>
        </w:rPr>
        <w:t>without carbon capture and storage, and use</w:t>
      </w:r>
      <w:r w:rsidR="007628C4">
        <w:rPr>
          <w:rFonts w:eastAsia="SimSun"/>
        </w:rPr>
        <w:t>,</w:t>
      </w:r>
      <w:r>
        <w:rPr>
          <w:rFonts w:eastAsia="SimSun"/>
        </w:rPr>
        <w:t xml:space="preserve"> for </w:t>
      </w:r>
      <w:r w:rsidR="007628C4" w:rsidRPr="007628C4">
        <w:rPr>
          <w:rFonts w:eastAsia="SimSun"/>
          <w:b/>
          <w:bCs/>
        </w:rPr>
        <w:t>case </w:t>
      </w:r>
      <w:r w:rsidRPr="007628C4">
        <w:rPr>
          <w:rFonts w:eastAsia="SimSun"/>
          <w:b/>
          <w:bCs/>
        </w:rPr>
        <w:t>2</w:t>
      </w:r>
      <w:r w:rsidRPr="00DE311E">
        <w:rPr>
          <w:rFonts w:eastAsia="SimSun"/>
        </w:rPr>
        <w:t xml:space="preserve"> an </w:t>
      </w:r>
      <w:r>
        <w:rPr>
          <w:rFonts w:eastAsia="SimSun"/>
        </w:rPr>
        <w:t>emission factor of zero</w:t>
      </w:r>
      <w:r w:rsidR="000A29D6">
        <w:rPr>
          <w:rFonts w:eastAsia="SimSun"/>
        </w:rPr>
        <w:t>, unless other approaches are provided by the mechanism methodology referring to this tool</w:t>
      </w:r>
      <w:r>
        <w:rPr>
          <w:rFonts w:eastAsia="SimSun"/>
        </w:rPr>
        <w:t>.</w:t>
      </w:r>
      <w:bookmarkEnd w:id="481"/>
    </w:p>
    <w:p w14:paraId="6A74020F" w14:textId="7B1278AE" w:rsidR="00272E6F" w:rsidRPr="009D317A" w:rsidRDefault="00272E6F">
      <w:pPr>
        <w:pStyle w:val="SDMPara"/>
        <w:rPr>
          <w:rFonts w:eastAsia="SimSun"/>
        </w:rPr>
      </w:pPr>
      <w:r w:rsidRPr="00065EB4">
        <w:t xml:space="preserve">Where several fuel types are </w:t>
      </w:r>
      <w:r w:rsidR="006D533B">
        <w:t xml:space="preserve">consumed by </w:t>
      </w:r>
      <w:r>
        <w:t>a</w:t>
      </w:r>
      <w:r w:rsidRPr="00065EB4">
        <w:t xml:space="preserve"> power unit</w:t>
      </w:r>
      <w:r>
        <w:t> </w:t>
      </w:r>
      <w:r>
        <w:rPr>
          <w:i/>
          <w:iCs/>
        </w:rPr>
        <w:t>p</w:t>
      </w:r>
      <w:r w:rsidR="03493EDE" w:rsidRPr="4D9D17D7">
        <w:rPr>
          <w:i/>
          <w:iCs/>
        </w:rPr>
        <w:t xml:space="preserve"> </w:t>
      </w:r>
      <w:r w:rsidR="03493EDE" w:rsidRPr="00BF0A6D">
        <w:t xml:space="preserve">and the data </w:t>
      </w:r>
      <w:r w:rsidR="003A6822">
        <w:t xml:space="preserve">required </w:t>
      </w:r>
      <w:r w:rsidR="03493EDE" w:rsidRPr="00BF0A6D">
        <w:t xml:space="preserve">for </w:t>
      </w:r>
      <w:r w:rsidR="03493EDE" w:rsidRPr="00DB7ED3">
        <w:rPr>
          <w:b/>
          <w:bCs/>
        </w:rPr>
        <w:t>option</w:t>
      </w:r>
      <w:r w:rsidR="00071748">
        <w:rPr>
          <w:b/>
          <w:bCs/>
        </w:rPr>
        <w:t> </w:t>
      </w:r>
      <w:r w:rsidR="03493EDE" w:rsidRPr="00DB7ED3">
        <w:rPr>
          <w:b/>
          <w:bCs/>
        </w:rPr>
        <w:t>1</w:t>
      </w:r>
      <w:r w:rsidR="03493EDE" w:rsidRPr="00BF0A6D">
        <w:t xml:space="preserve"> </w:t>
      </w:r>
      <w:r w:rsidR="007628C4">
        <w:t>are</w:t>
      </w:r>
      <w:r w:rsidR="007628C4" w:rsidRPr="00BF0A6D">
        <w:t xml:space="preserve"> </w:t>
      </w:r>
      <w:r w:rsidR="03493EDE" w:rsidRPr="00BF0A6D">
        <w:t>not available</w:t>
      </w:r>
      <w:r w:rsidRPr="00065EB4">
        <w:t xml:space="preserve">, use the fuel type with the </w:t>
      </w:r>
      <w:r w:rsidR="00D54CAF">
        <w:t>highest emission factor</w:t>
      </w:r>
      <w:r w:rsidRPr="00065EB4">
        <w:t xml:space="preserve"> for </w:t>
      </w:r>
      <w:r w:rsidR="007628C4" w:rsidRPr="00DB7ED3">
        <w:rPr>
          <w:b/>
          <w:bCs/>
        </w:rPr>
        <w:t>case </w:t>
      </w:r>
      <w:r w:rsidRPr="00DB7ED3">
        <w:rPr>
          <w:b/>
          <w:bCs/>
        </w:rPr>
        <w:t>1</w:t>
      </w:r>
      <w:r>
        <w:t xml:space="preserve"> </w:t>
      </w:r>
      <w:r w:rsidR="00DB7ED3">
        <w:t>and the</w:t>
      </w:r>
      <w:r w:rsidRPr="00065EB4">
        <w:t xml:space="preserve"> fuel type with the lowest </w:t>
      </w:r>
      <w:r w:rsidR="00D54CAF">
        <w:t>emission factor</w:t>
      </w:r>
      <w:r w:rsidRPr="00065EB4">
        <w:t xml:space="preserve"> for </w:t>
      </w:r>
      <w:r w:rsidR="00DB7ED3" w:rsidRPr="00E9628C">
        <w:rPr>
          <w:b/>
          <w:bCs/>
        </w:rPr>
        <w:t>case </w:t>
      </w:r>
      <w:r w:rsidRPr="00E9628C">
        <w:rPr>
          <w:b/>
          <w:bCs/>
        </w:rPr>
        <w:t>2</w:t>
      </w:r>
      <w:r w:rsidRPr="00065EB4">
        <w:t>.</w:t>
      </w:r>
    </w:p>
    <w:p w14:paraId="7F7FDED3" w14:textId="1F6D82BB" w:rsidR="003A39DF" w:rsidRPr="00224250" w:rsidRDefault="37EFC794">
      <w:pPr>
        <w:pStyle w:val="SDMHead4"/>
      </w:pPr>
      <w:bookmarkStart w:id="482" w:name="_Ref219921825"/>
      <w:r w:rsidRPr="00224250">
        <w:t>Sub step</w:t>
      </w:r>
      <w:r w:rsidR="00592D9E">
        <w:t> </w:t>
      </w:r>
      <w:r w:rsidRPr="00224250">
        <w:t xml:space="preserve">a: </w:t>
      </w:r>
      <w:r w:rsidR="00AB65F7">
        <w:t>Determination of</w:t>
      </w:r>
      <w:r w:rsidRPr="00224250">
        <w:t xml:space="preserve"> the OM emission factor</w:t>
      </w:r>
      <w:bookmarkEnd w:id="482"/>
    </w:p>
    <w:p w14:paraId="67943BA3" w14:textId="29E6224D" w:rsidR="00E148AB" w:rsidRPr="0038644B" w:rsidRDefault="00E148AB">
      <w:pPr>
        <w:pStyle w:val="SDMPara"/>
        <w:keepNext/>
      </w:pPr>
      <w:bookmarkStart w:id="483" w:name="_Ref494890796"/>
      <w:r w:rsidRPr="0038644B">
        <w:t xml:space="preserve">The </w:t>
      </w:r>
      <w:r>
        <w:t xml:space="preserve">OM </w:t>
      </w:r>
      <w:r w:rsidRPr="0038644B">
        <w:t xml:space="preserve">emission factor </w:t>
      </w:r>
      <w:r>
        <w:t>(</w:t>
      </w:r>
      <w:r w:rsidRPr="0053260A">
        <w:t>EF</w:t>
      </w:r>
      <w:r w:rsidRPr="000F68AF">
        <w:rPr>
          <w:vertAlign w:val="subscript"/>
        </w:rPr>
        <w:t>OM,</w:t>
      </w:r>
      <w:r w:rsidR="7E7C1F16" w:rsidRPr="000F68AF">
        <w:rPr>
          <w:vertAlign w:val="subscript"/>
        </w:rPr>
        <w:t>t</w:t>
      </w:r>
      <w:r>
        <w:t>)</w:t>
      </w:r>
      <w:r w:rsidRPr="0038644B">
        <w:t xml:space="preserve"> </w:t>
      </w:r>
      <w:r>
        <w:t>shall be</w:t>
      </w:r>
      <w:r w:rsidRPr="0038644B">
        <w:t xml:space="preserve"> </w:t>
      </w:r>
      <w:r w:rsidR="00B47854">
        <w:t xml:space="preserve">determined </w:t>
      </w:r>
      <w:r w:rsidRPr="0038644B">
        <w:t>based on one of the following methods</w:t>
      </w:r>
      <w:bookmarkEnd w:id="483"/>
      <w:r w:rsidR="00E16FAE">
        <w:t>:</w:t>
      </w:r>
      <w:r w:rsidR="00511431">
        <w:rPr>
          <w:rStyle w:val="FootnoteReference"/>
        </w:rPr>
        <w:footnoteReference w:id="13"/>
      </w:r>
    </w:p>
    <w:p w14:paraId="3CC0C723" w14:textId="11505438" w:rsidR="00FF70B5" w:rsidRDefault="00E148AB">
      <w:pPr>
        <w:pStyle w:val="SDMSubPara1"/>
      </w:pPr>
      <w:r w:rsidRPr="00572565">
        <w:rPr>
          <w:b/>
          <w:bCs/>
        </w:rPr>
        <w:t>Dispatch data OM</w:t>
      </w:r>
      <w:r w:rsidR="00FE511C">
        <w:t>, as described</w:t>
      </w:r>
      <w:r>
        <w:t xml:space="preserve"> in </w:t>
      </w:r>
      <w:r w:rsidR="00EB7C09">
        <w:t xml:space="preserve">section </w:t>
      </w:r>
      <w:r w:rsidR="00CD413D">
        <w:fldChar w:fldCharType="begin"/>
      </w:r>
      <w:r w:rsidR="00CD413D">
        <w:instrText xml:space="preserve"> REF _Ref215683635 \w \h </w:instrText>
      </w:r>
      <w:r w:rsidR="00CD413D">
        <w:fldChar w:fldCharType="separate"/>
      </w:r>
      <w:r w:rsidR="00D811A8">
        <w:rPr>
          <w:cs/>
        </w:rPr>
        <w:t>‎</w:t>
      </w:r>
      <w:r w:rsidR="00D811A8">
        <w:t>5.7.1.2.1</w:t>
      </w:r>
      <w:r w:rsidR="00CD413D">
        <w:fldChar w:fldCharType="end"/>
      </w:r>
      <w:r w:rsidRPr="0038644B">
        <w:t>;</w:t>
      </w:r>
    </w:p>
    <w:p w14:paraId="4AA46B45" w14:textId="25077DFA" w:rsidR="00FF70B5" w:rsidRDefault="00E148AB">
      <w:pPr>
        <w:pStyle w:val="SDMSubPara1"/>
      </w:pPr>
      <w:r w:rsidRPr="00572565">
        <w:rPr>
          <w:b/>
          <w:bCs/>
        </w:rPr>
        <w:t>Simple OM</w:t>
      </w:r>
      <w:r w:rsidR="00FE511C">
        <w:t>, as described</w:t>
      </w:r>
      <w:r>
        <w:t xml:space="preserve"> in </w:t>
      </w:r>
      <w:r w:rsidR="00EB7C09">
        <w:t xml:space="preserve">section </w:t>
      </w:r>
      <w:r w:rsidR="00CD413D">
        <w:fldChar w:fldCharType="begin"/>
      </w:r>
      <w:r w:rsidR="00CD413D">
        <w:instrText xml:space="preserve"> REF _Ref215683293 \w \h </w:instrText>
      </w:r>
      <w:r w:rsidR="00CD413D">
        <w:fldChar w:fldCharType="separate"/>
      </w:r>
      <w:r w:rsidR="00D811A8">
        <w:rPr>
          <w:cs/>
        </w:rPr>
        <w:t>‎</w:t>
      </w:r>
      <w:r w:rsidR="00D811A8">
        <w:t>5.7.1.2.2</w:t>
      </w:r>
      <w:r w:rsidR="00CD413D">
        <w:fldChar w:fldCharType="end"/>
      </w:r>
      <w:r w:rsidRPr="0038644B">
        <w:t>;</w:t>
      </w:r>
    </w:p>
    <w:p w14:paraId="20B422F0" w14:textId="4D52A9CA" w:rsidR="00E148AB" w:rsidRDefault="00E148AB">
      <w:pPr>
        <w:pStyle w:val="SDMSubPara1"/>
      </w:pPr>
      <w:r w:rsidRPr="00572565">
        <w:rPr>
          <w:b/>
          <w:bCs/>
        </w:rPr>
        <w:t>Simple adjusted OM</w:t>
      </w:r>
      <w:r w:rsidR="00FE511C">
        <w:t>, as described</w:t>
      </w:r>
      <w:r>
        <w:t xml:space="preserve"> in </w:t>
      </w:r>
      <w:r w:rsidR="00EB7C09">
        <w:t>section</w:t>
      </w:r>
      <w:r w:rsidR="00D9168E">
        <w:t xml:space="preserve"> </w:t>
      </w:r>
      <w:r w:rsidR="00CD413D">
        <w:fldChar w:fldCharType="begin"/>
      </w:r>
      <w:r w:rsidR="00CD413D">
        <w:instrText xml:space="preserve"> REF _Ref216065061 \w \h </w:instrText>
      </w:r>
      <w:r w:rsidR="00CD413D">
        <w:fldChar w:fldCharType="separate"/>
      </w:r>
      <w:r w:rsidR="00D811A8">
        <w:rPr>
          <w:cs/>
        </w:rPr>
        <w:t>‎</w:t>
      </w:r>
      <w:r w:rsidR="00D811A8">
        <w:t>5.7.1.2.3</w:t>
      </w:r>
      <w:r w:rsidR="00CD413D">
        <w:fldChar w:fldCharType="end"/>
      </w:r>
      <w:r w:rsidR="00D9168E">
        <w:t xml:space="preserve">; </w:t>
      </w:r>
      <w:r w:rsidRPr="0038644B" w:rsidDel="00486211">
        <w:t>or</w:t>
      </w:r>
    </w:p>
    <w:p w14:paraId="39AD281B" w14:textId="31E04915" w:rsidR="00E148AB" w:rsidRDefault="00E148AB">
      <w:pPr>
        <w:pStyle w:val="SDMSubPara1"/>
      </w:pPr>
      <w:r w:rsidRPr="00572565">
        <w:rPr>
          <w:b/>
          <w:bCs/>
        </w:rPr>
        <w:t>Average OM</w:t>
      </w:r>
      <w:r w:rsidR="00FE511C">
        <w:t>, as described</w:t>
      </w:r>
      <w:r>
        <w:t xml:space="preserve"> in </w:t>
      </w:r>
      <w:r w:rsidR="00EB7C09">
        <w:t xml:space="preserve">section </w:t>
      </w:r>
      <w:r w:rsidR="00CD413D">
        <w:fldChar w:fldCharType="begin"/>
      </w:r>
      <w:r w:rsidR="00CD413D">
        <w:instrText xml:space="preserve"> REF _Ref221037800 \w \h </w:instrText>
      </w:r>
      <w:r w:rsidR="00CD413D">
        <w:fldChar w:fldCharType="separate"/>
      </w:r>
      <w:r w:rsidR="00D811A8">
        <w:rPr>
          <w:cs/>
        </w:rPr>
        <w:t>‎</w:t>
      </w:r>
      <w:r w:rsidR="00D811A8">
        <w:t>5.7.1.2.4</w:t>
      </w:r>
      <w:r w:rsidR="00CD413D">
        <w:fldChar w:fldCharType="end"/>
      </w:r>
      <w:r>
        <w:t>.</w:t>
      </w:r>
    </w:p>
    <w:bookmarkStart w:id="484" w:name="_Ref220951490"/>
    <w:p w14:paraId="6A57996F" w14:textId="695337BE" w:rsidR="00E33E88" w:rsidRDefault="00666638">
      <w:pPr>
        <w:pStyle w:val="SDMPara"/>
      </w:pPr>
      <w:r>
        <w:fldChar w:fldCharType="begin"/>
      </w:r>
      <w:r>
        <w:instrText xml:space="preserve"> REF _Ref220950238 \h </w:instrText>
      </w:r>
      <w:r>
        <w:fldChar w:fldCharType="separate"/>
      </w:r>
      <w:r w:rsidR="00D811A8">
        <w:t>Table </w:t>
      </w:r>
      <w:r w:rsidR="00D811A8">
        <w:rPr>
          <w:noProof/>
        </w:rPr>
        <w:t>4</w:t>
      </w:r>
      <w:r>
        <w:fldChar w:fldCharType="end"/>
      </w:r>
      <w:r w:rsidR="00863862">
        <w:t xml:space="preserve"> </w:t>
      </w:r>
      <w:r w:rsidR="0089278F">
        <w:t xml:space="preserve">summarizes </w:t>
      </w:r>
      <w:r w:rsidR="009C0414">
        <w:t>the applicability conditions for the different methods</w:t>
      </w:r>
      <w:r w:rsidR="00852685">
        <w:t xml:space="preserve"> and</w:t>
      </w:r>
      <w:r w:rsidR="0089278F">
        <w:t xml:space="preserve"> specifies the uncertainty deemed to be associated with each method</w:t>
      </w:r>
      <w:r w:rsidR="00E42151">
        <w:t xml:space="preserve">. This uncertainty </w:t>
      </w:r>
      <w:r w:rsidR="00EA5508">
        <w:t xml:space="preserve">shall be used </w:t>
      </w:r>
      <w:r w:rsidR="00EB4070">
        <w:t>when</w:t>
      </w:r>
      <w:r w:rsidR="00B60BBA">
        <w:t xml:space="preserve"> </w:t>
      </w:r>
      <w:r w:rsidR="006C79CD">
        <w:t>determining</w:t>
      </w:r>
      <w:r w:rsidR="00B60BBA">
        <w:t xml:space="preserve"> the </w:t>
      </w:r>
      <w:r w:rsidR="006C79CD">
        <w:t xml:space="preserve">overall </w:t>
      </w:r>
      <w:r w:rsidR="00B60BBA">
        <w:t>uncertainty of the emission factor for the electricity system.</w:t>
      </w:r>
      <w:r w:rsidR="00022332">
        <w:t xml:space="preserve"> For all methods, the </w:t>
      </w:r>
      <w:r w:rsidR="00DC7E37">
        <w:t xml:space="preserve">data </w:t>
      </w:r>
      <w:r w:rsidR="00022332">
        <w:t xml:space="preserve">necessary </w:t>
      </w:r>
      <w:r w:rsidR="000A0B5A">
        <w:t xml:space="preserve">to apply the method </w:t>
      </w:r>
      <w:r w:rsidR="00022332">
        <w:t>must be available.</w:t>
      </w:r>
      <w:bookmarkEnd w:id="484"/>
    </w:p>
    <w:p w14:paraId="680E5EA2" w14:textId="63569ED9" w:rsidR="00B70E27" w:rsidRPr="00BF0A6D" w:rsidRDefault="00AF3B71" w:rsidP="00AF3B71">
      <w:pPr>
        <w:pStyle w:val="Caption"/>
        <w:rPr>
          <w:lang w:val="en-US"/>
        </w:rPr>
      </w:pPr>
      <w:bookmarkStart w:id="485" w:name="_Ref220950238"/>
      <w:bookmarkStart w:id="486" w:name="_Ref215683777"/>
      <w:r>
        <w:t>Table</w:t>
      </w:r>
      <w:r w:rsidR="005A04B7">
        <w:t> </w:t>
      </w:r>
      <w:r>
        <w:fldChar w:fldCharType="begin"/>
      </w:r>
      <w:r>
        <w:instrText>SEQ Table \* ARABIC</w:instrText>
      </w:r>
      <w:r>
        <w:fldChar w:fldCharType="separate"/>
      </w:r>
      <w:r w:rsidR="00D811A8">
        <w:rPr>
          <w:noProof/>
        </w:rPr>
        <w:t>4</w:t>
      </w:r>
      <w:r>
        <w:fldChar w:fldCharType="end"/>
      </w:r>
      <w:bookmarkEnd w:id="485"/>
      <w:r w:rsidR="00BA5CE0">
        <w:rPr>
          <w:noProof/>
        </w:rPr>
        <w:t>.</w:t>
      </w:r>
      <w:r w:rsidR="00BA5CE0">
        <w:tab/>
      </w:r>
      <w:bookmarkEnd w:id="486"/>
      <w:r w:rsidR="00BA5CE0" w:rsidRPr="00E45B07">
        <w:rPr>
          <w:lang w:val="en-US"/>
        </w:rPr>
        <w:t xml:space="preserve">Applicability conditions </w:t>
      </w:r>
      <w:r w:rsidR="00BA5CE0" w:rsidRPr="00BF0A6D">
        <w:rPr>
          <w:lang w:val="en-US"/>
        </w:rPr>
        <w:t>(other than data availability)</w:t>
      </w:r>
      <w:r w:rsidR="00BA5CE0" w:rsidRPr="00E45B07">
        <w:rPr>
          <w:lang w:val="en-US"/>
        </w:rPr>
        <w:t xml:space="preserve"> and associated uncertainty for different methods to determine the OM emission factor</w:t>
      </w:r>
      <w:r w:rsidR="00511431">
        <w:rPr>
          <w:rStyle w:val="FootnoteReference"/>
          <w:lang w:val="en-US"/>
        </w:rPr>
        <w:footnoteReference w:id="14"/>
      </w:r>
    </w:p>
    <w:tbl>
      <w:tblPr>
        <w:tblStyle w:val="SDMTable"/>
        <w:tblW w:w="8618" w:type="dxa"/>
        <w:jc w:val="right"/>
        <w:tblInd w:w="0" w:type="dxa"/>
        <w:tblLook w:val="06A0" w:firstRow="1" w:lastRow="0" w:firstColumn="1" w:lastColumn="0" w:noHBand="1" w:noVBand="1"/>
      </w:tblPr>
      <w:tblGrid>
        <w:gridCol w:w="1579"/>
        <w:gridCol w:w="4166"/>
        <w:gridCol w:w="2873"/>
      </w:tblGrid>
      <w:tr w:rsidR="00A36478" w14:paraId="2F2BA5FB" w14:textId="77777777" w:rsidTr="00290600">
        <w:trPr>
          <w:cnfStyle w:val="100000000000" w:firstRow="1" w:lastRow="0" w:firstColumn="0" w:lastColumn="0" w:oddVBand="0" w:evenVBand="0" w:oddHBand="0" w:evenHBand="0" w:firstRowFirstColumn="0" w:firstRowLastColumn="0" w:lastRowFirstColumn="0" w:lastRowLastColumn="0"/>
          <w:trHeight w:val="471"/>
          <w:jc w:val="right"/>
        </w:trPr>
        <w:tc>
          <w:tcPr>
            <w:cnfStyle w:val="001000000000" w:firstRow="0" w:lastRow="0" w:firstColumn="1" w:lastColumn="0" w:oddVBand="0" w:evenVBand="0" w:oddHBand="0" w:evenHBand="0" w:firstRowFirstColumn="0" w:firstRowLastColumn="0" w:lastRowFirstColumn="0" w:lastRowLastColumn="0"/>
            <w:tcW w:w="1559" w:type="dxa"/>
          </w:tcPr>
          <w:p w14:paraId="0A5152D5" w14:textId="77777777" w:rsidR="00A36478" w:rsidRDefault="00A36478" w:rsidP="0045644E">
            <w:pPr>
              <w:pStyle w:val="SDMTableBoxParaNotNumbered"/>
            </w:pPr>
            <w:r>
              <w:t>Method</w:t>
            </w:r>
          </w:p>
        </w:tc>
        <w:tc>
          <w:tcPr>
            <w:tcW w:w="4111" w:type="dxa"/>
          </w:tcPr>
          <w:p w14:paraId="6CE37105" w14:textId="77777777" w:rsidR="00A36478" w:rsidRDefault="00A36478" w:rsidP="0045644E">
            <w:pPr>
              <w:pStyle w:val="SDMTableBoxParaNotNumbered"/>
              <w:cnfStyle w:val="100000000000" w:firstRow="1" w:lastRow="0" w:firstColumn="0" w:lastColumn="0" w:oddVBand="0" w:evenVBand="0" w:oddHBand="0" w:evenHBand="0" w:firstRowFirstColumn="0" w:firstRowLastColumn="0" w:lastRowFirstColumn="0" w:lastRowLastColumn="0"/>
            </w:pPr>
            <w:r>
              <w:t>Applicability conditions</w:t>
            </w:r>
          </w:p>
        </w:tc>
        <w:tc>
          <w:tcPr>
            <w:tcW w:w="2835" w:type="dxa"/>
          </w:tcPr>
          <w:p w14:paraId="6C73BD22" w14:textId="7984DD71" w:rsidR="00086E24" w:rsidRPr="00FA4F1C" w:rsidRDefault="00A36478" w:rsidP="00FA4F1C">
            <w:pPr>
              <w:pStyle w:val="SDMTableBoxParaNotNumbered"/>
              <w:cnfStyle w:val="100000000000" w:firstRow="1" w:lastRow="0" w:firstColumn="0" w:lastColumn="0" w:oddVBand="0" w:evenVBand="0" w:oddHBand="0" w:evenHBand="0" w:firstRowFirstColumn="0" w:firstRowLastColumn="0" w:lastRowFirstColumn="0" w:lastRowLastColumn="0"/>
              <w:rPr>
                <w:b w:val="0"/>
              </w:rPr>
            </w:pPr>
            <w:r>
              <w:t xml:space="preserve">Associated </w:t>
            </w:r>
            <w:r w:rsidR="00E42151">
              <w:t xml:space="preserve">method </w:t>
            </w:r>
            <w:r>
              <w:t>uncertainty</w:t>
            </w:r>
            <w:r w:rsidR="00CC70D1">
              <w:t xml:space="preserve"> at </w:t>
            </w:r>
            <w:r w:rsidR="00835495">
              <w:t xml:space="preserve">a </w:t>
            </w:r>
            <w:r w:rsidR="00CC70D1">
              <w:t>95</w:t>
            </w:r>
            <w:r w:rsidR="00FA4F1C">
              <w:t> </w:t>
            </w:r>
            <w:r w:rsidR="00CC70D1">
              <w:t>per</w:t>
            </w:r>
            <w:r w:rsidR="00446FC3">
              <w:t xml:space="preserve"> </w:t>
            </w:r>
            <w:r w:rsidR="00CC70D1">
              <w:t xml:space="preserve">cent confidence </w:t>
            </w:r>
            <w:r w:rsidR="00FA09D8">
              <w:t>level</w:t>
            </w:r>
            <w:r w:rsidR="00FA4F1C">
              <w:t xml:space="preserve"> </w:t>
            </w:r>
            <w:r w:rsidR="00086E24">
              <w:t>(</w:t>
            </w:r>
            <w:r w:rsidR="00C7366B">
              <w:t>%</w:t>
            </w:r>
            <w:r w:rsidR="00086E24">
              <w:t>)</w:t>
            </w:r>
          </w:p>
        </w:tc>
      </w:tr>
      <w:tr w:rsidR="00A36478" w14:paraId="02C42E0B" w14:textId="77777777" w:rsidTr="00290600">
        <w:trPr>
          <w:trHeight w:val="300"/>
          <w:jc w:val="right"/>
        </w:trPr>
        <w:tc>
          <w:tcPr>
            <w:cnfStyle w:val="001000000000" w:firstRow="0" w:lastRow="0" w:firstColumn="1" w:lastColumn="0" w:oddVBand="0" w:evenVBand="0" w:oddHBand="0" w:evenHBand="0" w:firstRowFirstColumn="0" w:firstRowLastColumn="0" w:lastRowFirstColumn="0" w:lastRowLastColumn="0"/>
            <w:tcW w:w="1559" w:type="dxa"/>
          </w:tcPr>
          <w:p w14:paraId="388B65ED" w14:textId="77777777" w:rsidR="00A36478" w:rsidRDefault="00A36478" w:rsidP="0045644E">
            <w:pPr>
              <w:pStyle w:val="SDMTableBoxParaNotNumbered"/>
              <w:rPr>
                <w:b w:val="0"/>
              </w:rPr>
            </w:pPr>
            <w:r>
              <w:rPr>
                <w:b w:val="0"/>
              </w:rPr>
              <w:t>Dispatch data OM</w:t>
            </w:r>
          </w:p>
        </w:tc>
        <w:tc>
          <w:tcPr>
            <w:tcW w:w="4111" w:type="dxa"/>
          </w:tcPr>
          <w:p w14:paraId="56D20379" w14:textId="717F1BEA" w:rsidR="00A36478" w:rsidRPr="00D42187" w:rsidRDefault="0020254E" w:rsidP="00FA4F1C">
            <w:pPr>
              <w:pStyle w:val="SDMTableBoxParaNotNumbered"/>
              <w:cnfStyle w:val="000000000000" w:firstRow="0" w:lastRow="0" w:firstColumn="0" w:lastColumn="0" w:oddVBand="0" w:evenVBand="0" w:oddHBand="0" w:evenHBand="0" w:firstRowFirstColumn="0" w:firstRowLastColumn="0" w:lastRowFirstColumn="0" w:lastRowLastColumn="0"/>
            </w:pPr>
            <w:r w:rsidRPr="00BF0A6D">
              <w:t xml:space="preserve">Power units in the electricity system are dispatched in a </w:t>
            </w:r>
            <w:r w:rsidR="00B7129C">
              <w:t>defined</w:t>
            </w:r>
            <w:r w:rsidR="00B7129C" w:rsidRPr="00BF0A6D">
              <w:t xml:space="preserve"> </w:t>
            </w:r>
            <w:r w:rsidRPr="00BF0A6D">
              <w:t>order</w:t>
            </w:r>
            <w:r w:rsidR="00B024F8">
              <w:t xml:space="preserve"> </w:t>
            </w:r>
            <w:r w:rsidR="00B024F8" w:rsidRPr="00B024F8">
              <w:t>subject to technical, spatial, temporal, and security constraints</w:t>
            </w:r>
          </w:p>
        </w:tc>
        <w:tc>
          <w:tcPr>
            <w:tcW w:w="2835" w:type="dxa"/>
          </w:tcPr>
          <w:p w14:paraId="51DC12A5" w14:textId="00566227" w:rsidR="00A36478" w:rsidRPr="005D7662" w:rsidRDefault="00152390" w:rsidP="0045644E">
            <w:pPr>
              <w:pStyle w:val="SDMTableBoxParaNotNumbered"/>
              <w:cnfStyle w:val="000000000000" w:firstRow="0" w:lastRow="0" w:firstColumn="0" w:lastColumn="0" w:oddVBand="0" w:evenVBand="0" w:oddHBand="0" w:evenHBand="0" w:firstRowFirstColumn="0" w:firstRowLastColumn="0" w:lastRowFirstColumn="0" w:lastRowLastColumn="0"/>
              <w:rPr>
                <w:highlight w:val="yellow"/>
              </w:rPr>
            </w:pPr>
            <w:r w:rsidRPr="000F68AF">
              <w:rPr>
                <w:rFonts w:cs="Arial"/>
              </w:rPr>
              <w:t>±</w:t>
            </w:r>
            <w:r w:rsidR="004C4CED">
              <w:t>5</w:t>
            </w:r>
            <w:r w:rsidR="00123747">
              <w:t>%</w:t>
            </w:r>
          </w:p>
        </w:tc>
      </w:tr>
      <w:tr w:rsidR="00086E24" w14:paraId="15DA1A4C" w14:textId="77777777" w:rsidTr="00290600">
        <w:trPr>
          <w:trHeight w:val="300"/>
          <w:jc w:val="right"/>
        </w:trPr>
        <w:tc>
          <w:tcPr>
            <w:cnfStyle w:val="001000000000" w:firstRow="0" w:lastRow="0" w:firstColumn="1" w:lastColumn="0" w:oddVBand="0" w:evenVBand="0" w:oddHBand="0" w:evenHBand="0" w:firstRowFirstColumn="0" w:firstRowLastColumn="0" w:lastRowFirstColumn="0" w:lastRowLastColumn="0"/>
            <w:tcW w:w="1559" w:type="dxa"/>
          </w:tcPr>
          <w:p w14:paraId="3B271744" w14:textId="77777777" w:rsidR="00086E24" w:rsidRDefault="00086E24" w:rsidP="0045644E">
            <w:pPr>
              <w:pStyle w:val="SDMTableBoxParaNotNumbered"/>
              <w:rPr>
                <w:b w:val="0"/>
              </w:rPr>
            </w:pPr>
            <w:r>
              <w:rPr>
                <w:b w:val="0"/>
              </w:rPr>
              <w:t>Simple OM</w:t>
            </w:r>
          </w:p>
        </w:tc>
        <w:tc>
          <w:tcPr>
            <w:tcW w:w="4111" w:type="dxa"/>
          </w:tcPr>
          <w:p w14:paraId="65B4592E" w14:textId="2CA270FF" w:rsidR="00086E24" w:rsidRDefault="00086E24" w:rsidP="00FA4F1C">
            <w:pPr>
              <w:pStyle w:val="SDMTableBoxParaNotNumbered"/>
              <w:cnfStyle w:val="000000000000" w:firstRow="0" w:lastRow="0" w:firstColumn="0" w:lastColumn="0" w:oddVBand="0" w:evenVBand="0" w:oddHBand="0" w:evenHBand="0" w:firstRowFirstColumn="0" w:firstRowLastColumn="0" w:lastRowFirstColumn="0" w:lastRowLastColumn="0"/>
            </w:pPr>
            <w:r>
              <w:t xml:space="preserve">For </w:t>
            </w:r>
            <w:r w:rsidR="00176273">
              <w:t>case</w:t>
            </w:r>
            <w:r w:rsidR="000E2B98">
              <w:t> </w:t>
            </w:r>
            <w:r>
              <w:t xml:space="preserve">1: </w:t>
            </w:r>
            <w:r w:rsidR="0012378C">
              <w:t>n</w:t>
            </w:r>
            <w:r>
              <w:t>o conditions</w:t>
            </w:r>
          </w:p>
          <w:p w14:paraId="298F4BCC" w14:textId="16E47569" w:rsidR="008602AE" w:rsidRDefault="00086E24" w:rsidP="00C72647">
            <w:pPr>
              <w:pStyle w:val="SDMTableBoxParaNotNumbered"/>
              <w:keepNext/>
              <w:cnfStyle w:val="000000000000" w:firstRow="0" w:lastRow="0" w:firstColumn="0" w:lastColumn="0" w:oddVBand="0" w:evenVBand="0" w:oddHBand="0" w:evenHBand="0" w:firstRowFirstColumn="0" w:firstRowLastColumn="0" w:lastRowFirstColumn="0" w:lastRowLastColumn="0"/>
            </w:pPr>
            <w:r>
              <w:t xml:space="preserve">For </w:t>
            </w:r>
            <w:r w:rsidR="00176273">
              <w:t>case</w:t>
            </w:r>
            <w:r w:rsidR="000E2B98">
              <w:t> </w:t>
            </w:r>
            <w:r>
              <w:t xml:space="preserve">2: </w:t>
            </w:r>
            <w:r w:rsidR="00410CE3">
              <w:t>o</w:t>
            </w:r>
            <w:r w:rsidR="007F4FA3">
              <w:t xml:space="preserve">ne of the </w:t>
            </w:r>
            <w:r w:rsidR="00410CE3" w:rsidRPr="00410CE3">
              <w:t xml:space="preserve">following conditions is </w:t>
            </w:r>
            <w:r w:rsidR="4FEA7382">
              <w:t>met</w:t>
            </w:r>
            <w:r w:rsidR="008602AE">
              <w:t>:</w:t>
            </w:r>
          </w:p>
          <w:p w14:paraId="3AF47CF8" w14:textId="77777777" w:rsidR="00924518" w:rsidRDefault="00C84E7F" w:rsidP="00C72647">
            <w:pPr>
              <w:pStyle w:val="SDMTableBoxParaNotNumbered"/>
              <w:keepNext/>
              <w:numPr>
                <w:ilvl w:val="1"/>
                <w:numId w:val="34"/>
              </w:numPr>
              <w:ind w:left="284" w:hanging="284"/>
              <w:cnfStyle w:val="000000000000" w:firstRow="0" w:lastRow="0" w:firstColumn="0" w:lastColumn="0" w:oddVBand="0" w:evenVBand="0" w:oddHBand="0" w:evenHBand="0" w:firstRowFirstColumn="0" w:firstRowLastColumn="0" w:lastRowFirstColumn="0" w:lastRowLastColumn="0"/>
            </w:pPr>
            <w:r>
              <w:t>T</w:t>
            </w:r>
            <w:r w:rsidR="006C2F7F" w:rsidRPr="006C2F7F">
              <w:t>he number of hours in a calendar year in which at least one of the following two conditions apply is smaller than 100</w:t>
            </w:r>
            <w:r w:rsidR="00924518">
              <w:t>:</w:t>
            </w:r>
          </w:p>
          <w:p w14:paraId="47DCADED" w14:textId="4B8EA8F4" w:rsidR="00EF0EF8" w:rsidRDefault="00EF0EF8">
            <w:pPr>
              <w:pStyle w:val="SDMTableBoxParaNotNumbered"/>
              <w:numPr>
                <w:ilvl w:val="2"/>
                <w:numId w:val="34"/>
              </w:numPr>
              <w:ind w:left="749" w:hanging="352"/>
              <w:cnfStyle w:val="000000000000" w:firstRow="0" w:lastRow="0" w:firstColumn="0" w:lastColumn="0" w:oddVBand="0" w:evenVBand="0" w:oddHBand="0" w:evenHBand="0" w:firstRowFirstColumn="0" w:firstRowLastColumn="0" w:lastRowFirstColumn="0" w:lastRowLastColumn="0"/>
            </w:pPr>
            <w:r>
              <w:t>Renewable</w:t>
            </w:r>
            <w:r w:rsidR="000621E5">
              <w:t xml:space="preserve"> electricity generation is curtailed because available output exceeds what the electricity system could absorb</w:t>
            </w:r>
            <w:r>
              <w:t>;</w:t>
            </w:r>
            <w:r w:rsidR="000621E5">
              <w:t xml:space="preserve"> or</w:t>
            </w:r>
          </w:p>
          <w:p w14:paraId="7ECBF6FF" w14:textId="467EA58B" w:rsidR="00EF0EF8" w:rsidRDefault="00EF0EF8">
            <w:pPr>
              <w:pStyle w:val="SDMTableBoxParaNotNumbered"/>
              <w:numPr>
                <w:ilvl w:val="2"/>
                <w:numId w:val="34"/>
              </w:numPr>
              <w:ind w:left="749" w:hanging="352"/>
              <w:cnfStyle w:val="000000000000" w:firstRow="0" w:lastRow="0" w:firstColumn="0" w:lastColumn="0" w:oddVBand="0" w:evenVBand="0" w:oddHBand="0" w:evenHBand="0" w:firstRowFirstColumn="0" w:firstRowLastColumn="0" w:lastRowFirstColumn="0" w:lastRowLastColumn="0"/>
            </w:pPr>
            <w:r>
              <w:t>The</w:t>
            </w:r>
            <w:r w:rsidR="000621E5">
              <w:t xml:space="preserve"> electricity system operates solely based on renewable, nuclear, and/or storage power units</w:t>
            </w:r>
            <w:r>
              <w:t>;</w:t>
            </w:r>
            <w:r w:rsidR="00086E24" w:rsidRPr="007A22D5">
              <w:t xml:space="preserve"> or</w:t>
            </w:r>
          </w:p>
          <w:p w14:paraId="52CE2382" w14:textId="201AA2BD" w:rsidR="00086E24" w:rsidRDefault="00EF0EF8">
            <w:pPr>
              <w:pStyle w:val="SDMTableBoxParaNotNumbered"/>
              <w:numPr>
                <w:ilvl w:val="1"/>
                <w:numId w:val="34"/>
              </w:numPr>
              <w:ind w:left="284" w:hanging="284"/>
              <w:cnfStyle w:val="000000000000" w:firstRow="0" w:lastRow="0" w:firstColumn="0" w:lastColumn="0" w:oddVBand="0" w:evenVBand="0" w:oddHBand="0" w:evenHBand="0" w:firstRowFirstColumn="0" w:firstRowLastColumn="0" w:lastRowFirstColumn="0" w:lastRowLastColumn="0"/>
            </w:pPr>
            <w:r w:rsidRPr="00EF0EF8">
              <w:t>The</w:t>
            </w:r>
            <w:r w:rsidR="00086E24" w:rsidRPr="007A22D5">
              <w:t xml:space="preserve"> share of electricity generation from renewable and nuclear power units </w:t>
            </w:r>
            <w:r w:rsidRPr="00EF0EF8">
              <w:t>in the relevant period</w:t>
            </w:r>
            <w:r w:rsidR="001C72AE">
              <w:t> </w:t>
            </w:r>
            <w:r w:rsidRPr="004A0131">
              <w:rPr>
                <w:i/>
                <w:iCs/>
              </w:rPr>
              <w:t>t</w:t>
            </w:r>
            <w:r w:rsidRPr="00EF0EF8">
              <w:t xml:space="preserve"> </w:t>
            </w:r>
            <w:r w:rsidR="00827305" w:rsidRPr="007A22D5">
              <w:t xml:space="preserve">does not exceed </w:t>
            </w:r>
            <w:r w:rsidRPr="00EF0EF8">
              <w:t>30</w:t>
            </w:r>
            <w:r w:rsidR="000E2B98">
              <w:t> </w:t>
            </w:r>
            <w:r w:rsidR="00086E24">
              <w:t>per cent</w:t>
            </w:r>
          </w:p>
        </w:tc>
        <w:tc>
          <w:tcPr>
            <w:tcW w:w="2835" w:type="dxa"/>
          </w:tcPr>
          <w:p w14:paraId="49351E59" w14:textId="70A01F28" w:rsidR="00086E24" w:rsidRPr="00A860A0" w:rsidRDefault="00086E24" w:rsidP="0045644E">
            <w:pPr>
              <w:pStyle w:val="SDMTableBoxParaNotNumbered"/>
              <w:cnfStyle w:val="000000000000" w:firstRow="0" w:lastRow="0" w:firstColumn="0" w:lastColumn="0" w:oddVBand="0" w:evenVBand="0" w:oddHBand="0" w:evenHBand="0" w:firstRowFirstColumn="0" w:firstRowLastColumn="0" w:lastRowFirstColumn="0" w:lastRowLastColumn="0"/>
            </w:pPr>
            <w:r w:rsidRPr="00A860A0">
              <w:rPr>
                <w:rFonts w:cs="Arial"/>
              </w:rPr>
              <w:t>±</w:t>
            </w:r>
            <w:r w:rsidR="00123747">
              <w:rPr>
                <w:rFonts w:cs="Arial"/>
              </w:rPr>
              <w:t>20%</w:t>
            </w:r>
          </w:p>
        </w:tc>
      </w:tr>
      <w:tr w:rsidR="00086E24" w14:paraId="06743B0B" w14:textId="77777777" w:rsidTr="00290600">
        <w:trPr>
          <w:trHeight w:val="300"/>
          <w:jc w:val="right"/>
        </w:trPr>
        <w:tc>
          <w:tcPr>
            <w:cnfStyle w:val="001000000000" w:firstRow="0" w:lastRow="0" w:firstColumn="1" w:lastColumn="0" w:oddVBand="0" w:evenVBand="0" w:oddHBand="0" w:evenHBand="0" w:firstRowFirstColumn="0" w:firstRowLastColumn="0" w:lastRowFirstColumn="0" w:lastRowLastColumn="0"/>
            <w:tcW w:w="1559" w:type="dxa"/>
          </w:tcPr>
          <w:p w14:paraId="6B2F808A" w14:textId="77777777" w:rsidR="00086E24" w:rsidRDefault="00086E24" w:rsidP="0045644E">
            <w:pPr>
              <w:pStyle w:val="SDMTableBoxParaNotNumbered"/>
              <w:rPr>
                <w:b w:val="0"/>
              </w:rPr>
            </w:pPr>
            <w:r>
              <w:rPr>
                <w:b w:val="0"/>
              </w:rPr>
              <w:t>Simple adjusted OM</w:t>
            </w:r>
          </w:p>
        </w:tc>
        <w:tc>
          <w:tcPr>
            <w:tcW w:w="4111" w:type="dxa"/>
          </w:tcPr>
          <w:p w14:paraId="18633169" w14:textId="77777777" w:rsidR="00086E24" w:rsidRDefault="00086E24" w:rsidP="00C72647">
            <w:pPr>
              <w:pStyle w:val="SDMTableBoxParaNotNumbered"/>
              <w:keepNext/>
              <w:cnfStyle w:val="000000000000" w:firstRow="0" w:lastRow="0" w:firstColumn="0" w:lastColumn="0" w:oddVBand="0" w:evenVBand="0" w:oddHBand="0" w:evenHBand="0" w:firstRowFirstColumn="0" w:firstRowLastColumn="0" w:lastRowFirstColumn="0" w:lastRowLastColumn="0"/>
            </w:pPr>
            <w:r>
              <w:t>This method includes two options:</w:t>
            </w:r>
          </w:p>
          <w:p w14:paraId="306B459D" w14:textId="516DF630" w:rsidR="00086E24" w:rsidRDefault="00086E24" w:rsidP="0045644E">
            <w:pPr>
              <w:pStyle w:val="SDMTableBoxParaNotNumbered"/>
              <w:numPr>
                <w:ilvl w:val="0"/>
                <w:numId w:val="8"/>
              </w:numPr>
              <w:cnfStyle w:val="000000000000" w:firstRow="0" w:lastRow="0" w:firstColumn="0" w:lastColumn="0" w:oddVBand="0" w:evenVBand="0" w:oddHBand="0" w:evenHBand="0" w:firstRowFirstColumn="0" w:firstRowLastColumn="0" w:lastRowFirstColumn="0" w:lastRowLastColumn="0"/>
            </w:pPr>
            <w:r>
              <w:t>Option</w:t>
            </w:r>
            <w:r w:rsidR="000E2B98">
              <w:t> </w:t>
            </w:r>
            <w:r>
              <w:t xml:space="preserve">1: </w:t>
            </w:r>
            <w:r w:rsidR="0012378C">
              <w:t xml:space="preserve">no </w:t>
            </w:r>
            <w:r>
              <w:t>conditions</w:t>
            </w:r>
          </w:p>
          <w:p w14:paraId="1E5A61EB" w14:textId="16AFEF88" w:rsidR="00086E24" w:rsidRPr="00BF0A6D" w:rsidRDefault="00086E24" w:rsidP="0045644E">
            <w:pPr>
              <w:pStyle w:val="SDMTableBoxParaNotNumbered"/>
              <w:numPr>
                <w:ilvl w:val="0"/>
                <w:numId w:val="8"/>
              </w:numPr>
              <w:cnfStyle w:val="000000000000" w:firstRow="0" w:lastRow="0" w:firstColumn="0" w:lastColumn="0" w:oddVBand="0" w:evenVBand="0" w:oddHBand="0" w:evenHBand="0" w:firstRowFirstColumn="0" w:firstRowLastColumn="0" w:lastRowFirstColumn="0" w:lastRowLastColumn="0"/>
              <w:rPr>
                <w:lang w:val="en-US"/>
              </w:rPr>
            </w:pPr>
            <w:r>
              <w:t>Option</w:t>
            </w:r>
            <w:r w:rsidR="000E2B98">
              <w:t> </w:t>
            </w:r>
            <w:r>
              <w:t>2:</w:t>
            </w:r>
            <w:r w:rsidDel="00827305">
              <w:t xml:space="preserve"> </w:t>
            </w:r>
            <w:r w:rsidR="0012378C">
              <w:t>a</w:t>
            </w:r>
            <w:r>
              <w:t xml:space="preserve">pplicable </w:t>
            </w:r>
            <w:r w:rsidR="00827305">
              <w:t xml:space="preserve">only </w:t>
            </w:r>
            <w:r>
              <w:t>to non-intermittent electricity generation sources and e</w:t>
            </w:r>
            <w:r w:rsidRPr="00B679D2">
              <w:t>lectricity consumption source</w:t>
            </w:r>
            <w:r>
              <w:t>s not</w:t>
            </w:r>
            <w:r w:rsidRPr="00B679D2">
              <w:t xml:space="preserve"> depending on intermittent generation</w:t>
            </w:r>
          </w:p>
        </w:tc>
        <w:tc>
          <w:tcPr>
            <w:tcW w:w="2835" w:type="dxa"/>
          </w:tcPr>
          <w:p w14:paraId="0C6B2B99" w14:textId="59F57D68" w:rsidR="00086E24" w:rsidRPr="00A860A0" w:rsidRDefault="00086E24" w:rsidP="0045644E">
            <w:pPr>
              <w:pStyle w:val="SDMTableBoxParaNotNumbered"/>
              <w:cnfStyle w:val="000000000000" w:firstRow="0" w:lastRow="0" w:firstColumn="0" w:lastColumn="0" w:oddVBand="0" w:evenVBand="0" w:oddHBand="0" w:evenHBand="0" w:firstRowFirstColumn="0" w:firstRowLastColumn="0" w:lastRowFirstColumn="0" w:lastRowLastColumn="0"/>
            </w:pPr>
            <w:r w:rsidRPr="00A860A0">
              <w:rPr>
                <w:rFonts w:cs="Arial"/>
              </w:rPr>
              <w:t>±</w:t>
            </w:r>
            <w:r w:rsidR="00123747">
              <w:rPr>
                <w:rFonts w:cs="Arial"/>
              </w:rPr>
              <w:t>20%</w:t>
            </w:r>
          </w:p>
        </w:tc>
      </w:tr>
      <w:tr w:rsidR="00086E24" w14:paraId="604A464B" w14:textId="77777777" w:rsidTr="00290600">
        <w:trPr>
          <w:trHeight w:val="300"/>
          <w:jc w:val="right"/>
        </w:trPr>
        <w:tc>
          <w:tcPr>
            <w:cnfStyle w:val="001000000000" w:firstRow="0" w:lastRow="0" w:firstColumn="1" w:lastColumn="0" w:oddVBand="0" w:evenVBand="0" w:oddHBand="0" w:evenHBand="0" w:firstRowFirstColumn="0" w:firstRowLastColumn="0" w:lastRowFirstColumn="0" w:lastRowLastColumn="0"/>
            <w:tcW w:w="1559" w:type="dxa"/>
          </w:tcPr>
          <w:p w14:paraId="3409B9C9" w14:textId="77777777" w:rsidR="00086E24" w:rsidRDefault="00086E24" w:rsidP="0045644E">
            <w:pPr>
              <w:pStyle w:val="SDMTableBoxParaNotNumbered"/>
              <w:rPr>
                <w:b w:val="0"/>
              </w:rPr>
            </w:pPr>
            <w:r>
              <w:rPr>
                <w:b w:val="0"/>
              </w:rPr>
              <w:t>Average OM</w:t>
            </w:r>
          </w:p>
        </w:tc>
        <w:tc>
          <w:tcPr>
            <w:tcW w:w="4111" w:type="dxa"/>
          </w:tcPr>
          <w:p w14:paraId="742934F9" w14:textId="659DDC4E" w:rsidR="00086E24" w:rsidRPr="00654D2E" w:rsidRDefault="00086E24" w:rsidP="00FA4F1C">
            <w:pPr>
              <w:pStyle w:val="SDMTableBoxParaNotNumbered"/>
              <w:cnfStyle w:val="000000000000" w:firstRow="0" w:lastRow="0" w:firstColumn="0" w:lastColumn="0" w:oddVBand="0" w:evenVBand="0" w:oddHBand="0" w:evenHBand="0" w:firstRowFirstColumn="0" w:firstRowLastColumn="0" w:lastRowFirstColumn="0" w:lastRowLastColumn="0"/>
            </w:pPr>
            <w:r>
              <w:t xml:space="preserve">Only applicable to </w:t>
            </w:r>
            <w:r w:rsidR="000460C2" w:rsidRPr="000460C2">
              <w:rPr>
                <w:b/>
                <w:bCs/>
              </w:rPr>
              <w:t>case</w:t>
            </w:r>
            <w:r w:rsidR="000E2B98">
              <w:rPr>
                <w:b/>
                <w:bCs/>
              </w:rPr>
              <w:t> </w:t>
            </w:r>
            <w:r w:rsidRPr="000460C2">
              <w:rPr>
                <w:b/>
                <w:bCs/>
              </w:rPr>
              <w:t>2</w:t>
            </w:r>
            <w:r>
              <w:t xml:space="preserve"> and to non-intermittent electricity generation sources and e</w:t>
            </w:r>
            <w:r w:rsidRPr="00B679D2">
              <w:t>lectricity consumption source</w:t>
            </w:r>
            <w:r>
              <w:t>s not</w:t>
            </w:r>
            <w:r w:rsidRPr="00B679D2">
              <w:t xml:space="preserve"> depending on intermittent generation</w:t>
            </w:r>
          </w:p>
        </w:tc>
        <w:tc>
          <w:tcPr>
            <w:tcW w:w="2835" w:type="dxa"/>
          </w:tcPr>
          <w:p w14:paraId="6BE2364E" w14:textId="482B88F8" w:rsidR="00086E24" w:rsidRPr="00A860A0" w:rsidRDefault="00D15A14" w:rsidP="0045644E">
            <w:pPr>
              <w:pStyle w:val="SDMTableBoxParaNotNumbered"/>
              <w:cnfStyle w:val="000000000000" w:firstRow="0" w:lastRow="0" w:firstColumn="0" w:lastColumn="0" w:oddVBand="0" w:evenVBand="0" w:oddHBand="0" w:evenHBand="0" w:firstRowFirstColumn="0" w:firstRowLastColumn="0" w:lastRowFirstColumn="0" w:lastRowLastColumn="0"/>
            </w:pPr>
            <w:r>
              <w:rPr>
                <w:rFonts w:cs="Arial"/>
              </w:rPr>
              <w:t>0</w:t>
            </w:r>
            <w:r w:rsidR="009D2D15">
              <w:rPr>
                <w:rFonts w:cs="Arial"/>
              </w:rPr>
              <w:t>%</w:t>
            </w:r>
          </w:p>
        </w:tc>
      </w:tr>
    </w:tbl>
    <w:p w14:paraId="1C77A41C" w14:textId="6FFEB718" w:rsidR="00243B17" w:rsidRPr="00D00347" w:rsidRDefault="00243B17">
      <w:pPr>
        <w:pStyle w:val="SDMPara"/>
        <w:rPr>
          <w:rFonts w:eastAsia="Segoe UI"/>
        </w:rPr>
      </w:pPr>
      <w:r w:rsidRPr="00D00347">
        <w:rPr>
          <w:rFonts w:eastAsia="Segoe UI"/>
        </w:rPr>
        <w:t xml:space="preserve">Where activity participants choose the simple OM </w:t>
      </w:r>
      <w:r w:rsidR="00483B76">
        <w:rPr>
          <w:rFonts w:eastAsia="Segoe UI"/>
        </w:rPr>
        <w:t xml:space="preserve">method </w:t>
      </w:r>
      <w:r w:rsidRPr="00D00347">
        <w:rPr>
          <w:rFonts w:eastAsia="Segoe UI"/>
        </w:rPr>
        <w:t>or the simple adjusted OM</w:t>
      </w:r>
      <w:r w:rsidR="00BC6A41">
        <w:rPr>
          <w:rFonts w:eastAsia="Segoe UI"/>
        </w:rPr>
        <w:t xml:space="preserve"> method</w:t>
      </w:r>
      <w:r w:rsidR="00EE6C86" w:rsidRPr="00D00347">
        <w:rPr>
          <w:rFonts w:eastAsia="Segoe UI"/>
        </w:rPr>
        <w:t xml:space="preserve">, they </w:t>
      </w:r>
      <w:r w:rsidR="00EE6C86" w:rsidRPr="00D00347">
        <w:rPr>
          <w:lang w:eastAsia="zh-CN"/>
        </w:rPr>
        <w:t>shall determine</w:t>
      </w:r>
      <w:r w:rsidR="00BC6A41">
        <w:rPr>
          <w:lang w:eastAsia="zh-CN"/>
        </w:rPr>
        <w:t>,</w:t>
      </w:r>
      <w:r w:rsidR="00EE6C86" w:rsidRPr="00D00347">
        <w:rPr>
          <w:lang w:eastAsia="zh-CN"/>
        </w:rPr>
        <w:t xml:space="preserve"> for each power unit in the electricity system</w:t>
      </w:r>
      <w:r w:rsidR="00BC6A41">
        <w:rPr>
          <w:lang w:eastAsia="zh-CN"/>
        </w:rPr>
        <w:t>,</w:t>
      </w:r>
      <w:r w:rsidR="00EE6C86" w:rsidRPr="00D00347">
        <w:rPr>
          <w:lang w:eastAsia="zh-CN"/>
        </w:rPr>
        <w:t xml:space="preserve"> whether it is a must-run power unit</w:t>
      </w:r>
      <w:r w:rsidR="00AF1D22" w:rsidRPr="00D00347">
        <w:rPr>
          <w:lang w:eastAsia="zh-CN"/>
        </w:rPr>
        <w:t>.</w:t>
      </w:r>
      <w:r w:rsidR="00B7253E" w:rsidRPr="00D00347">
        <w:rPr>
          <w:lang w:eastAsia="zh-CN"/>
        </w:rPr>
        <w:t xml:space="preserve"> Activity participants </w:t>
      </w:r>
      <w:r w:rsidR="00A3548C" w:rsidRPr="00D00347">
        <w:rPr>
          <w:lang w:eastAsia="zh-CN"/>
        </w:rPr>
        <w:t xml:space="preserve">shall document the </w:t>
      </w:r>
      <w:r w:rsidR="04273017" w:rsidRPr="1A56530B">
        <w:rPr>
          <w:lang w:eastAsia="zh-CN"/>
        </w:rPr>
        <w:t>designation</w:t>
      </w:r>
      <w:r w:rsidR="00A3548C" w:rsidRPr="00D00347">
        <w:rPr>
          <w:lang w:eastAsia="zh-CN"/>
        </w:rPr>
        <w:t xml:space="preserve"> for each power unit </w:t>
      </w:r>
      <w:r w:rsidR="00E81202">
        <w:rPr>
          <w:lang w:eastAsia="zh-CN"/>
        </w:rPr>
        <w:t xml:space="preserve">in </w:t>
      </w:r>
      <w:r w:rsidR="00A3548C" w:rsidRPr="00D00347">
        <w:rPr>
          <w:lang w:eastAsia="zh-CN"/>
        </w:rPr>
        <w:t>the PDD or monitoring report, as applicable, specify the data source</w:t>
      </w:r>
      <w:r w:rsidR="00383446" w:rsidRPr="00D00347">
        <w:rPr>
          <w:lang w:eastAsia="zh-CN"/>
        </w:rPr>
        <w:t>s</w:t>
      </w:r>
      <w:r w:rsidR="00A3548C" w:rsidRPr="00D00347">
        <w:rPr>
          <w:lang w:eastAsia="zh-CN"/>
        </w:rPr>
        <w:t xml:space="preserve"> used, and provide an appropriate justification.</w:t>
      </w:r>
    </w:p>
    <w:p w14:paraId="34DF7920" w14:textId="4097D58F" w:rsidR="0020084D" w:rsidRDefault="32B11487" w:rsidP="00C72647">
      <w:pPr>
        <w:pStyle w:val="SDMPara"/>
        <w:keepNext/>
        <w:rPr>
          <w:rFonts w:eastAsia="Segoe UI"/>
        </w:rPr>
      </w:pPr>
      <w:bookmarkStart w:id="487" w:name="_Ref220951549"/>
      <w:r w:rsidRPr="4E6A4DBC">
        <w:rPr>
          <w:rFonts w:eastAsia="Segoe UI"/>
          <w:lang w:eastAsia="zh-CN"/>
        </w:rPr>
        <w:t xml:space="preserve">A power generation unit </w:t>
      </w:r>
      <w:r w:rsidR="0020084D">
        <w:rPr>
          <w:rFonts w:eastAsia="Segoe UI"/>
          <w:lang w:eastAsia="zh-CN"/>
        </w:rPr>
        <w:t>shall</w:t>
      </w:r>
      <w:r w:rsidRPr="4E6A4DBC">
        <w:rPr>
          <w:rFonts w:eastAsia="Segoe UI"/>
          <w:lang w:eastAsia="zh-CN"/>
        </w:rPr>
        <w:t xml:space="preserve"> be </w:t>
      </w:r>
      <w:r w:rsidRPr="00815F40">
        <w:rPr>
          <w:rFonts w:eastAsia="Segoe UI"/>
          <w:lang w:eastAsia="zh-CN"/>
        </w:rPr>
        <w:t>designated</w:t>
      </w:r>
      <w:r w:rsidRPr="4E6A4DBC">
        <w:rPr>
          <w:rFonts w:eastAsia="Segoe UI"/>
          <w:lang w:eastAsia="zh-CN"/>
        </w:rPr>
        <w:t xml:space="preserve"> as a must-run </w:t>
      </w:r>
      <w:r w:rsidR="00F05D82">
        <w:rPr>
          <w:rFonts w:eastAsia="Segoe UI"/>
          <w:lang w:eastAsia="zh-CN"/>
        </w:rPr>
        <w:t xml:space="preserve">power unit </w:t>
      </w:r>
      <w:r w:rsidRPr="4E6A4DBC">
        <w:rPr>
          <w:rFonts w:eastAsia="Segoe UI"/>
          <w:lang w:eastAsia="zh-CN"/>
        </w:rPr>
        <w:t>if it meets one or more of the following conditions:</w:t>
      </w:r>
      <w:bookmarkEnd w:id="487"/>
    </w:p>
    <w:p w14:paraId="7C3687E1" w14:textId="3FE85F93" w:rsidR="0020084D" w:rsidRPr="00D00347" w:rsidRDefault="66423C20">
      <w:pPr>
        <w:pStyle w:val="SDMSubPara1"/>
        <w:rPr>
          <w:lang w:eastAsia="zh-CN"/>
        </w:rPr>
      </w:pPr>
      <w:r w:rsidRPr="420246FE">
        <w:rPr>
          <w:b/>
          <w:bCs/>
          <w:lang w:eastAsia="zh-CN"/>
        </w:rPr>
        <w:t xml:space="preserve">Fulfilment of </w:t>
      </w:r>
      <w:r w:rsidR="003B4ACE" w:rsidRPr="420246FE">
        <w:rPr>
          <w:b/>
          <w:bCs/>
          <w:lang w:eastAsia="zh-CN"/>
        </w:rPr>
        <w:t>n</w:t>
      </w:r>
      <w:r w:rsidRPr="420246FE">
        <w:rPr>
          <w:b/>
          <w:bCs/>
          <w:lang w:eastAsia="zh-CN"/>
        </w:rPr>
        <w:t>on-</w:t>
      </w:r>
      <w:r w:rsidR="003B4ACE" w:rsidRPr="420246FE">
        <w:rPr>
          <w:b/>
          <w:bCs/>
          <w:lang w:eastAsia="zh-CN"/>
        </w:rPr>
        <w:t>p</w:t>
      </w:r>
      <w:r w:rsidRPr="420246FE">
        <w:rPr>
          <w:b/>
          <w:bCs/>
          <w:lang w:eastAsia="zh-CN"/>
        </w:rPr>
        <w:t xml:space="preserve">ower </w:t>
      </w:r>
      <w:r w:rsidR="003B4ACE" w:rsidRPr="420246FE">
        <w:rPr>
          <w:b/>
          <w:bCs/>
          <w:lang w:eastAsia="zh-CN"/>
        </w:rPr>
        <w:t>g</w:t>
      </w:r>
      <w:r w:rsidRPr="420246FE">
        <w:rPr>
          <w:b/>
          <w:bCs/>
          <w:lang w:eastAsia="zh-CN"/>
        </w:rPr>
        <w:t xml:space="preserve">eneration </w:t>
      </w:r>
      <w:r w:rsidR="003B4ACE" w:rsidRPr="420246FE">
        <w:rPr>
          <w:b/>
          <w:bCs/>
          <w:lang w:eastAsia="zh-CN"/>
        </w:rPr>
        <w:t>o</w:t>
      </w:r>
      <w:r w:rsidRPr="420246FE">
        <w:rPr>
          <w:b/>
          <w:bCs/>
          <w:lang w:eastAsia="zh-CN"/>
        </w:rPr>
        <w:t>bligations</w:t>
      </w:r>
      <w:r w:rsidRPr="420246FE">
        <w:rPr>
          <w:lang w:eastAsia="zh-CN"/>
        </w:rPr>
        <w:t xml:space="preserve">: </w:t>
      </w:r>
      <w:r w:rsidR="002F7159" w:rsidRPr="420246FE">
        <w:rPr>
          <w:lang w:eastAsia="zh-CN"/>
        </w:rPr>
        <w:t xml:space="preserve">the </w:t>
      </w:r>
      <w:r w:rsidRPr="420246FE">
        <w:rPr>
          <w:lang w:eastAsia="zh-CN"/>
        </w:rPr>
        <w:t xml:space="preserve">operation of the </w:t>
      </w:r>
      <w:r w:rsidR="00E55925" w:rsidRPr="420246FE">
        <w:rPr>
          <w:lang w:eastAsia="zh-CN"/>
        </w:rPr>
        <w:t xml:space="preserve">power generation </w:t>
      </w:r>
      <w:r w:rsidRPr="420246FE">
        <w:rPr>
          <w:lang w:eastAsia="zh-CN"/>
        </w:rPr>
        <w:t xml:space="preserve">unit is </w:t>
      </w:r>
      <w:r w:rsidR="00C408BD" w:rsidRPr="420246FE">
        <w:rPr>
          <w:lang w:eastAsia="zh-CN"/>
        </w:rPr>
        <w:t>determined by</w:t>
      </w:r>
      <w:r w:rsidRPr="420246FE">
        <w:rPr>
          <w:lang w:eastAsia="zh-CN"/>
        </w:rPr>
        <w:t xml:space="preserve"> obligations not related to electricity production (e.g.</w:t>
      </w:r>
      <w:r w:rsidR="5119E856" w:rsidRPr="420246FE">
        <w:rPr>
          <w:lang w:eastAsia="zh-CN"/>
        </w:rPr>
        <w:t>,</w:t>
      </w:r>
      <w:r w:rsidRPr="420246FE">
        <w:rPr>
          <w:lang w:eastAsia="zh-CN"/>
        </w:rPr>
        <w:t xml:space="preserve"> </w:t>
      </w:r>
      <w:r w:rsidR="001D43B4" w:rsidRPr="420246FE">
        <w:rPr>
          <w:lang w:eastAsia="zh-CN"/>
        </w:rPr>
        <w:t xml:space="preserve">the provision of </w:t>
      </w:r>
      <w:r w:rsidRPr="420246FE">
        <w:rPr>
          <w:lang w:eastAsia="zh-CN"/>
        </w:rPr>
        <w:t>essential heat</w:t>
      </w:r>
      <w:r w:rsidR="001D43B4" w:rsidRPr="420246FE">
        <w:rPr>
          <w:lang w:eastAsia="zh-CN"/>
        </w:rPr>
        <w:t xml:space="preserve"> or </w:t>
      </w:r>
      <w:r w:rsidRPr="420246FE">
        <w:rPr>
          <w:lang w:eastAsia="zh-CN"/>
        </w:rPr>
        <w:t xml:space="preserve">steam </w:t>
      </w:r>
      <w:r w:rsidR="00CD4E4D" w:rsidRPr="420246FE">
        <w:rPr>
          <w:lang w:eastAsia="zh-CN"/>
        </w:rPr>
        <w:t>from a cogeneration power unit</w:t>
      </w:r>
      <w:r w:rsidRPr="420246FE">
        <w:rPr>
          <w:lang w:eastAsia="zh-CN"/>
        </w:rPr>
        <w:t>)</w:t>
      </w:r>
      <w:r w:rsidR="6004CBC7" w:rsidRPr="420246FE">
        <w:rPr>
          <w:lang w:eastAsia="zh-CN"/>
        </w:rPr>
        <w:t>;</w:t>
      </w:r>
    </w:p>
    <w:p w14:paraId="5307B8F9" w14:textId="1CDAA24B" w:rsidR="0020084D" w:rsidRPr="00D00347" w:rsidRDefault="00174A51">
      <w:pPr>
        <w:pStyle w:val="SDMSubPara1"/>
        <w:rPr>
          <w:lang w:eastAsia="zh-CN"/>
        </w:rPr>
      </w:pPr>
      <w:r w:rsidRPr="008C62CC">
        <w:rPr>
          <w:b/>
          <w:bCs/>
          <w:lang w:eastAsia="zh-CN"/>
        </w:rPr>
        <w:t>Low marginal electricity generation costs</w:t>
      </w:r>
      <w:r w:rsidRPr="00D00347">
        <w:rPr>
          <w:lang w:eastAsia="zh-CN"/>
        </w:rPr>
        <w:t xml:space="preserve">: </w:t>
      </w:r>
      <w:r w:rsidR="002F7159">
        <w:rPr>
          <w:lang w:eastAsia="zh-CN"/>
        </w:rPr>
        <w:t>t</w:t>
      </w:r>
      <w:r w:rsidR="002F7159" w:rsidRPr="00D00347">
        <w:rPr>
          <w:lang w:eastAsia="zh-CN"/>
        </w:rPr>
        <w:t xml:space="preserve">he </w:t>
      </w:r>
      <w:r w:rsidRPr="00D00347">
        <w:rPr>
          <w:lang w:eastAsia="zh-CN"/>
        </w:rPr>
        <w:t xml:space="preserve">power </w:t>
      </w:r>
      <w:r w:rsidR="00934DFC">
        <w:rPr>
          <w:lang w:eastAsia="zh-CN"/>
        </w:rPr>
        <w:t xml:space="preserve">unit </w:t>
      </w:r>
      <w:r w:rsidR="00B31018" w:rsidRPr="00D00347">
        <w:rPr>
          <w:lang w:eastAsia="zh-CN"/>
        </w:rPr>
        <w:t xml:space="preserve">is a </w:t>
      </w:r>
      <w:r w:rsidR="00B31018" w:rsidRPr="00D00347">
        <w:rPr>
          <w:lang w:val="en-US" w:eastAsia="zh-CN"/>
        </w:rPr>
        <w:t>hydro</w:t>
      </w:r>
      <w:r w:rsidR="00E55925" w:rsidRPr="00D00347">
        <w:rPr>
          <w:lang w:val="en-US" w:eastAsia="zh-CN"/>
        </w:rPr>
        <w:t xml:space="preserve">, wind, solar, tidal, </w:t>
      </w:r>
      <w:r w:rsidR="0080144E" w:rsidRPr="00D00347">
        <w:rPr>
          <w:lang w:val="en-US" w:eastAsia="zh-CN"/>
        </w:rPr>
        <w:t>or</w:t>
      </w:r>
      <w:r w:rsidR="00E55925" w:rsidRPr="00D00347">
        <w:rPr>
          <w:lang w:val="en-US" w:eastAsia="zh-CN"/>
        </w:rPr>
        <w:t xml:space="preserve"> geothermal power generation unit, </w:t>
      </w:r>
      <w:r w:rsidR="00B31018" w:rsidRPr="00D00347">
        <w:rPr>
          <w:lang w:val="en-US" w:eastAsia="zh-CN"/>
        </w:rPr>
        <w:t>noting</w:t>
      </w:r>
      <w:r w:rsidR="00E55925" w:rsidRPr="00D00347">
        <w:rPr>
          <w:lang w:val="en-US" w:eastAsia="zh-CN"/>
        </w:rPr>
        <w:t xml:space="preserve"> that </w:t>
      </w:r>
      <w:r w:rsidR="00E962EF">
        <w:rPr>
          <w:lang w:val="en-US" w:eastAsia="zh-CN"/>
        </w:rPr>
        <w:t xml:space="preserve">such </w:t>
      </w:r>
      <w:r w:rsidR="00E55925" w:rsidRPr="00D00347">
        <w:rPr>
          <w:lang w:val="en-US" w:eastAsia="zh-CN"/>
        </w:rPr>
        <w:t xml:space="preserve">units </w:t>
      </w:r>
      <w:r w:rsidR="003B4ACE" w:rsidRPr="00D00347">
        <w:rPr>
          <w:lang w:val="en-US" w:eastAsia="zh-CN"/>
        </w:rPr>
        <w:t>usually</w:t>
      </w:r>
      <w:r w:rsidR="00E55925" w:rsidRPr="00D00347">
        <w:rPr>
          <w:lang w:val="en-US" w:eastAsia="zh-CN"/>
        </w:rPr>
        <w:t xml:space="preserve"> have low marginal electricity generation costs;</w:t>
      </w:r>
      <w:r w:rsidR="0076477A">
        <w:rPr>
          <w:lang w:val="en-US" w:eastAsia="zh-CN"/>
        </w:rPr>
        <w:t xml:space="preserve"> or</w:t>
      </w:r>
    </w:p>
    <w:p w14:paraId="6A501A92" w14:textId="53365CFF" w:rsidR="00FC7FB3" w:rsidRPr="0064181E" w:rsidRDefault="0076477A">
      <w:pPr>
        <w:pStyle w:val="SDMSubPara1"/>
        <w:rPr>
          <w:lang w:eastAsia="zh-CN"/>
        </w:rPr>
      </w:pPr>
      <w:r>
        <w:rPr>
          <w:b/>
          <w:bCs/>
          <w:lang w:eastAsia="zh-CN"/>
        </w:rPr>
        <w:t>S</w:t>
      </w:r>
      <w:r w:rsidR="007B614D" w:rsidRPr="008C62CC">
        <w:rPr>
          <w:b/>
          <w:bCs/>
          <w:lang w:eastAsia="zh-CN"/>
        </w:rPr>
        <w:t xml:space="preserve">teady operation </w:t>
      </w:r>
      <w:r w:rsidR="00BB53B1" w:rsidRPr="008C62CC">
        <w:rPr>
          <w:b/>
          <w:bCs/>
          <w:lang w:eastAsia="zh-CN"/>
        </w:rPr>
        <w:t>and constant load</w:t>
      </w:r>
      <w:r w:rsidR="00BB53B1" w:rsidRPr="0064181E">
        <w:rPr>
          <w:lang w:eastAsia="zh-CN"/>
        </w:rPr>
        <w:t>:</w:t>
      </w:r>
      <w:r w:rsidR="00A4036F" w:rsidRPr="0064181E">
        <w:rPr>
          <w:lang w:eastAsia="zh-CN"/>
        </w:rPr>
        <w:t xml:space="preserve"> </w:t>
      </w:r>
      <w:r w:rsidR="002F7159">
        <w:rPr>
          <w:lang w:eastAsia="zh-CN"/>
        </w:rPr>
        <w:t>t</w:t>
      </w:r>
      <w:r w:rsidR="002F7159" w:rsidRPr="0064181E">
        <w:rPr>
          <w:lang w:eastAsia="zh-CN"/>
        </w:rPr>
        <w:t xml:space="preserve">he </w:t>
      </w:r>
      <w:r w:rsidR="00FE00C4" w:rsidRPr="0064181E">
        <w:rPr>
          <w:lang w:eastAsia="zh-CN"/>
        </w:rPr>
        <w:t xml:space="preserve">power unit has </w:t>
      </w:r>
      <w:r>
        <w:rPr>
          <w:lang w:eastAsia="zh-CN"/>
        </w:rPr>
        <w:t>operated</w:t>
      </w:r>
      <w:r w:rsidR="00FE00C4" w:rsidRPr="0064181E">
        <w:rPr>
          <w:lang w:eastAsia="zh-CN"/>
        </w:rPr>
        <w:t xml:space="preserve"> </w:t>
      </w:r>
      <w:r>
        <w:rPr>
          <w:lang w:eastAsia="zh-CN"/>
        </w:rPr>
        <w:t xml:space="preserve">during </w:t>
      </w:r>
      <w:r w:rsidR="00FE00C4" w:rsidRPr="0064181E">
        <w:rPr>
          <w:lang w:eastAsia="zh-CN"/>
        </w:rPr>
        <w:t xml:space="preserve">the </w:t>
      </w:r>
      <w:r w:rsidR="001A3DBB" w:rsidRPr="0064181E">
        <w:rPr>
          <w:lang w:eastAsia="zh-CN"/>
        </w:rPr>
        <w:t>most recent</w:t>
      </w:r>
      <w:r w:rsidR="00FE00C4" w:rsidRPr="0064181E">
        <w:rPr>
          <w:lang w:eastAsia="zh-CN"/>
        </w:rPr>
        <w:t xml:space="preserve"> three years for </w:t>
      </w:r>
      <w:r w:rsidR="00FC7FB3" w:rsidRPr="0064181E">
        <w:rPr>
          <w:lang w:eastAsia="zh-CN"/>
        </w:rPr>
        <w:t xml:space="preserve">more than </w:t>
      </w:r>
      <w:r w:rsidR="00BB0A0E" w:rsidRPr="006D5480">
        <w:rPr>
          <w:lang w:eastAsia="zh-CN"/>
        </w:rPr>
        <w:t>7</w:t>
      </w:r>
      <w:r w:rsidR="2AD3446F" w:rsidRPr="5F84A9BE">
        <w:rPr>
          <w:lang w:eastAsia="zh-CN"/>
        </w:rPr>
        <w:t xml:space="preserve"> </w:t>
      </w:r>
      <w:r w:rsidR="00BB0A0E" w:rsidRPr="006D5480">
        <w:rPr>
          <w:lang w:eastAsia="zh-CN"/>
        </w:rPr>
        <w:t>500</w:t>
      </w:r>
      <w:r w:rsidR="00BB0A0E" w:rsidRPr="0064181E">
        <w:rPr>
          <w:lang w:eastAsia="zh-CN"/>
        </w:rPr>
        <w:t xml:space="preserve"> </w:t>
      </w:r>
      <w:r w:rsidR="00BC2348">
        <w:rPr>
          <w:lang w:eastAsia="zh-CN"/>
        </w:rPr>
        <w:t>full load</w:t>
      </w:r>
      <w:r w:rsidR="00BB0A0E" w:rsidRPr="0064181E">
        <w:rPr>
          <w:lang w:eastAsia="zh-CN"/>
        </w:rPr>
        <w:t xml:space="preserve"> hours per year</w:t>
      </w:r>
      <w:r w:rsidR="00D5077E">
        <w:rPr>
          <w:lang w:eastAsia="zh-CN"/>
        </w:rPr>
        <w:t>.</w:t>
      </w:r>
      <w:r w:rsidR="006F41B3">
        <w:rPr>
          <w:lang w:eastAsia="zh-CN"/>
        </w:rPr>
        <w:t xml:space="preserve"> </w:t>
      </w:r>
      <w:r w:rsidR="00F30A73">
        <w:rPr>
          <w:lang w:eastAsia="zh-CN"/>
        </w:rPr>
        <w:t>F</w:t>
      </w:r>
      <w:r w:rsidR="006F41B3" w:rsidRPr="006F41B3">
        <w:rPr>
          <w:lang w:eastAsia="zh-CN"/>
        </w:rPr>
        <w:t xml:space="preserve">ull load hours </w:t>
      </w:r>
      <w:r w:rsidR="00F30A73">
        <w:rPr>
          <w:lang w:eastAsia="zh-CN"/>
        </w:rPr>
        <w:t>shall be</w:t>
      </w:r>
      <w:r w:rsidR="006F41B3" w:rsidRPr="006F41B3">
        <w:rPr>
          <w:lang w:eastAsia="zh-CN"/>
        </w:rPr>
        <w:t xml:space="preserve"> calculated by dividing net electricity generation by </w:t>
      </w:r>
      <w:r w:rsidR="0072304C">
        <w:rPr>
          <w:lang w:eastAsia="zh-CN"/>
        </w:rPr>
        <w:t xml:space="preserve">the </w:t>
      </w:r>
      <w:r w:rsidR="00BE132E">
        <w:rPr>
          <w:lang w:eastAsia="zh-CN"/>
        </w:rPr>
        <w:t>installed</w:t>
      </w:r>
      <w:r w:rsidR="006F41B3" w:rsidRPr="006F41B3">
        <w:rPr>
          <w:lang w:eastAsia="zh-CN"/>
        </w:rPr>
        <w:t xml:space="preserve"> capacity.</w:t>
      </w:r>
    </w:p>
    <w:p w14:paraId="1E184562" w14:textId="29C3914B" w:rsidR="0020084D" w:rsidRPr="0090318F" w:rsidRDefault="0020084D">
      <w:pPr>
        <w:pStyle w:val="SDMPara"/>
      </w:pPr>
      <w:r w:rsidRPr="0090318F">
        <w:t xml:space="preserve">Power </w:t>
      </w:r>
      <w:r w:rsidR="000256BA">
        <w:t>units</w:t>
      </w:r>
      <w:r w:rsidRPr="0090318F">
        <w:t xml:space="preserve"> registered as Article 6.4 projects </w:t>
      </w:r>
      <w:r w:rsidR="005615BE" w:rsidRPr="0090318F">
        <w:t xml:space="preserve">or component projects, </w:t>
      </w:r>
      <w:r w:rsidRPr="0090318F">
        <w:t xml:space="preserve">or </w:t>
      </w:r>
      <w:r w:rsidR="005615BE" w:rsidRPr="0090318F">
        <w:t xml:space="preserve">registered under </w:t>
      </w:r>
      <w:r w:rsidRPr="0090318F">
        <w:t xml:space="preserve">other </w:t>
      </w:r>
      <w:r w:rsidR="005615BE" w:rsidRPr="0090318F">
        <w:t xml:space="preserve">carbon </w:t>
      </w:r>
      <w:r w:rsidRPr="0090318F">
        <w:t>crediting programs</w:t>
      </w:r>
      <w:r w:rsidR="005615BE" w:rsidRPr="0090318F">
        <w:t xml:space="preserve">, shall </w:t>
      </w:r>
      <w:r w:rsidRPr="0090318F">
        <w:t xml:space="preserve">be included in the </w:t>
      </w:r>
      <w:r w:rsidR="005615BE" w:rsidRPr="0090318F">
        <w:t xml:space="preserve">cohort of power </w:t>
      </w:r>
      <w:r w:rsidR="00B65523">
        <w:t>units</w:t>
      </w:r>
      <w:r w:rsidRPr="0090318F">
        <w:t xml:space="preserve"> used to calculate the operating margin </w:t>
      </w:r>
      <w:r w:rsidR="00395DBC" w:rsidRPr="0090318F">
        <w:t xml:space="preserve">under the </w:t>
      </w:r>
      <w:r w:rsidR="004A7CDE">
        <w:t>a</w:t>
      </w:r>
      <w:r w:rsidR="00E030E2">
        <w:t xml:space="preserve">pplicable </w:t>
      </w:r>
      <w:r w:rsidR="00395DBC" w:rsidRPr="0090318F">
        <w:t>method.</w:t>
      </w:r>
    </w:p>
    <w:p w14:paraId="27B7A3E0" w14:textId="00D07A90" w:rsidR="002A48DA" w:rsidRPr="0090318F" w:rsidRDefault="002E3C77">
      <w:pPr>
        <w:pStyle w:val="SDMPara"/>
      </w:pPr>
      <w:r>
        <w:t>Where activity participants</w:t>
      </w:r>
      <w:r w:rsidR="00C738C7">
        <w:t xml:space="preserve"> </w:t>
      </w:r>
      <w:r w:rsidR="000D1AA1">
        <w:t xml:space="preserve">can demonstrate </w:t>
      </w:r>
      <w:r w:rsidR="00707A22">
        <w:t>that</w:t>
      </w:r>
      <w:r w:rsidR="00151DFB">
        <w:t xml:space="preserve"> the simple OM emission factor </w:t>
      </w:r>
      <w:r w:rsidR="003A01DE">
        <w:t xml:space="preserve">is consistently </w:t>
      </w:r>
      <w:r w:rsidR="007A589B">
        <w:t xml:space="preserve">higher (for case 1) or consistently lower (for case 2) than the dispatch </w:t>
      </w:r>
      <w:r w:rsidR="00335C1C">
        <w:t xml:space="preserve">data OM </w:t>
      </w:r>
      <w:r w:rsidR="00A52CE9">
        <w:t xml:space="preserve">emission factor </w:t>
      </w:r>
      <w:r w:rsidR="00335C1C">
        <w:t xml:space="preserve">for the relevant period, then </w:t>
      </w:r>
      <w:r w:rsidR="00EE6C93">
        <w:t>activity participants may</w:t>
      </w:r>
      <w:r w:rsidR="00B830DF">
        <w:t xml:space="preserve">, instead of the uncertainty values for </w:t>
      </w:r>
      <w:r w:rsidR="00D300B8">
        <w:t xml:space="preserve">the </w:t>
      </w:r>
      <w:r w:rsidR="00B830DF">
        <w:t>simple OM or simple adjusted OM</w:t>
      </w:r>
      <w:r w:rsidR="001B31FB">
        <w:t xml:space="preserve"> method, use the uncertainty </w:t>
      </w:r>
      <w:r w:rsidR="00A52CE9">
        <w:t>value for</w:t>
      </w:r>
      <w:r w:rsidR="001B31FB">
        <w:t xml:space="preserve"> the </w:t>
      </w:r>
      <w:r w:rsidR="006632B8">
        <w:t xml:space="preserve">dispatch data OM </w:t>
      </w:r>
      <w:r w:rsidR="000D18DD">
        <w:t>method</w:t>
      </w:r>
      <w:r w:rsidR="006632B8">
        <w:t xml:space="preserve"> </w:t>
      </w:r>
      <w:r w:rsidR="00766291">
        <w:t>in Table</w:t>
      </w:r>
      <w:r w:rsidR="00592D9E">
        <w:t> </w:t>
      </w:r>
      <w:r w:rsidR="00BC4BFB">
        <w:t>4 above</w:t>
      </w:r>
      <w:r w:rsidR="00030E72">
        <w:t xml:space="preserve"> for the </w:t>
      </w:r>
      <w:r w:rsidR="00FE3F63">
        <w:t xml:space="preserve">calculation of the overall uncertainty, given that in these instances the use of simple OM or simple adjusted OM </w:t>
      </w:r>
      <w:r w:rsidR="00223E49">
        <w:t xml:space="preserve">is </w:t>
      </w:r>
      <w:r w:rsidR="00E149A5">
        <w:t>a</w:t>
      </w:r>
      <w:r w:rsidR="00223E49">
        <w:t xml:space="preserve"> conservative</w:t>
      </w:r>
      <w:r w:rsidR="00E149A5">
        <w:t xml:space="preserve"> method</w:t>
      </w:r>
      <w:r w:rsidR="00223E49">
        <w:t xml:space="preserve">. In other instances, the uncertainties </w:t>
      </w:r>
      <w:r w:rsidR="00197192">
        <w:t xml:space="preserve">method </w:t>
      </w:r>
      <w:r w:rsidR="00223E49">
        <w:t>indicated in Table</w:t>
      </w:r>
      <w:r w:rsidR="00592D9E">
        <w:t> </w:t>
      </w:r>
      <w:r w:rsidR="00904256">
        <w:t>4 above</w:t>
      </w:r>
      <w:r w:rsidR="00223E49">
        <w:t xml:space="preserve"> shall</w:t>
      </w:r>
      <w:r w:rsidR="00FE3F63">
        <w:t xml:space="preserve"> be </w:t>
      </w:r>
      <w:r w:rsidR="00E149A5">
        <w:t>used</w:t>
      </w:r>
      <w:r w:rsidR="00223E49">
        <w:t>.</w:t>
      </w:r>
      <w:r w:rsidR="00511431">
        <w:rPr>
          <w:rStyle w:val="FootnoteReference"/>
        </w:rPr>
        <w:footnoteReference w:id="15"/>
      </w:r>
    </w:p>
    <w:p w14:paraId="242A7B1F" w14:textId="1BE8954F" w:rsidR="0020084D" w:rsidRPr="00C43F5F" w:rsidRDefault="0020084D">
      <w:pPr>
        <w:pStyle w:val="SDMHead5"/>
      </w:pPr>
      <w:bookmarkStart w:id="488" w:name="_Ref215683635"/>
      <w:r w:rsidRPr="00791CF2">
        <w:rPr>
          <w:lang w:eastAsia="zh-CN"/>
        </w:rPr>
        <w:t>Method</w:t>
      </w:r>
      <w:r w:rsidRPr="00C43F5F">
        <w:t xml:space="preserve"> </w:t>
      </w:r>
      <w:r w:rsidR="00A07847">
        <w:t>(</w:t>
      </w:r>
      <w:r w:rsidRPr="00C43F5F">
        <w:t>a): Dispatch data OM</w:t>
      </w:r>
      <w:bookmarkEnd w:id="488"/>
    </w:p>
    <w:p w14:paraId="0CC228C9" w14:textId="0428E918" w:rsidR="003871B0" w:rsidRPr="00CE7A95" w:rsidRDefault="003871B0">
      <w:pPr>
        <w:pStyle w:val="SDMPara"/>
      </w:pPr>
      <w:bookmarkStart w:id="489" w:name="_Ref215571483"/>
      <w:r w:rsidRPr="0090318F">
        <w:t>The dispatch data</w:t>
      </w:r>
      <w:r w:rsidR="00A4655D">
        <w:t xml:space="preserve"> </w:t>
      </w:r>
      <w:r w:rsidRPr="0090318F">
        <w:t>OM emission factor (</w:t>
      </w:r>
      <w:r w:rsidRPr="0090318F">
        <w:rPr>
          <w:i/>
          <w:iCs/>
        </w:rPr>
        <w:t>EF</w:t>
      </w:r>
      <w:r w:rsidRPr="0090318F">
        <w:rPr>
          <w:i/>
          <w:iCs/>
          <w:vertAlign w:val="subscript"/>
        </w:rPr>
        <w:t>OM</w:t>
      </w:r>
      <w:r w:rsidR="00086A6B">
        <w:rPr>
          <w:i/>
          <w:iCs/>
          <w:vertAlign w:val="subscript"/>
        </w:rPr>
        <w:t>,</w:t>
      </w:r>
      <w:r w:rsidRPr="0090318F">
        <w:rPr>
          <w:i/>
          <w:iCs/>
          <w:vertAlign w:val="subscript"/>
        </w:rPr>
        <w:t>DD,t</w:t>
      </w:r>
      <w:r w:rsidRPr="0090318F">
        <w:t xml:space="preserve">) </w:t>
      </w:r>
      <w:r w:rsidR="00CE1E6F">
        <w:t xml:space="preserve">shall be </w:t>
      </w:r>
      <w:r w:rsidRPr="0090318F">
        <w:t>determined based on the power units in the electricity system that are actually dispatched at the margin during each hour</w:t>
      </w:r>
      <w:r w:rsidR="00AD6869">
        <w:t> </w:t>
      </w:r>
      <w:r w:rsidRPr="0090318F">
        <w:rPr>
          <w:i/>
        </w:rPr>
        <w:t>h</w:t>
      </w:r>
      <w:r w:rsidRPr="0090318F">
        <w:t xml:space="preserve"> </w:t>
      </w:r>
      <w:r w:rsidR="00044785">
        <w:t>in which</w:t>
      </w:r>
      <w:r w:rsidR="00044785" w:rsidRPr="0090318F">
        <w:t xml:space="preserve"> </w:t>
      </w:r>
      <w:r w:rsidRPr="0090318F">
        <w:t>the Article 6.4</w:t>
      </w:r>
      <w:r w:rsidRPr="0090318F" w:rsidDel="00ED466C">
        <w:t xml:space="preserve"> </w:t>
      </w:r>
      <w:r w:rsidRPr="0090318F">
        <w:t xml:space="preserve">activity is displacing electricity in, or consuming electricity from, the electricity system. </w:t>
      </w:r>
      <w:r w:rsidR="00E92A51">
        <w:t xml:space="preserve">Accordingly, </w:t>
      </w:r>
      <w:r w:rsidRPr="0090318F">
        <w:t>the dispatch data OM emission factor shall always be determined ex</w:t>
      </w:r>
      <w:r w:rsidR="002E67A4">
        <w:t> </w:t>
      </w:r>
      <w:r w:rsidRPr="0090318F">
        <w:t xml:space="preserve">post for the </w:t>
      </w:r>
      <w:r w:rsidR="00E92A51">
        <w:t>relevant</w:t>
      </w:r>
      <w:r w:rsidR="00E92A51" w:rsidRPr="0090318F">
        <w:t xml:space="preserve"> </w:t>
      </w:r>
      <w:r w:rsidRPr="0090318F">
        <w:t>monitoring period.</w:t>
      </w:r>
    </w:p>
    <w:p w14:paraId="0FA3564D" w14:textId="6D7D5779" w:rsidR="001D4F38" w:rsidRPr="005A4836" w:rsidRDefault="00643E57" w:rsidP="00C72647">
      <w:pPr>
        <w:pStyle w:val="SDMPara"/>
        <w:keepNext/>
      </w:pPr>
      <w:bookmarkStart w:id="490" w:name="_Ref219690110"/>
      <w:r>
        <w:t xml:space="preserve">The </w:t>
      </w:r>
      <w:r w:rsidR="00DB37FB">
        <w:t>emission factor</w:t>
      </w:r>
      <w:r w:rsidR="000B1932" w:rsidRPr="005A4836">
        <w:t xml:space="preserve"> may be applied for both </w:t>
      </w:r>
      <w:r w:rsidR="002667AC" w:rsidRPr="002667AC">
        <w:rPr>
          <w:b/>
          <w:bCs/>
        </w:rPr>
        <w:t>case</w:t>
      </w:r>
      <w:r w:rsidR="0032799C">
        <w:rPr>
          <w:b/>
          <w:bCs/>
        </w:rPr>
        <w:t> </w:t>
      </w:r>
      <w:r w:rsidR="000B1932" w:rsidRPr="002667AC">
        <w:rPr>
          <w:b/>
          <w:bCs/>
        </w:rPr>
        <w:t>1</w:t>
      </w:r>
      <w:r w:rsidR="000B1932" w:rsidRPr="005A4836">
        <w:t xml:space="preserve"> and </w:t>
      </w:r>
      <w:r w:rsidR="002667AC" w:rsidRPr="002667AC">
        <w:rPr>
          <w:b/>
          <w:bCs/>
        </w:rPr>
        <w:t>case</w:t>
      </w:r>
      <w:r w:rsidR="0032799C">
        <w:rPr>
          <w:b/>
          <w:bCs/>
        </w:rPr>
        <w:t> </w:t>
      </w:r>
      <w:r w:rsidR="000B1932" w:rsidRPr="002667AC">
        <w:rPr>
          <w:b/>
          <w:bCs/>
        </w:rPr>
        <w:t>2</w:t>
      </w:r>
      <w:r w:rsidR="000546BC">
        <w:t xml:space="preserve">. </w:t>
      </w:r>
      <w:r w:rsidR="000546BC" w:rsidRPr="007B429B">
        <w:t>It may also be applied to any type of electricity generation or consumption source</w:t>
      </w:r>
      <w:r w:rsidR="002262FF">
        <w:t>,</w:t>
      </w:r>
      <w:r w:rsidR="000546BC" w:rsidRPr="007B429B">
        <w:t xml:space="preserve"> including</w:t>
      </w:r>
      <w:r w:rsidR="000546BC" w:rsidRPr="007B429B" w:rsidDel="00A23520">
        <w:t xml:space="preserve"> </w:t>
      </w:r>
      <w:r w:rsidR="000546BC" w:rsidRPr="007B429B">
        <w:t xml:space="preserve">intermittent and non-intermittent electricity generation sources and electricity consumption sources depending </w:t>
      </w:r>
      <w:r w:rsidR="00A010D4">
        <w:t xml:space="preserve">on, </w:t>
      </w:r>
      <w:r w:rsidR="000546BC" w:rsidRPr="007B429B">
        <w:t>or not depending on</w:t>
      </w:r>
      <w:r w:rsidR="00A010D4">
        <w:t>,</w:t>
      </w:r>
      <w:r w:rsidR="000546BC" w:rsidRPr="007B429B">
        <w:t xml:space="preserve"> intermittent generation.</w:t>
      </w:r>
      <w:r w:rsidR="000B1932" w:rsidRPr="005A4836">
        <w:t xml:space="preserve"> However, it </w:t>
      </w:r>
      <w:r w:rsidR="00A010D4">
        <w:t>shall</w:t>
      </w:r>
      <w:r w:rsidR="008A26DE" w:rsidRPr="005A4836" w:rsidDel="00A010D4">
        <w:t xml:space="preserve"> </w:t>
      </w:r>
      <w:r w:rsidR="001D4F38" w:rsidRPr="005A4836">
        <w:t xml:space="preserve">be applied </w:t>
      </w:r>
      <w:r w:rsidR="00A010D4">
        <w:t xml:space="preserve">only </w:t>
      </w:r>
      <w:r w:rsidR="00650CFC">
        <w:t xml:space="preserve">where </w:t>
      </w:r>
      <w:r w:rsidR="009851C3" w:rsidRPr="005A4836">
        <w:t xml:space="preserve">power units in the electricity system are dispatched in a </w:t>
      </w:r>
      <w:r w:rsidR="00650CFC">
        <w:t xml:space="preserve">defined </w:t>
      </w:r>
      <w:r w:rsidR="009851C3" w:rsidRPr="005A4836">
        <w:t>order</w:t>
      </w:r>
      <w:r w:rsidR="0089209E" w:rsidRPr="0089209E">
        <w:t xml:space="preserve"> </w:t>
      </w:r>
      <w:r w:rsidR="0089209E" w:rsidRPr="00B024F8">
        <w:t>subject to technical, spatial, temporal,</w:t>
      </w:r>
      <w:r w:rsidR="003508B3" w:rsidRPr="005A4836">
        <w:t xml:space="preserve"> and </w:t>
      </w:r>
      <w:r w:rsidR="0089209E" w:rsidRPr="00B024F8">
        <w:t>security constraints</w:t>
      </w:r>
      <w:r w:rsidR="0089209E" w:rsidRPr="005A4836">
        <w:rPr>
          <w:rStyle w:val="FootnoteReference"/>
        </w:rPr>
        <w:t xml:space="preserve"> </w:t>
      </w:r>
      <w:r w:rsidR="00EE5896" w:rsidRPr="005A4836">
        <w:rPr>
          <w:rStyle w:val="FootnoteReference"/>
        </w:rPr>
        <w:footnoteReference w:id="16"/>
      </w:r>
      <w:r w:rsidR="003508B3" w:rsidRPr="005A4836">
        <w:t xml:space="preserve"> and</w:t>
      </w:r>
      <w:r w:rsidR="003508B3" w:rsidRPr="005A4836" w:rsidDel="00426A30">
        <w:t xml:space="preserve"> </w:t>
      </w:r>
      <w:r w:rsidR="003508B3" w:rsidRPr="005A4836">
        <w:t>data</w:t>
      </w:r>
      <w:r w:rsidR="00EE5896" w:rsidRPr="005A4836">
        <w:t xml:space="preserve"> on the dispatch order </w:t>
      </w:r>
      <w:r w:rsidR="00426A30">
        <w:t>are</w:t>
      </w:r>
      <w:r w:rsidR="00426A30" w:rsidRPr="005A4836">
        <w:t xml:space="preserve"> </w:t>
      </w:r>
      <w:r w:rsidR="00EE5896" w:rsidRPr="005A4836">
        <w:t>available</w:t>
      </w:r>
      <w:r w:rsidR="009851C3" w:rsidRPr="005A4836">
        <w:t xml:space="preserve">. </w:t>
      </w:r>
      <w:r w:rsidR="00497D95" w:rsidRPr="005A4836">
        <w:t xml:space="preserve">This </w:t>
      </w:r>
      <w:r w:rsidR="00C42CAE" w:rsidRPr="005A4836">
        <w:t>usually</w:t>
      </w:r>
      <w:r w:rsidR="00497D95" w:rsidRPr="005A4836">
        <w:t xml:space="preserve"> applies where:</w:t>
      </w:r>
      <w:bookmarkEnd w:id="489"/>
      <w:bookmarkEnd w:id="490"/>
    </w:p>
    <w:p w14:paraId="0832930E" w14:textId="4E116ED2" w:rsidR="001D4F38" w:rsidRDefault="001D4F38">
      <w:pPr>
        <w:pStyle w:val="SDMSubPara1"/>
      </w:pPr>
      <w:r w:rsidRPr="008A26DE">
        <w:t>The electricity system has an established spot market;</w:t>
      </w:r>
      <w:r w:rsidR="00497D95">
        <w:t xml:space="preserve"> or</w:t>
      </w:r>
    </w:p>
    <w:p w14:paraId="174033B7" w14:textId="77777777" w:rsidR="00497D95" w:rsidRPr="00EB49F7" w:rsidRDefault="00D45A2D">
      <w:pPr>
        <w:pStyle w:val="SDMSubPara1"/>
      </w:pPr>
      <w:r w:rsidRPr="00EB49F7">
        <w:t>Power units are centrally dispatched by a dispatch centre.</w:t>
      </w:r>
    </w:p>
    <w:p w14:paraId="150CACBB" w14:textId="481CB423" w:rsidR="00D85375" w:rsidRDefault="00164643">
      <w:pPr>
        <w:pStyle w:val="SDMPara"/>
      </w:pPr>
      <w:r w:rsidRPr="005A4836">
        <w:t xml:space="preserve">Activity participants shall document </w:t>
      </w:r>
      <w:r w:rsidR="00A25D88" w:rsidRPr="005A4836">
        <w:t>and justify</w:t>
      </w:r>
      <w:r w:rsidR="00426A30">
        <w:t>,</w:t>
      </w:r>
      <w:r w:rsidR="00A25D88" w:rsidRPr="005A4836">
        <w:t xml:space="preserve"> </w:t>
      </w:r>
      <w:r w:rsidRPr="005A4836">
        <w:t>in the PDD or monitoring report, as applicabl</w:t>
      </w:r>
      <w:r w:rsidR="00F20A10" w:rsidRPr="005A4836">
        <w:t>e, that the conditions in paragraph</w:t>
      </w:r>
      <w:r w:rsidR="00C61237">
        <w:t> </w:t>
      </w:r>
      <w:r>
        <w:fldChar w:fldCharType="begin"/>
      </w:r>
      <w:r>
        <w:instrText>REF _Ref219690110 \r</w:instrText>
      </w:r>
      <w:r>
        <w:fldChar w:fldCharType="separate"/>
      </w:r>
      <w:r w:rsidR="00D811A8">
        <w:rPr>
          <w:cs/>
        </w:rPr>
        <w:t>‎</w:t>
      </w:r>
      <w:r w:rsidR="00D811A8">
        <w:t>66</w:t>
      </w:r>
      <w:r>
        <w:fldChar w:fldCharType="end"/>
      </w:r>
      <w:r w:rsidR="00684A8E">
        <w:t xml:space="preserve"> </w:t>
      </w:r>
      <w:r w:rsidR="00F20A10" w:rsidRPr="005A4836">
        <w:t>are fulfilled</w:t>
      </w:r>
      <w:r w:rsidR="00A12E6B" w:rsidRPr="005A4836">
        <w:t xml:space="preserve"> and </w:t>
      </w:r>
      <w:r w:rsidR="0059477C">
        <w:t xml:space="preserve">shall specify the </w:t>
      </w:r>
      <w:r w:rsidR="00A12E6B" w:rsidRPr="005A4836">
        <w:t>data source</w:t>
      </w:r>
      <w:r w:rsidR="0040077C">
        <w:t>s</w:t>
      </w:r>
      <w:r w:rsidR="00A12E6B" w:rsidRPr="005A4836">
        <w:t xml:space="preserve"> used to </w:t>
      </w:r>
      <w:r w:rsidR="00D85375">
        <w:t>demonstrate this.</w:t>
      </w:r>
    </w:p>
    <w:p w14:paraId="224B2CB8" w14:textId="77777777" w:rsidR="0075500F" w:rsidRPr="005A4836" w:rsidRDefault="00590536" w:rsidP="00C72647">
      <w:pPr>
        <w:pStyle w:val="SDMPara"/>
        <w:keepNext/>
      </w:pPr>
      <w:r w:rsidRPr="005A4836">
        <w:t>The dispatch data OM emission factor (</w:t>
      </w:r>
      <w:r w:rsidRPr="005A4836">
        <w:rPr>
          <w:i/>
          <w:iCs/>
        </w:rPr>
        <w:t>EF</w:t>
      </w:r>
      <w:r w:rsidRPr="005A4836">
        <w:rPr>
          <w:i/>
          <w:iCs/>
          <w:vertAlign w:val="subscript"/>
        </w:rPr>
        <w:t>OM</w:t>
      </w:r>
      <w:r w:rsidR="00B04625">
        <w:rPr>
          <w:i/>
          <w:iCs/>
          <w:vertAlign w:val="subscript"/>
        </w:rPr>
        <w:t>,</w:t>
      </w:r>
      <w:r w:rsidRPr="005A4836">
        <w:rPr>
          <w:i/>
          <w:iCs/>
          <w:vertAlign w:val="subscript"/>
        </w:rPr>
        <w:t>DD,</w:t>
      </w:r>
      <w:r w:rsidR="00D20EC0">
        <w:rPr>
          <w:i/>
          <w:iCs/>
          <w:vertAlign w:val="subscript"/>
        </w:rPr>
        <w:t>h</w:t>
      </w:r>
      <w:r w:rsidRPr="005A4836">
        <w:t xml:space="preserve">) </w:t>
      </w:r>
      <w:r w:rsidR="0075500F" w:rsidRPr="005A4836">
        <w:t>shall</w:t>
      </w:r>
      <w:r w:rsidRPr="005A4836">
        <w:t xml:space="preserve"> be calculated </w:t>
      </w:r>
      <w:r w:rsidR="00D20EC0">
        <w:t>for each hour </w:t>
      </w:r>
      <w:r w:rsidR="00D20EC0" w:rsidRPr="00D20EC0">
        <w:rPr>
          <w:i/>
          <w:iCs/>
        </w:rPr>
        <w:t>h</w:t>
      </w:r>
      <w:r w:rsidR="00D20EC0">
        <w:t xml:space="preserve"> </w:t>
      </w:r>
      <w:r w:rsidR="00047700">
        <w:t>of a period </w:t>
      </w:r>
      <w:r w:rsidR="00047700" w:rsidRPr="00047700">
        <w:rPr>
          <w:i/>
          <w:iCs/>
        </w:rPr>
        <w:t>t</w:t>
      </w:r>
      <w:r w:rsidR="00047700">
        <w:t xml:space="preserve"> (e.g.</w:t>
      </w:r>
      <w:r w:rsidR="6DAF506D">
        <w:t>,</w:t>
      </w:r>
      <w:r w:rsidR="00047700">
        <w:t xml:space="preserve"> the monitoring period), </w:t>
      </w:r>
      <w:r w:rsidR="005B3B97" w:rsidRPr="005A4836">
        <w:t>using one of the following approaches</w:t>
      </w:r>
      <w:r w:rsidR="0075500F" w:rsidRPr="005A4836">
        <w:t>:</w:t>
      </w:r>
    </w:p>
    <w:p w14:paraId="38FF5DD2" w14:textId="3E94212D" w:rsidR="0020084D" w:rsidRDefault="0075500F" w:rsidP="00C72647">
      <w:pPr>
        <w:pStyle w:val="SDMSubPara1"/>
        <w:keepNext/>
      </w:pPr>
      <w:r>
        <w:t xml:space="preserve">Based on </w:t>
      </w:r>
      <w:r w:rsidR="0020084D" w:rsidRPr="0038644B">
        <w:t>hourly fuel consumption data</w:t>
      </w:r>
      <w:r w:rsidR="00917A4F">
        <w:t>,</w:t>
      </w:r>
      <w:r w:rsidR="0020084D" w:rsidRPr="0038644B">
        <w:t xml:space="preserve"> </w:t>
      </w:r>
      <w:r w:rsidR="00742746">
        <w:t>where</w:t>
      </w:r>
      <w:r w:rsidR="0020084D" w:rsidRPr="0038644B">
        <w:t xml:space="preserve"> available</w:t>
      </w:r>
      <w:r w:rsidR="000A2EB7">
        <w:t>, as follows</w:t>
      </w:r>
      <w:r w:rsidR="0020084D" w:rsidRPr="0038644B">
        <w:t>:</w:t>
      </w:r>
    </w:p>
    <w:tbl>
      <w:tblPr>
        <w:tblStyle w:val="SDMMethTableEquation"/>
        <w:tblW w:w="8760" w:type="dxa"/>
        <w:tblLook w:val="0600" w:firstRow="0" w:lastRow="0" w:firstColumn="0" w:lastColumn="0" w:noHBand="1" w:noVBand="1"/>
      </w:tblPr>
      <w:tblGrid>
        <w:gridCol w:w="7104"/>
        <w:gridCol w:w="1656"/>
      </w:tblGrid>
      <w:tr w:rsidR="00E5252C" w:rsidRPr="00E32F75" w14:paraId="1B15D837" w14:textId="77777777">
        <w:tc>
          <w:tcPr>
            <w:tcW w:w="7224" w:type="dxa"/>
          </w:tcPr>
          <w:p w14:paraId="47D1564A" w14:textId="6EB70950" w:rsidR="00E5252C" w:rsidRPr="000E2B98" w:rsidRDefault="00000000" w:rsidP="000E2B98">
            <w:pPr>
              <w:pStyle w:val="SDMMethEquation"/>
              <w:ind w:left="709"/>
            </w:pPr>
            <m:oMathPara>
              <m:oMathParaPr>
                <m:jc m:val="left"/>
              </m:oMathParaPr>
              <m:oMath>
                <m:sSub>
                  <m:sSubPr>
                    <m:ctrlPr>
                      <w:rPr>
                        <w:rFonts w:ascii="Cambria Math" w:hAnsi="Cambria Math"/>
                        <w:i/>
                      </w:rPr>
                    </m:ctrlPr>
                  </m:sSubPr>
                  <m:e>
                    <m:r>
                      <w:rPr>
                        <w:rFonts w:ascii="Cambria Math" w:hAnsi="Cambria Math"/>
                      </w:rPr>
                      <m:t>EF</m:t>
                    </m:r>
                  </m:e>
                  <m:sub>
                    <m:r>
                      <w:rPr>
                        <w:rFonts w:ascii="Cambria Math" w:hAnsi="Cambria Math"/>
                      </w:rPr>
                      <m:t>OM,DD,h</m:t>
                    </m:r>
                  </m:sub>
                </m:sSub>
                <m:r>
                  <w:rPr>
                    <w:rFonts w:ascii="Cambria Math" w:hAnsi="Cambria Math"/>
                  </w:rPr>
                  <m:t>=</m:t>
                </m:r>
                <m:f>
                  <m:fPr>
                    <m:ctrlPr>
                      <w:rPr>
                        <w:rFonts w:ascii="Cambria Math" w:hAnsi="Cambria Math"/>
                        <w:i/>
                      </w:rPr>
                    </m:ctrlPr>
                  </m:fPr>
                  <m:num>
                    <m:nary>
                      <m:naryPr>
                        <m:chr m:val="∑"/>
                        <m:limLoc m:val="undOvr"/>
                        <m:supHide m:val="1"/>
                        <m:ctrlPr>
                          <w:rPr>
                            <w:rFonts w:ascii="Cambria Math" w:hAnsi="Cambria Math"/>
                            <w:i/>
                          </w:rPr>
                        </m:ctrlPr>
                      </m:naryPr>
                      <m:sub>
                        <m:r>
                          <w:rPr>
                            <w:rFonts w:ascii="Cambria Math" w:hAnsi="Cambria Math"/>
                          </w:rPr>
                          <m:t>i,p</m:t>
                        </m:r>
                      </m:sub>
                      <m:sup/>
                      <m:e>
                        <m:sSub>
                          <m:sSubPr>
                            <m:ctrlPr>
                              <w:rPr>
                                <w:rFonts w:ascii="Cambria Math" w:hAnsi="Cambria Math"/>
                                <w:i/>
                              </w:rPr>
                            </m:ctrlPr>
                          </m:sSubPr>
                          <m:e>
                            <m:r>
                              <w:rPr>
                                <w:rFonts w:ascii="Cambria Math" w:hAnsi="Cambria Math"/>
                              </w:rPr>
                              <m:t>FC</m:t>
                            </m:r>
                          </m:e>
                          <m:sub>
                            <m:r>
                              <w:rPr>
                                <w:rFonts w:ascii="Cambria Math" w:hAnsi="Cambria Math"/>
                              </w:rPr>
                              <m:t>i,p,h</m:t>
                            </m:r>
                          </m:sub>
                        </m:sSub>
                        <m:r>
                          <w:rPr>
                            <w:rFonts w:ascii="Cambria Math" w:hAnsi="Cambria Math"/>
                          </w:rPr>
                          <m:t>×</m:t>
                        </m:r>
                        <m:sSub>
                          <m:sSubPr>
                            <m:ctrlPr>
                              <w:rPr>
                                <w:rFonts w:ascii="Cambria Math" w:hAnsi="Cambria Math"/>
                                <w:i/>
                              </w:rPr>
                            </m:ctrlPr>
                          </m:sSubPr>
                          <m:e>
                            <m:r>
                              <w:rPr>
                                <w:rFonts w:ascii="Cambria Math" w:hAnsi="Cambria Math"/>
                              </w:rPr>
                              <m:t>NCV</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CO2,i,t</m:t>
                            </m:r>
                          </m:sub>
                        </m:sSub>
                      </m:e>
                    </m:nary>
                  </m:num>
                  <m:den>
                    <m:nary>
                      <m:naryPr>
                        <m:chr m:val="∑"/>
                        <m:limLoc m:val="undOvr"/>
                        <m:supHide m:val="1"/>
                        <m:ctrlPr>
                          <w:rPr>
                            <w:rFonts w:ascii="Cambria Math" w:hAnsi="Cambria Math"/>
                            <w:i/>
                          </w:rPr>
                        </m:ctrlPr>
                      </m:naryPr>
                      <m:sub>
                        <m:r>
                          <w:rPr>
                            <w:rFonts w:ascii="Cambria Math" w:hAnsi="Cambria Math"/>
                          </w:rPr>
                          <m:t>p</m:t>
                        </m:r>
                      </m:sub>
                      <m:sup/>
                      <m:e>
                        <m:sSub>
                          <m:sSubPr>
                            <m:ctrlPr>
                              <w:rPr>
                                <w:rFonts w:ascii="Cambria Math" w:hAnsi="Cambria Math"/>
                                <w:i/>
                              </w:rPr>
                            </m:ctrlPr>
                          </m:sSubPr>
                          <m:e>
                            <m:r>
                              <w:rPr>
                                <w:rFonts w:ascii="Cambria Math" w:hAnsi="Cambria Math"/>
                              </w:rPr>
                              <m:t>EG</m:t>
                            </m:r>
                          </m:e>
                          <m:sub>
                            <m:r>
                              <w:rPr>
                                <w:rFonts w:ascii="Cambria Math" w:hAnsi="Cambria Math"/>
                              </w:rPr>
                              <m:t>p,h</m:t>
                            </m:r>
                          </m:sub>
                        </m:sSub>
                      </m:e>
                    </m:nary>
                  </m:den>
                </m:f>
              </m:oMath>
            </m:oMathPara>
          </w:p>
        </w:tc>
        <w:tc>
          <w:tcPr>
            <w:tcW w:w="1701" w:type="dxa"/>
          </w:tcPr>
          <w:p w14:paraId="44E833BE" w14:textId="77777777" w:rsidR="00E5252C" w:rsidRPr="002B6960" w:rsidRDefault="00E5252C">
            <w:pPr>
              <w:pStyle w:val="SDMMethEquationNr"/>
              <w:numPr>
                <w:ilvl w:val="0"/>
                <w:numId w:val="6"/>
              </w:numPr>
            </w:pPr>
          </w:p>
        </w:tc>
      </w:tr>
    </w:tbl>
    <w:p w14:paraId="301487CE" w14:textId="77777777" w:rsidR="00E5252C" w:rsidRDefault="00E5252C" w:rsidP="00C72647">
      <w:pPr>
        <w:pStyle w:val="SDMMethCaptionEquationParametersTable"/>
      </w:pPr>
      <w:r>
        <w:t>Where:</w:t>
      </w:r>
    </w:p>
    <w:tbl>
      <w:tblPr>
        <w:tblStyle w:val="SDMMethTableEquationParameters"/>
        <w:tblW w:w="8760" w:type="dxa"/>
        <w:tblInd w:w="601" w:type="dxa"/>
        <w:tblLook w:val="04A0" w:firstRow="1" w:lastRow="0" w:firstColumn="1" w:lastColumn="0" w:noHBand="0" w:noVBand="1"/>
      </w:tblPr>
      <w:tblGrid>
        <w:gridCol w:w="1701"/>
        <w:gridCol w:w="345"/>
        <w:gridCol w:w="6714"/>
      </w:tblGrid>
      <w:tr w:rsidR="0056157B" w14:paraId="750132A8" w14:textId="77777777" w:rsidTr="00E70B79">
        <w:tc>
          <w:tcPr>
            <w:tcW w:w="1701" w:type="dxa"/>
            <w:vAlign w:val="top"/>
          </w:tcPr>
          <w:p w14:paraId="1EAAAACD" w14:textId="0B86B860" w:rsidR="0056157B" w:rsidRPr="0056157B" w:rsidRDefault="00000000" w:rsidP="00E70B79">
            <w:pPr>
              <w:pStyle w:val="SDMTableBoxParaNotNumbered"/>
            </w:pPr>
            <m:oMathPara>
              <m:oMathParaPr>
                <m:jc m:val="left"/>
              </m:oMathParaPr>
              <m:oMath>
                <m:sSub>
                  <m:sSubPr>
                    <m:ctrlPr>
                      <w:rPr>
                        <w:rFonts w:ascii="Cambria Math" w:hAnsi="Cambria Math"/>
                        <w:i/>
                      </w:rPr>
                    </m:ctrlPr>
                  </m:sSubPr>
                  <m:e>
                    <m:r>
                      <w:rPr>
                        <w:rFonts w:ascii="Cambria Math" w:hAnsi="Cambria Math"/>
                      </w:rPr>
                      <m:t>EF</m:t>
                    </m:r>
                  </m:e>
                  <m:sub>
                    <m:r>
                      <w:rPr>
                        <w:rFonts w:ascii="Cambria Math" w:hAnsi="Cambria Math"/>
                      </w:rPr>
                      <m:t>OM,DD,h</m:t>
                    </m:r>
                  </m:sub>
                </m:sSub>
              </m:oMath>
            </m:oMathPara>
          </w:p>
        </w:tc>
        <w:tc>
          <w:tcPr>
            <w:tcW w:w="345" w:type="dxa"/>
            <w:vAlign w:val="top"/>
          </w:tcPr>
          <w:p w14:paraId="14674075" w14:textId="77777777" w:rsidR="0056157B" w:rsidRDefault="0056157B" w:rsidP="00E70B79">
            <w:pPr>
              <w:pStyle w:val="SDMTableBoxParaNotNumbered"/>
            </w:pPr>
            <w:r>
              <w:t>=</w:t>
            </w:r>
          </w:p>
        </w:tc>
        <w:tc>
          <w:tcPr>
            <w:tcW w:w="0" w:type="auto"/>
            <w:vAlign w:val="top"/>
          </w:tcPr>
          <w:p w14:paraId="58209501" w14:textId="2AB903B2" w:rsidR="0056157B" w:rsidRDefault="0056157B" w:rsidP="00E70B79">
            <w:pPr>
              <w:pStyle w:val="SDMTableBoxParaNotNumbered"/>
            </w:pPr>
            <w:r>
              <w:t>Dispatch data OM emission factor during</w:t>
            </w:r>
            <w:r w:rsidRPr="0038644B">
              <w:t xml:space="preserve"> hour</w:t>
            </w:r>
            <w:r>
              <w:t> </w:t>
            </w:r>
            <w:r w:rsidRPr="0038644B">
              <w:rPr>
                <w:i/>
              </w:rPr>
              <w:t>h</w:t>
            </w:r>
            <w:r w:rsidRPr="0038644B">
              <w:t xml:space="preserve"> </w:t>
            </w:r>
            <w:r>
              <w:t>with</w:t>
            </w:r>
            <w:r w:rsidRPr="0038644B">
              <w:t xml:space="preserve">in </w:t>
            </w:r>
            <w:r>
              <w:t>period</w:t>
            </w:r>
            <w:r w:rsidRPr="0077016A">
              <w:t> </w:t>
            </w:r>
            <w:r>
              <w:rPr>
                <w:i/>
              </w:rPr>
              <w:t>t</w:t>
            </w:r>
            <w:r w:rsidRPr="0038644B">
              <w:rPr>
                <w:i/>
              </w:rPr>
              <w:t xml:space="preserve"> </w:t>
            </w:r>
            <w:r w:rsidRPr="0038644B">
              <w:t>(t</w:t>
            </w:r>
            <w:r w:rsidR="006F7A0B">
              <w:t> </w:t>
            </w:r>
            <w:r>
              <w:t>CO</w:t>
            </w:r>
            <w:r w:rsidRPr="00FE67D5">
              <w:rPr>
                <w:vertAlign w:val="subscript"/>
              </w:rPr>
              <w:t>2</w:t>
            </w:r>
            <w:r w:rsidRPr="0038644B">
              <w:t>/MWh)</w:t>
            </w:r>
          </w:p>
        </w:tc>
      </w:tr>
      <w:tr w:rsidR="0056157B" w14:paraId="31C6C505" w14:textId="77777777" w:rsidTr="00E70B79">
        <w:tc>
          <w:tcPr>
            <w:tcW w:w="1701" w:type="dxa"/>
            <w:vAlign w:val="top"/>
          </w:tcPr>
          <w:p w14:paraId="4A015B6E" w14:textId="0CB707CE" w:rsidR="0056157B" w:rsidRPr="0056157B" w:rsidRDefault="00000000" w:rsidP="00E70B79">
            <w:pPr>
              <w:pStyle w:val="SDMTableBoxParaNotNumbered"/>
            </w:pPr>
            <m:oMathPara>
              <m:oMathParaPr>
                <m:jc m:val="left"/>
              </m:oMathParaPr>
              <m:oMath>
                <m:sSub>
                  <m:sSubPr>
                    <m:ctrlPr>
                      <w:rPr>
                        <w:rFonts w:ascii="Cambria Math" w:hAnsi="Cambria Math"/>
                        <w:i/>
                      </w:rPr>
                    </m:ctrlPr>
                  </m:sSubPr>
                  <m:e>
                    <m:r>
                      <w:rPr>
                        <w:rFonts w:ascii="Cambria Math" w:hAnsi="Cambria Math"/>
                      </w:rPr>
                      <m:t>FC</m:t>
                    </m:r>
                  </m:e>
                  <m:sub>
                    <m:r>
                      <w:rPr>
                        <w:rFonts w:ascii="Cambria Math" w:hAnsi="Cambria Math"/>
                      </w:rPr>
                      <m:t>i,p,h</m:t>
                    </m:r>
                  </m:sub>
                </m:sSub>
              </m:oMath>
            </m:oMathPara>
          </w:p>
        </w:tc>
        <w:tc>
          <w:tcPr>
            <w:tcW w:w="345" w:type="dxa"/>
            <w:vAlign w:val="top"/>
          </w:tcPr>
          <w:p w14:paraId="311D634D" w14:textId="77777777" w:rsidR="0056157B" w:rsidRDefault="0056157B" w:rsidP="00E70B79">
            <w:pPr>
              <w:pStyle w:val="SDMTableBoxParaNotNumbered"/>
            </w:pPr>
            <w:r>
              <w:t>=</w:t>
            </w:r>
          </w:p>
        </w:tc>
        <w:tc>
          <w:tcPr>
            <w:tcW w:w="0" w:type="auto"/>
            <w:vAlign w:val="top"/>
          </w:tcPr>
          <w:p w14:paraId="2F0DF762" w14:textId="77777777" w:rsidR="009C0775" w:rsidRDefault="0056157B" w:rsidP="00E70B79">
            <w:pPr>
              <w:pStyle w:val="SDMTableBoxParaNotNumbered"/>
              <w:rPr>
                <w:i/>
              </w:rPr>
            </w:pPr>
            <w:r w:rsidRPr="0038644B">
              <w:t>Amount of fuel type</w:t>
            </w:r>
            <w:r>
              <w:t> </w:t>
            </w:r>
            <w:r w:rsidRPr="0038644B">
              <w:rPr>
                <w:i/>
              </w:rPr>
              <w:t xml:space="preserve">i </w:t>
            </w:r>
            <w:r w:rsidRPr="0038644B">
              <w:t>consumed by power unit</w:t>
            </w:r>
            <w:r>
              <w:t> </w:t>
            </w:r>
            <w:r>
              <w:rPr>
                <w:i/>
              </w:rPr>
              <w:t>p</w:t>
            </w:r>
            <w:r w:rsidRPr="0038644B">
              <w:rPr>
                <w:i/>
              </w:rPr>
              <w:t xml:space="preserve"> </w:t>
            </w:r>
            <w:r w:rsidRPr="0038644B">
              <w:t>in hour </w:t>
            </w:r>
            <w:r w:rsidRPr="0038644B">
              <w:rPr>
                <w:i/>
              </w:rPr>
              <w:t>h</w:t>
            </w:r>
          </w:p>
          <w:p w14:paraId="4F7760BB" w14:textId="306508C3" w:rsidR="0056157B" w:rsidRDefault="0056157B" w:rsidP="00E70B79">
            <w:pPr>
              <w:pStyle w:val="SDMTableBoxParaNotNumbered"/>
            </w:pPr>
            <w:r w:rsidRPr="0038644B">
              <w:t>(Mass or volume unit)</w:t>
            </w:r>
          </w:p>
        </w:tc>
      </w:tr>
      <w:tr w:rsidR="0056157B" w14:paraId="767A6D2C" w14:textId="77777777" w:rsidTr="00E70B79">
        <w:tc>
          <w:tcPr>
            <w:tcW w:w="1701" w:type="dxa"/>
            <w:vAlign w:val="top"/>
          </w:tcPr>
          <w:p w14:paraId="3181178D" w14:textId="3B80DAF8" w:rsidR="0056157B" w:rsidRPr="0056157B" w:rsidRDefault="00000000" w:rsidP="00E70B79">
            <w:pPr>
              <w:pStyle w:val="SDMTableBoxParaNotNumbered"/>
            </w:pPr>
            <m:oMathPara>
              <m:oMathParaPr>
                <m:jc m:val="left"/>
              </m:oMathParaPr>
              <m:oMath>
                <m:sSub>
                  <m:sSubPr>
                    <m:ctrlPr>
                      <w:rPr>
                        <w:rFonts w:ascii="Cambria Math" w:hAnsi="Cambria Math"/>
                        <w:i/>
                      </w:rPr>
                    </m:ctrlPr>
                  </m:sSubPr>
                  <m:e>
                    <m:r>
                      <w:rPr>
                        <w:rFonts w:ascii="Cambria Math" w:hAnsi="Cambria Math"/>
                      </w:rPr>
                      <m:t>NCV</m:t>
                    </m:r>
                  </m:e>
                  <m:sub>
                    <m:r>
                      <w:rPr>
                        <w:rFonts w:ascii="Cambria Math" w:hAnsi="Cambria Math"/>
                      </w:rPr>
                      <m:t>i,t</m:t>
                    </m:r>
                  </m:sub>
                </m:sSub>
              </m:oMath>
            </m:oMathPara>
          </w:p>
        </w:tc>
        <w:tc>
          <w:tcPr>
            <w:tcW w:w="345" w:type="dxa"/>
            <w:vAlign w:val="top"/>
          </w:tcPr>
          <w:p w14:paraId="407141AE" w14:textId="77777777" w:rsidR="0056157B" w:rsidRDefault="0056157B" w:rsidP="00E70B79">
            <w:pPr>
              <w:pStyle w:val="SDMTableBoxParaNotNumbered"/>
            </w:pPr>
            <w:r>
              <w:t>=</w:t>
            </w:r>
          </w:p>
        </w:tc>
        <w:tc>
          <w:tcPr>
            <w:tcW w:w="0" w:type="auto"/>
            <w:vAlign w:val="top"/>
          </w:tcPr>
          <w:p w14:paraId="61974813" w14:textId="77777777" w:rsidR="009C0775" w:rsidRDefault="0056157B" w:rsidP="00E70B79">
            <w:pPr>
              <w:pStyle w:val="SDMTableBoxParaNotNumbered"/>
              <w:rPr>
                <w:i/>
              </w:rPr>
            </w:pPr>
            <w:r w:rsidRPr="0038644B">
              <w:t>Net calorific value (energy content) of fuel type</w:t>
            </w:r>
            <w:r>
              <w:t> </w:t>
            </w:r>
            <w:r w:rsidRPr="0038644B">
              <w:rPr>
                <w:i/>
              </w:rPr>
              <w:t>i</w:t>
            </w:r>
            <w:r w:rsidRPr="0038644B">
              <w:t xml:space="preserve"> in </w:t>
            </w:r>
            <w:r>
              <w:t>period</w:t>
            </w:r>
            <w:r w:rsidRPr="0077016A">
              <w:t> </w:t>
            </w:r>
            <w:r w:rsidRPr="00E1724D">
              <w:rPr>
                <w:i/>
              </w:rPr>
              <w:t>t</w:t>
            </w:r>
          </w:p>
          <w:p w14:paraId="53F198A9" w14:textId="1398A24E" w:rsidR="0056157B" w:rsidRDefault="0056157B" w:rsidP="00E70B79">
            <w:pPr>
              <w:pStyle w:val="SDMTableBoxParaNotNumbered"/>
            </w:pPr>
            <w:r w:rsidRPr="0038644B">
              <w:t>(GJ/mass or volume unit)</w:t>
            </w:r>
          </w:p>
        </w:tc>
      </w:tr>
      <w:tr w:rsidR="0056157B" w14:paraId="73DD5DD1" w14:textId="77777777" w:rsidTr="00E70B79">
        <w:tc>
          <w:tcPr>
            <w:tcW w:w="1701" w:type="dxa"/>
            <w:vAlign w:val="top"/>
          </w:tcPr>
          <w:p w14:paraId="678BEEB2" w14:textId="51B6A6A0" w:rsidR="0056157B" w:rsidRPr="0056157B" w:rsidRDefault="00000000" w:rsidP="00E70B79">
            <w:pPr>
              <w:pStyle w:val="SDMTableBoxParaNotNumbered"/>
            </w:pPr>
            <m:oMathPara>
              <m:oMathParaPr>
                <m:jc m:val="left"/>
              </m:oMathParaPr>
              <m:oMath>
                <m:sSub>
                  <m:sSubPr>
                    <m:ctrlPr>
                      <w:rPr>
                        <w:rFonts w:ascii="Cambria Math" w:hAnsi="Cambria Math"/>
                        <w:i/>
                      </w:rPr>
                    </m:ctrlPr>
                  </m:sSubPr>
                  <m:e>
                    <m:r>
                      <w:rPr>
                        <w:rFonts w:ascii="Cambria Math" w:hAnsi="Cambria Math"/>
                      </w:rPr>
                      <m:t>EF</m:t>
                    </m:r>
                  </m:e>
                  <m:sub>
                    <m:r>
                      <w:rPr>
                        <w:rFonts w:ascii="Cambria Math" w:hAnsi="Cambria Math"/>
                      </w:rPr>
                      <m:t>CO2,i,t</m:t>
                    </m:r>
                  </m:sub>
                </m:sSub>
              </m:oMath>
            </m:oMathPara>
          </w:p>
        </w:tc>
        <w:tc>
          <w:tcPr>
            <w:tcW w:w="345" w:type="dxa"/>
            <w:vAlign w:val="top"/>
          </w:tcPr>
          <w:p w14:paraId="7E510711" w14:textId="5822584B" w:rsidR="0056157B" w:rsidRDefault="0056157B" w:rsidP="00E70B79">
            <w:pPr>
              <w:pStyle w:val="SDMTableBoxParaNotNumbered"/>
            </w:pPr>
            <w:r>
              <w:t>=</w:t>
            </w:r>
          </w:p>
        </w:tc>
        <w:tc>
          <w:tcPr>
            <w:tcW w:w="0" w:type="auto"/>
            <w:vAlign w:val="top"/>
          </w:tcPr>
          <w:p w14:paraId="0589004E" w14:textId="5DADFF67" w:rsidR="0056157B" w:rsidRDefault="0056157B" w:rsidP="00E70B79">
            <w:pPr>
              <w:pStyle w:val="SDMTableBoxParaNotNumbered"/>
            </w:pPr>
            <w:r>
              <w:t>CO</w:t>
            </w:r>
            <w:r w:rsidRPr="00FE67D5">
              <w:rPr>
                <w:vertAlign w:val="subscript"/>
              </w:rPr>
              <w:t>2</w:t>
            </w:r>
            <w:r w:rsidRPr="0038644B">
              <w:t xml:space="preserve"> emission factor of fuel type</w:t>
            </w:r>
            <w:r>
              <w:t> </w:t>
            </w:r>
            <w:r w:rsidRPr="0038644B">
              <w:rPr>
                <w:i/>
              </w:rPr>
              <w:t>i</w:t>
            </w:r>
            <w:r w:rsidRPr="0038644B">
              <w:t xml:space="preserve"> in </w:t>
            </w:r>
            <w:r>
              <w:t>period</w:t>
            </w:r>
            <w:r w:rsidRPr="0077016A">
              <w:t> </w:t>
            </w:r>
            <w:r>
              <w:rPr>
                <w:i/>
              </w:rPr>
              <w:t>t</w:t>
            </w:r>
            <w:r w:rsidRPr="0038644B">
              <w:t xml:space="preserve"> (t</w:t>
            </w:r>
            <w:r w:rsidR="0033417D">
              <w:t> </w:t>
            </w:r>
            <w:r>
              <w:t>CO</w:t>
            </w:r>
            <w:r w:rsidRPr="00FE67D5">
              <w:rPr>
                <w:vertAlign w:val="subscript"/>
              </w:rPr>
              <w:t>2</w:t>
            </w:r>
            <w:r w:rsidRPr="0038644B">
              <w:t>/GJ)</w:t>
            </w:r>
          </w:p>
        </w:tc>
      </w:tr>
      <w:tr w:rsidR="0056157B" w14:paraId="3C8EFF74" w14:textId="77777777" w:rsidTr="00E70B79">
        <w:tc>
          <w:tcPr>
            <w:tcW w:w="1701" w:type="dxa"/>
            <w:vAlign w:val="top"/>
          </w:tcPr>
          <w:p w14:paraId="1FD1335B" w14:textId="286017CA" w:rsidR="0056157B" w:rsidRPr="0056157B" w:rsidRDefault="00000000" w:rsidP="00E70B79">
            <w:pPr>
              <w:pStyle w:val="SDMTableBoxParaNotNumbered"/>
            </w:pPr>
            <m:oMathPara>
              <m:oMathParaPr>
                <m:jc m:val="left"/>
              </m:oMathParaPr>
              <m:oMath>
                <m:sSub>
                  <m:sSubPr>
                    <m:ctrlPr>
                      <w:rPr>
                        <w:rFonts w:ascii="Cambria Math" w:hAnsi="Cambria Math"/>
                        <w:i/>
                      </w:rPr>
                    </m:ctrlPr>
                  </m:sSubPr>
                  <m:e>
                    <m:r>
                      <w:rPr>
                        <w:rFonts w:ascii="Cambria Math" w:hAnsi="Cambria Math"/>
                      </w:rPr>
                      <m:t>EG</m:t>
                    </m:r>
                  </m:e>
                  <m:sub>
                    <m:r>
                      <w:rPr>
                        <w:rFonts w:ascii="Cambria Math" w:hAnsi="Cambria Math"/>
                      </w:rPr>
                      <m:t>p,h</m:t>
                    </m:r>
                  </m:sub>
                </m:sSub>
              </m:oMath>
            </m:oMathPara>
          </w:p>
        </w:tc>
        <w:tc>
          <w:tcPr>
            <w:tcW w:w="345" w:type="dxa"/>
            <w:vAlign w:val="top"/>
          </w:tcPr>
          <w:p w14:paraId="37ABF583" w14:textId="38A21B4D" w:rsidR="0056157B" w:rsidRDefault="0056157B" w:rsidP="00E70B79">
            <w:pPr>
              <w:pStyle w:val="SDMTableBoxParaNotNumbered"/>
            </w:pPr>
            <w:r>
              <w:t>=</w:t>
            </w:r>
          </w:p>
        </w:tc>
        <w:tc>
          <w:tcPr>
            <w:tcW w:w="0" w:type="auto"/>
            <w:vAlign w:val="top"/>
          </w:tcPr>
          <w:p w14:paraId="5AF6790E" w14:textId="73AC96F9" w:rsidR="0056157B" w:rsidRDefault="0056157B" w:rsidP="00E70B79">
            <w:pPr>
              <w:pStyle w:val="SDMTableBoxParaNotNumbered"/>
            </w:pPr>
            <w:r>
              <w:t>Net e</w:t>
            </w:r>
            <w:r w:rsidRPr="0038644B">
              <w:t>lectricity generated and delivered by power unit </w:t>
            </w:r>
            <w:r>
              <w:rPr>
                <w:i/>
              </w:rPr>
              <w:t>p</w:t>
            </w:r>
            <w:r w:rsidRPr="0038644B">
              <w:rPr>
                <w:i/>
              </w:rPr>
              <w:t xml:space="preserve"> </w:t>
            </w:r>
            <w:r w:rsidRPr="0038644B">
              <w:t xml:space="preserve">to the </w:t>
            </w:r>
            <w:r>
              <w:t>electricity system</w:t>
            </w:r>
            <w:r w:rsidRPr="0038644B">
              <w:t xml:space="preserve"> in hour </w:t>
            </w:r>
            <w:r w:rsidRPr="0038644B">
              <w:rPr>
                <w:i/>
              </w:rPr>
              <w:t xml:space="preserve">h </w:t>
            </w:r>
            <w:r w:rsidRPr="0038644B">
              <w:t>(MWh)</w:t>
            </w:r>
          </w:p>
        </w:tc>
      </w:tr>
      <w:tr w:rsidR="0056157B" w14:paraId="563BDA97" w14:textId="77777777" w:rsidTr="00E70B79">
        <w:tc>
          <w:tcPr>
            <w:tcW w:w="1701" w:type="dxa"/>
            <w:vAlign w:val="top"/>
          </w:tcPr>
          <w:p w14:paraId="5DB82C0D" w14:textId="46D3280F" w:rsidR="0056157B" w:rsidRPr="0056157B" w:rsidRDefault="0056157B" w:rsidP="00E70B79">
            <w:pPr>
              <w:pStyle w:val="SDMTableBoxParaNotNumbered"/>
            </w:pPr>
            <m:oMathPara>
              <m:oMathParaPr>
                <m:jc m:val="left"/>
              </m:oMathParaPr>
              <m:oMath>
                <m:r>
                  <w:rPr>
                    <w:rFonts w:ascii="Cambria Math" w:hAnsi="Cambria Math"/>
                  </w:rPr>
                  <m:t>p</m:t>
                </m:r>
              </m:oMath>
            </m:oMathPara>
          </w:p>
        </w:tc>
        <w:tc>
          <w:tcPr>
            <w:tcW w:w="345" w:type="dxa"/>
            <w:vAlign w:val="top"/>
          </w:tcPr>
          <w:p w14:paraId="7D7EC81C" w14:textId="3DFE1B96" w:rsidR="0056157B" w:rsidRDefault="0056157B" w:rsidP="00E70B79">
            <w:pPr>
              <w:pStyle w:val="SDMTableBoxParaNotNumbered"/>
            </w:pPr>
            <w:r>
              <w:t>=</w:t>
            </w:r>
          </w:p>
        </w:tc>
        <w:tc>
          <w:tcPr>
            <w:tcW w:w="0" w:type="auto"/>
            <w:vAlign w:val="top"/>
          </w:tcPr>
          <w:p w14:paraId="03CFCEC4" w14:textId="3F28CCB6" w:rsidR="0056157B" w:rsidRDefault="0056157B" w:rsidP="00E70B79">
            <w:pPr>
              <w:pStyle w:val="SDMTableBoxParaNotNumbered"/>
            </w:pPr>
            <w:r>
              <w:t>P</w:t>
            </w:r>
            <w:r w:rsidRPr="0038644B">
              <w:t xml:space="preserve">ower units </w:t>
            </w:r>
            <w:r>
              <w:t>in the electricity system that operate within</w:t>
            </w:r>
            <w:r w:rsidRPr="0038644B">
              <w:t xml:space="preserve"> the top of the dispatch</w:t>
            </w:r>
            <w:r>
              <w:t xml:space="preserve"> order in hour </w:t>
            </w:r>
            <w:r w:rsidRPr="00E0654F">
              <w:rPr>
                <w:i/>
              </w:rPr>
              <w:t>h</w:t>
            </w:r>
            <w:r w:rsidRPr="0038644B">
              <w:t xml:space="preserve"> (as defined below)</w:t>
            </w:r>
          </w:p>
        </w:tc>
      </w:tr>
      <w:tr w:rsidR="0056157B" w14:paraId="7F250399" w14:textId="77777777" w:rsidTr="00E70B79">
        <w:tc>
          <w:tcPr>
            <w:tcW w:w="1701" w:type="dxa"/>
            <w:vAlign w:val="top"/>
          </w:tcPr>
          <w:p w14:paraId="007D1D63" w14:textId="4B649339" w:rsidR="0056157B" w:rsidRPr="0056157B" w:rsidRDefault="0056157B" w:rsidP="00E70B79">
            <w:pPr>
              <w:pStyle w:val="SDMTableBoxParaNotNumbered"/>
            </w:pPr>
            <m:oMathPara>
              <m:oMathParaPr>
                <m:jc m:val="left"/>
              </m:oMathParaPr>
              <m:oMath>
                <m:r>
                  <w:rPr>
                    <w:rFonts w:ascii="Cambria Math" w:hAnsi="Cambria Math"/>
                  </w:rPr>
                  <m:t>i</m:t>
                </m:r>
              </m:oMath>
            </m:oMathPara>
          </w:p>
        </w:tc>
        <w:tc>
          <w:tcPr>
            <w:tcW w:w="345" w:type="dxa"/>
            <w:vAlign w:val="top"/>
          </w:tcPr>
          <w:p w14:paraId="5ADD03AE" w14:textId="58750F53" w:rsidR="0056157B" w:rsidRDefault="0056157B" w:rsidP="00E70B79">
            <w:pPr>
              <w:pStyle w:val="SDMTableBoxParaNotNumbered"/>
            </w:pPr>
            <w:r>
              <w:t>=</w:t>
            </w:r>
          </w:p>
        </w:tc>
        <w:tc>
          <w:tcPr>
            <w:tcW w:w="0" w:type="auto"/>
            <w:vAlign w:val="top"/>
          </w:tcPr>
          <w:p w14:paraId="6BE30433" w14:textId="1B423E82" w:rsidR="0056157B" w:rsidRDefault="0056157B" w:rsidP="00E70B79">
            <w:pPr>
              <w:pStyle w:val="SDMTableBoxParaNotNumbered"/>
            </w:pPr>
            <w:r w:rsidRPr="0038644B">
              <w:t>Fuel types combusted in power unit</w:t>
            </w:r>
            <w:r>
              <w:t> </w:t>
            </w:r>
            <w:r>
              <w:rPr>
                <w:i/>
              </w:rPr>
              <w:t>p</w:t>
            </w:r>
            <w:r w:rsidRPr="0038644B">
              <w:t xml:space="preserve"> in </w:t>
            </w:r>
            <w:r>
              <w:t>period</w:t>
            </w:r>
            <w:r w:rsidRPr="0077016A">
              <w:t> </w:t>
            </w:r>
            <w:r>
              <w:rPr>
                <w:i/>
              </w:rPr>
              <w:t>t</w:t>
            </w:r>
          </w:p>
        </w:tc>
      </w:tr>
      <w:tr w:rsidR="0056157B" w14:paraId="1F59303C" w14:textId="77777777" w:rsidTr="00E70B79">
        <w:tc>
          <w:tcPr>
            <w:tcW w:w="1701" w:type="dxa"/>
            <w:vAlign w:val="top"/>
          </w:tcPr>
          <w:p w14:paraId="7BD63866" w14:textId="453E51E8" w:rsidR="0056157B" w:rsidRPr="0056157B" w:rsidRDefault="0056157B" w:rsidP="00E70B79">
            <w:pPr>
              <w:pStyle w:val="SDMTableBoxParaNotNumbered"/>
            </w:pPr>
            <m:oMathPara>
              <m:oMathParaPr>
                <m:jc m:val="left"/>
              </m:oMathParaPr>
              <m:oMath>
                <m:r>
                  <w:rPr>
                    <w:rFonts w:ascii="Cambria Math" w:hAnsi="Cambria Math"/>
                  </w:rPr>
                  <m:t>h</m:t>
                </m:r>
              </m:oMath>
            </m:oMathPara>
          </w:p>
        </w:tc>
        <w:tc>
          <w:tcPr>
            <w:tcW w:w="345" w:type="dxa"/>
            <w:vAlign w:val="top"/>
          </w:tcPr>
          <w:p w14:paraId="643EA214" w14:textId="1DD9C815" w:rsidR="0056157B" w:rsidRDefault="0056157B" w:rsidP="00E70B79">
            <w:pPr>
              <w:pStyle w:val="SDMTableBoxParaNotNumbered"/>
            </w:pPr>
            <w:r>
              <w:t>=</w:t>
            </w:r>
          </w:p>
        </w:tc>
        <w:tc>
          <w:tcPr>
            <w:tcW w:w="0" w:type="auto"/>
            <w:vAlign w:val="top"/>
          </w:tcPr>
          <w:p w14:paraId="51DCD160" w14:textId="5764B347" w:rsidR="0056157B" w:rsidRDefault="0056157B" w:rsidP="00E70B79">
            <w:pPr>
              <w:pStyle w:val="SDMTableBoxParaNotNumbered"/>
            </w:pPr>
            <w:r w:rsidRPr="0038644B">
              <w:t xml:space="preserve">Hours in </w:t>
            </w:r>
            <w:r>
              <w:t>period</w:t>
            </w:r>
            <w:r w:rsidRPr="0077016A">
              <w:t> </w:t>
            </w:r>
            <w:r>
              <w:rPr>
                <w:i/>
              </w:rPr>
              <w:t>t</w:t>
            </w:r>
            <w:r w:rsidRPr="0038644B">
              <w:t xml:space="preserve"> in which the </w:t>
            </w:r>
            <w:r>
              <w:t>Article 6.4</w:t>
            </w:r>
            <w:r w:rsidRPr="0038644B">
              <w:t xml:space="preserve"> activity is </w:t>
            </w:r>
            <w:r w:rsidRPr="00712E5E">
              <w:t>displacing electricity in</w:t>
            </w:r>
            <w:r>
              <w:t>,</w:t>
            </w:r>
            <w:r w:rsidRPr="00712E5E">
              <w:t xml:space="preserve"> or consuming </w:t>
            </w:r>
            <w:r>
              <w:t xml:space="preserve">electricity </w:t>
            </w:r>
            <w:r w:rsidRPr="00712E5E">
              <w:t>from</w:t>
            </w:r>
            <w:r>
              <w:t>,</w:t>
            </w:r>
            <w:r w:rsidRPr="00712E5E">
              <w:t xml:space="preserve"> the electricity system</w:t>
            </w:r>
          </w:p>
        </w:tc>
      </w:tr>
      <w:tr w:rsidR="0056157B" w14:paraId="204026EF" w14:textId="77777777" w:rsidTr="00E70B79">
        <w:tc>
          <w:tcPr>
            <w:tcW w:w="1701" w:type="dxa"/>
            <w:vAlign w:val="top"/>
          </w:tcPr>
          <w:p w14:paraId="12F12F48" w14:textId="472C55A3" w:rsidR="0056157B" w:rsidRPr="0056157B" w:rsidRDefault="0056157B" w:rsidP="00E70B79">
            <w:pPr>
              <w:pStyle w:val="SDMTableBoxParaNotNumbered"/>
            </w:pPr>
            <m:oMathPara>
              <m:oMathParaPr>
                <m:jc m:val="left"/>
              </m:oMathParaPr>
              <m:oMath>
                <m:r>
                  <w:rPr>
                    <w:rFonts w:ascii="Cambria Math" w:hAnsi="Cambria Math"/>
                  </w:rPr>
                  <m:t>t</m:t>
                </m:r>
              </m:oMath>
            </m:oMathPara>
          </w:p>
        </w:tc>
        <w:tc>
          <w:tcPr>
            <w:tcW w:w="345" w:type="dxa"/>
            <w:vAlign w:val="top"/>
          </w:tcPr>
          <w:p w14:paraId="49AF9427" w14:textId="46DD9ACE" w:rsidR="0056157B" w:rsidRDefault="0056157B" w:rsidP="00E70B79">
            <w:pPr>
              <w:pStyle w:val="SDMTableBoxParaNotNumbered"/>
            </w:pPr>
            <w:r>
              <w:t>=</w:t>
            </w:r>
          </w:p>
        </w:tc>
        <w:tc>
          <w:tcPr>
            <w:tcW w:w="0" w:type="auto"/>
            <w:vAlign w:val="top"/>
          </w:tcPr>
          <w:p w14:paraId="6FD38271" w14:textId="21E245A5" w:rsidR="0056157B" w:rsidRDefault="0056157B" w:rsidP="00E70B79">
            <w:pPr>
              <w:pStyle w:val="SDMTableBoxParaNotNumbered"/>
            </w:pPr>
            <w:r>
              <w:t>Period for</w:t>
            </w:r>
            <w:r w:rsidRPr="0038644B">
              <w:t xml:space="preserve"> which </w:t>
            </w:r>
            <w:r>
              <w:t xml:space="preserve">emissions from </w:t>
            </w:r>
            <w:r w:rsidRPr="00F46238">
              <w:t>displacing electricity in</w:t>
            </w:r>
            <w:r>
              <w:t>,</w:t>
            </w:r>
            <w:r w:rsidRPr="00F46238">
              <w:t xml:space="preserve"> or consuming </w:t>
            </w:r>
            <w:r>
              <w:t xml:space="preserve">electricity </w:t>
            </w:r>
            <w:r w:rsidRPr="00F46238">
              <w:t>from</w:t>
            </w:r>
            <w:r>
              <w:t>,</w:t>
            </w:r>
            <w:r w:rsidRPr="00F46238">
              <w:t xml:space="preserve"> the electricity system</w:t>
            </w:r>
            <w:r>
              <w:t xml:space="preserve"> are quantified</w:t>
            </w:r>
          </w:p>
        </w:tc>
      </w:tr>
    </w:tbl>
    <w:p w14:paraId="030C3E0D" w14:textId="77777777" w:rsidR="0020084D" w:rsidRPr="0038644B" w:rsidRDefault="000B5223" w:rsidP="00C72647">
      <w:pPr>
        <w:pStyle w:val="SDMSubPara1"/>
        <w:keepNext/>
      </w:pPr>
      <w:r>
        <w:t>B</w:t>
      </w:r>
      <w:r w:rsidR="0020084D" w:rsidRPr="0038644B">
        <w:t>ased on the</w:t>
      </w:r>
      <w:r w:rsidR="00F206D8" w:rsidRPr="00F206D8">
        <w:t xml:space="preserve"> </w:t>
      </w:r>
      <w:r w:rsidR="003C2BE5" w:rsidRPr="0038644B">
        <w:t xml:space="preserve">net electricity generation </w:t>
      </w:r>
      <w:r w:rsidR="003C2BE5">
        <w:t>of each power unit</w:t>
      </w:r>
      <w:r w:rsidR="007550D0">
        <w:t> </w:t>
      </w:r>
      <w:r w:rsidR="003C2BE5" w:rsidRPr="003C2BE5">
        <w:rPr>
          <w:i/>
          <w:iCs/>
        </w:rPr>
        <w:t>p</w:t>
      </w:r>
      <w:r w:rsidR="003C2BE5">
        <w:t xml:space="preserve"> </w:t>
      </w:r>
      <w:r w:rsidR="003C2BE5" w:rsidRPr="0038644B">
        <w:t xml:space="preserve">and a </w:t>
      </w:r>
      <w:r w:rsidR="00F206D8">
        <w:t>CO</w:t>
      </w:r>
      <w:r w:rsidR="00F206D8" w:rsidRPr="00F206D8">
        <w:rPr>
          <w:vertAlign w:val="subscript"/>
        </w:rPr>
        <w:t>2</w:t>
      </w:r>
      <w:r w:rsidR="00F206D8">
        <w:t xml:space="preserve"> emission factor </w:t>
      </w:r>
      <w:r w:rsidR="003C2BE5">
        <w:t>for</w:t>
      </w:r>
      <w:r w:rsidR="00F206D8">
        <w:t xml:space="preserve"> each power unit</w:t>
      </w:r>
      <w:r w:rsidR="00B65523">
        <w:t> </w:t>
      </w:r>
      <w:r w:rsidR="003C2BE5" w:rsidRPr="003C2BE5">
        <w:rPr>
          <w:i/>
          <w:iCs/>
        </w:rPr>
        <w:t>p</w:t>
      </w:r>
      <w:r w:rsidR="0020084D" w:rsidRPr="0038644B">
        <w:t>, as follows:</w:t>
      </w:r>
    </w:p>
    <w:tbl>
      <w:tblPr>
        <w:tblStyle w:val="SDMMethTableEquation"/>
        <w:tblW w:w="8144" w:type="dxa"/>
        <w:tblInd w:w="1310" w:type="dxa"/>
        <w:tblLook w:val="0600" w:firstRow="0" w:lastRow="0" w:firstColumn="0" w:lastColumn="0" w:noHBand="1" w:noVBand="1"/>
      </w:tblPr>
      <w:tblGrid>
        <w:gridCol w:w="6770"/>
        <w:gridCol w:w="1374"/>
      </w:tblGrid>
      <w:tr w:rsidR="0020084D" w:rsidRPr="0038644B" w14:paraId="7BD95F6E" w14:textId="77777777" w:rsidTr="007C4BF3">
        <w:tc>
          <w:tcPr>
            <w:tcW w:w="6770" w:type="dxa"/>
          </w:tcPr>
          <w:p w14:paraId="07B53DA9" w14:textId="2AF4A0DB" w:rsidR="0020084D" w:rsidRPr="000E2B98" w:rsidRDefault="00000000" w:rsidP="00C66F76">
            <w:pPr>
              <w:pStyle w:val="SDMMethEquation"/>
              <w:ind w:right="283"/>
            </w:pPr>
            <m:oMathPara>
              <m:oMathParaPr>
                <m:jc m:val="left"/>
              </m:oMathParaPr>
              <m:oMath>
                <m:sSub>
                  <m:sSubPr>
                    <m:ctrlPr>
                      <w:rPr>
                        <w:rFonts w:ascii="Cambria Math" w:hAnsi="Cambria Math"/>
                        <w:i/>
                      </w:rPr>
                    </m:ctrlPr>
                  </m:sSubPr>
                  <m:e>
                    <m:r>
                      <w:rPr>
                        <w:rFonts w:ascii="Cambria Math" w:hAnsi="Cambria Math"/>
                      </w:rPr>
                      <m:t>EF</m:t>
                    </m:r>
                  </m:e>
                  <m:sub>
                    <m:r>
                      <w:rPr>
                        <w:rFonts w:ascii="Cambria Math" w:hAnsi="Cambria Math"/>
                      </w:rPr>
                      <m:t>OM,DD,h</m:t>
                    </m:r>
                  </m:sub>
                </m:sSub>
                <m:r>
                  <w:rPr>
                    <w:rFonts w:ascii="Cambria Math" w:hAnsi="Cambria Math"/>
                  </w:rPr>
                  <m:t>=</m:t>
                </m:r>
                <m:f>
                  <m:fPr>
                    <m:ctrlPr>
                      <w:rPr>
                        <w:rFonts w:ascii="Cambria Math" w:hAnsi="Cambria Math"/>
                        <w:i/>
                      </w:rPr>
                    </m:ctrlPr>
                  </m:fPr>
                  <m:num>
                    <m:nary>
                      <m:naryPr>
                        <m:chr m:val="∑"/>
                        <m:limLoc m:val="undOvr"/>
                        <m:supHide m:val="1"/>
                        <m:ctrlPr>
                          <w:rPr>
                            <w:rFonts w:ascii="Cambria Math" w:hAnsi="Cambria Math"/>
                            <w:i/>
                          </w:rPr>
                        </m:ctrlPr>
                      </m:naryPr>
                      <m:sub>
                        <m:r>
                          <w:rPr>
                            <w:rFonts w:ascii="Cambria Math" w:hAnsi="Cambria Math"/>
                          </w:rPr>
                          <m:t>p</m:t>
                        </m:r>
                      </m:sub>
                      <m:sup/>
                      <m:e>
                        <m:sSub>
                          <m:sSubPr>
                            <m:ctrlPr>
                              <w:rPr>
                                <w:rFonts w:ascii="Cambria Math" w:hAnsi="Cambria Math"/>
                                <w:i/>
                              </w:rPr>
                            </m:ctrlPr>
                          </m:sSubPr>
                          <m:e>
                            <m:r>
                              <w:rPr>
                                <w:rFonts w:ascii="Cambria Math" w:hAnsi="Cambria Math"/>
                              </w:rPr>
                              <m:t>EG</m:t>
                            </m:r>
                          </m:e>
                          <m:sub>
                            <m:r>
                              <w:rPr>
                                <w:rFonts w:ascii="Cambria Math" w:hAnsi="Cambria Math"/>
                              </w:rPr>
                              <m:t>p,h</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EL,p,t</m:t>
                            </m:r>
                          </m:sub>
                        </m:sSub>
                      </m:e>
                    </m:nary>
                  </m:num>
                  <m:den>
                    <m:nary>
                      <m:naryPr>
                        <m:chr m:val="∑"/>
                        <m:limLoc m:val="undOvr"/>
                        <m:supHide m:val="1"/>
                        <m:ctrlPr>
                          <w:rPr>
                            <w:rFonts w:ascii="Cambria Math" w:hAnsi="Cambria Math"/>
                            <w:i/>
                          </w:rPr>
                        </m:ctrlPr>
                      </m:naryPr>
                      <m:sub>
                        <m:r>
                          <w:rPr>
                            <w:rFonts w:ascii="Cambria Math" w:hAnsi="Cambria Math"/>
                          </w:rPr>
                          <m:t>p</m:t>
                        </m:r>
                      </m:sub>
                      <m:sup/>
                      <m:e>
                        <m:sSub>
                          <m:sSubPr>
                            <m:ctrlPr>
                              <w:rPr>
                                <w:rFonts w:ascii="Cambria Math" w:hAnsi="Cambria Math"/>
                                <w:i/>
                              </w:rPr>
                            </m:ctrlPr>
                          </m:sSubPr>
                          <m:e>
                            <m:r>
                              <w:rPr>
                                <w:rFonts w:ascii="Cambria Math" w:hAnsi="Cambria Math"/>
                              </w:rPr>
                              <m:t>EG</m:t>
                            </m:r>
                          </m:e>
                          <m:sub>
                            <m:r>
                              <w:rPr>
                                <w:rFonts w:ascii="Cambria Math" w:hAnsi="Cambria Math"/>
                              </w:rPr>
                              <m:t>p,h</m:t>
                            </m:r>
                          </m:sub>
                        </m:sSub>
                      </m:e>
                    </m:nary>
                  </m:den>
                </m:f>
              </m:oMath>
            </m:oMathPara>
          </w:p>
        </w:tc>
        <w:tc>
          <w:tcPr>
            <w:tcW w:w="1374" w:type="dxa"/>
          </w:tcPr>
          <w:p w14:paraId="4F0B3411" w14:textId="77777777" w:rsidR="0020084D" w:rsidRPr="0038644B" w:rsidRDefault="0020084D">
            <w:pPr>
              <w:pStyle w:val="SDMMethEquationNr"/>
              <w:numPr>
                <w:ilvl w:val="0"/>
                <w:numId w:val="6"/>
              </w:numPr>
              <w:ind w:right="283"/>
            </w:pPr>
          </w:p>
        </w:tc>
      </w:tr>
    </w:tbl>
    <w:p w14:paraId="5D2F0C20" w14:textId="77777777" w:rsidR="0020084D" w:rsidRPr="0038644B" w:rsidRDefault="0020084D" w:rsidP="00C72647">
      <w:pPr>
        <w:pStyle w:val="SDMMethCaptionEquationParametersTable"/>
        <w:ind w:right="283"/>
        <w:jc w:val="left"/>
      </w:pPr>
      <w:r w:rsidRPr="0038644B">
        <w:t>Where:</w:t>
      </w:r>
    </w:p>
    <w:tbl>
      <w:tblPr>
        <w:tblStyle w:val="SDMMethTableEquationParameters"/>
        <w:tblW w:w="8647" w:type="dxa"/>
        <w:tblInd w:w="601" w:type="dxa"/>
        <w:tblLook w:val="04A0" w:firstRow="1" w:lastRow="0" w:firstColumn="1" w:lastColumn="0" w:noHBand="0" w:noVBand="1"/>
      </w:tblPr>
      <w:tblGrid>
        <w:gridCol w:w="1796"/>
        <w:gridCol w:w="651"/>
        <w:gridCol w:w="6200"/>
      </w:tblGrid>
      <w:tr w:rsidR="0020084D" w:rsidRPr="0038644B" w14:paraId="0153D092" w14:textId="77777777" w:rsidTr="00E70B79">
        <w:tc>
          <w:tcPr>
            <w:tcW w:w="1796" w:type="dxa"/>
            <w:vAlign w:val="top"/>
          </w:tcPr>
          <w:p w14:paraId="70F1098E" w14:textId="601447E7" w:rsidR="0020084D" w:rsidRPr="00B55542" w:rsidRDefault="00000000" w:rsidP="00E70B79">
            <w:pPr>
              <w:pStyle w:val="SDMTableBoxParaNotNumbered"/>
              <w:ind w:right="283"/>
              <w:rPr>
                <w:i/>
                <w:vertAlign w:val="subscript"/>
              </w:rPr>
            </w:pPr>
            <m:oMathPara>
              <m:oMathParaPr>
                <m:jc m:val="left"/>
              </m:oMathParaPr>
              <m:oMath>
                <m:sSub>
                  <m:sSubPr>
                    <m:ctrlPr>
                      <w:rPr>
                        <w:rFonts w:ascii="Cambria Math" w:hAnsi="Cambria Math"/>
                        <w:i/>
                      </w:rPr>
                    </m:ctrlPr>
                  </m:sSubPr>
                  <m:e>
                    <m:r>
                      <w:rPr>
                        <w:rFonts w:ascii="Cambria Math" w:hAnsi="Cambria Math"/>
                      </w:rPr>
                      <m:t>EF</m:t>
                    </m:r>
                  </m:e>
                  <m:sub>
                    <m:r>
                      <w:rPr>
                        <w:rFonts w:ascii="Cambria Math" w:hAnsi="Cambria Math"/>
                      </w:rPr>
                      <m:t>OM,DD,h</m:t>
                    </m:r>
                  </m:sub>
                </m:sSub>
              </m:oMath>
            </m:oMathPara>
          </w:p>
        </w:tc>
        <w:tc>
          <w:tcPr>
            <w:tcW w:w="651" w:type="dxa"/>
            <w:vAlign w:val="top"/>
          </w:tcPr>
          <w:p w14:paraId="6A0875EF" w14:textId="77777777" w:rsidR="0020084D" w:rsidRPr="0038644B" w:rsidRDefault="0020084D" w:rsidP="00E70B79">
            <w:pPr>
              <w:pStyle w:val="SDMTableBoxParaNotNumbered"/>
              <w:ind w:right="283"/>
            </w:pPr>
            <w:r w:rsidRPr="0038644B">
              <w:t>=</w:t>
            </w:r>
          </w:p>
        </w:tc>
        <w:tc>
          <w:tcPr>
            <w:tcW w:w="6200" w:type="dxa"/>
            <w:vAlign w:val="top"/>
          </w:tcPr>
          <w:p w14:paraId="61A13AA6" w14:textId="77777777" w:rsidR="0020084D" w:rsidRPr="0038644B" w:rsidRDefault="002376D5" w:rsidP="00E70B79">
            <w:pPr>
              <w:pStyle w:val="SDMTableBoxParaNotNumbered"/>
              <w:ind w:right="283"/>
            </w:pPr>
            <w:r>
              <w:t xml:space="preserve">Dispatch data OM emission factor </w:t>
            </w:r>
            <w:r w:rsidR="00C22256">
              <w:t>during</w:t>
            </w:r>
            <w:r w:rsidR="00C22256" w:rsidRPr="0038644B">
              <w:t xml:space="preserve"> hour</w:t>
            </w:r>
            <w:r w:rsidR="00C22256">
              <w:t> </w:t>
            </w:r>
            <w:r w:rsidR="00C22256" w:rsidRPr="0038644B">
              <w:rPr>
                <w:i/>
              </w:rPr>
              <w:t>h</w:t>
            </w:r>
            <w:r w:rsidR="00C22256" w:rsidRPr="0038644B">
              <w:t xml:space="preserve"> </w:t>
            </w:r>
            <w:r w:rsidR="00C22256">
              <w:t>with</w:t>
            </w:r>
            <w:r w:rsidR="00C22256" w:rsidRPr="0038644B">
              <w:t xml:space="preserve">in </w:t>
            </w:r>
            <w:r w:rsidR="00C22256">
              <w:t>period</w:t>
            </w:r>
            <w:r w:rsidR="00C22256" w:rsidRPr="0077016A">
              <w:t> </w:t>
            </w:r>
            <w:r w:rsidR="00C22256">
              <w:rPr>
                <w:i/>
              </w:rPr>
              <w:t>t</w:t>
            </w:r>
            <w:r w:rsidR="00C22256" w:rsidRPr="0038644B">
              <w:rPr>
                <w:i/>
              </w:rPr>
              <w:t xml:space="preserve"> </w:t>
            </w:r>
            <w:r w:rsidR="00C22256" w:rsidRPr="0038644B">
              <w:t>(t</w:t>
            </w:r>
            <w:r w:rsidR="00B47676">
              <w:t> </w:t>
            </w:r>
            <w:r w:rsidR="00C22256">
              <w:t>CO</w:t>
            </w:r>
            <w:r w:rsidR="00C22256" w:rsidRPr="00FE67D5">
              <w:rPr>
                <w:vertAlign w:val="subscript"/>
              </w:rPr>
              <w:t>2</w:t>
            </w:r>
            <w:r w:rsidR="00C22256" w:rsidRPr="0038644B">
              <w:t>/MWh)</w:t>
            </w:r>
          </w:p>
        </w:tc>
      </w:tr>
      <w:tr w:rsidR="00805014" w:rsidRPr="0038644B" w14:paraId="04CBBAD4" w14:textId="77777777" w:rsidTr="00E70B79">
        <w:tc>
          <w:tcPr>
            <w:tcW w:w="1796" w:type="dxa"/>
            <w:vAlign w:val="top"/>
          </w:tcPr>
          <w:p w14:paraId="0775117D" w14:textId="0C638614" w:rsidR="00805014" w:rsidRPr="00B55542" w:rsidRDefault="00000000" w:rsidP="00E70B79">
            <w:pPr>
              <w:pStyle w:val="SDMTableBoxParaNotNumbered"/>
              <w:ind w:right="283"/>
              <w:rPr>
                <w:i/>
              </w:rPr>
            </w:pPr>
            <m:oMathPara>
              <m:oMathParaPr>
                <m:jc m:val="left"/>
              </m:oMathParaPr>
              <m:oMath>
                <m:sSub>
                  <m:sSubPr>
                    <m:ctrlPr>
                      <w:rPr>
                        <w:rFonts w:ascii="Cambria Math" w:hAnsi="Cambria Math"/>
                        <w:i/>
                      </w:rPr>
                    </m:ctrlPr>
                  </m:sSubPr>
                  <m:e>
                    <m:r>
                      <w:rPr>
                        <w:rFonts w:ascii="Cambria Math" w:hAnsi="Cambria Math"/>
                      </w:rPr>
                      <m:t>EG</m:t>
                    </m:r>
                  </m:e>
                  <m:sub>
                    <m:r>
                      <w:rPr>
                        <w:rFonts w:ascii="Cambria Math" w:hAnsi="Cambria Math"/>
                      </w:rPr>
                      <m:t>p,h</m:t>
                    </m:r>
                  </m:sub>
                </m:sSub>
              </m:oMath>
            </m:oMathPara>
          </w:p>
        </w:tc>
        <w:tc>
          <w:tcPr>
            <w:tcW w:w="651" w:type="dxa"/>
            <w:vAlign w:val="top"/>
          </w:tcPr>
          <w:p w14:paraId="312C8E7A" w14:textId="77777777" w:rsidR="00805014" w:rsidRPr="0038644B" w:rsidRDefault="00805014" w:rsidP="00E70B79">
            <w:pPr>
              <w:pStyle w:val="SDMTableBoxParaNotNumbered"/>
              <w:ind w:right="283"/>
            </w:pPr>
            <w:r w:rsidRPr="0038644B">
              <w:t>=</w:t>
            </w:r>
          </w:p>
        </w:tc>
        <w:tc>
          <w:tcPr>
            <w:tcW w:w="6200" w:type="dxa"/>
            <w:vAlign w:val="top"/>
          </w:tcPr>
          <w:p w14:paraId="1562A7CA" w14:textId="77777777" w:rsidR="00805014" w:rsidRPr="0038644B" w:rsidRDefault="00805014" w:rsidP="00E70B79">
            <w:pPr>
              <w:pStyle w:val="SDMTableBoxParaNotNumbered"/>
              <w:ind w:right="283"/>
            </w:pPr>
            <w:r>
              <w:t>Net e</w:t>
            </w:r>
            <w:r w:rsidRPr="0038644B">
              <w:t>lectricity generated and delivered by power unit </w:t>
            </w:r>
            <w:r w:rsidR="00F7096D">
              <w:rPr>
                <w:i/>
              </w:rPr>
              <w:t>p</w:t>
            </w:r>
            <w:r w:rsidR="00F7096D" w:rsidRPr="0038644B">
              <w:rPr>
                <w:i/>
              </w:rPr>
              <w:t xml:space="preserve"> </w:t>
            </w:r>
            <w:r w:rsidRPr="0038644B">
              <w:t xml:space="preserve">to the </w:t>
            </w:r>
            <w:r>
              <w:t>electricity system</w:t>
            </w:r>
            <w:r w:rsidRPr="0038644B">
              <w:t xml:space="preserve"> in hour </w:t>
            </w:r>
            <w:r w:rsidRPr="0038644B">
              <w:rPr>
                <w:i/>
              </w:rPr>
              <w:t xml:space="preserve">h </w:t>
            </w:r>
            <w:r w:rsidRPr="0038644B">
              <w:t>(MWh)</w:t>
            </w:r>
          </w:p>
        </w:tc>
      </w:tr>
      <w:tr w:rsidR="0020084D" w:rsidRPr="0038644B" w14:paraId="729473E7" w14:textId="77777777" w:rsidTr="00E70B79">
        <w:tc>
          <w:tcPr>
            <w:tcW w:w="1796" w:type="dxa"/>
            <w:vAlign w:val="top"/>
          </w:tcPr>
          <w:p w14:paraId="16CB08F5" w14:textId="30FBC0B2" w:rsidR="0020084D" w:rsidRPr="00B55542" w:rsidRDefault="00000000" w:rsidP="00E70B79">
            <w:pPr>
              <w:pStyle w:val="SDMTableBoxParaNotNumbered"/>
              <w:ind w:right="283"/>
              <w:rPr>
                <w:i/>
              </w:rPr>
            </w:pPr>
            <m:oMathPara>
              <m:oMathParaPr>
                <m:jc m:val="left"/>
              </m:oMathParaPr>
              <m:oMath>
                <m:sSub>
                  <m:sSubPr>
                    <m:ctrlPr>
                      <w:rPr>
                        <w:rFonts w:ascii="Cambria Math" w:hAnsi="Cambria Math" w:cs="Arial"/>
                        <w:i/>
                        <w:sz w:val="22"/>
                        <w:szCs w:val="22"/>
                      </w:rPr>
                    </m:ctrlPr>
                  </m:sSubPr>
                  <m:e>
                    <m:r>
                      <w:rPr>
                        <w:rFonts w:ascii="Cambria Math" w:hAnsi="Cambria Math"/>
                      </w:rPr>
                      <m:t>EF</m:t>
                    </m:r>
                  </m:e>
                  <m:sub>
                    <m:r>
                      <w:rPr>
                        <w:rFonts w:ascii="Cambria Math" w:hAnsi="Cambria Math"/>
                      </w:rPr>
                      <m:t>EL,p,t</m:t>
                    </m:r>
                  </m:sub>
                </m:sSub>
              </m:oMath>
            </m:oMathPara>
          </w:p>
        </w:tc>
        <w:tc>
          <w:tcPr>
            <w:tcW w:w="651" w:type="dxa"/>
            <w:vAlign w:val="top"/>
          </w:tcPr>
          <w:p w14:paraId="0623681A" w14:textId="77777777" w:rsidR="0020084D" w:rsidRPr="0038644B" w:rsidRDefault="0020084D" w:rsidP="00E70B79">
            <w:pPr>
              <w:pStyle w:val="SDMTableBoxParaNotNumbered"/>
              <w:ind w:right="283"/>
            </w:pPr>
            <w:r w:rsidRPr="0038644B">
              <w:t>=</w:t>
            </w:r>
          </w:p>
        </w:tc>
        <w:tc>
          <w:tcPr>
            <w:tcW w:w="6200" w:type="dxa"/>
            <w:vAlign w:val="top"/>
          </w:tcPr>
          <w:p w14:paraId="175D550C" w14:textId="77777777" w:rsidR="0020084D" w:rsidRPr="0038644B" w:rsidRDefault="0020084D" w:rsidP="00E70B79">
            <w:pPr>
              <w:pStyle w:val="SDMTableBoxParaNotNumbered"/>
              <w:ind w:right="283"/>
            </w:pPr>
            <w:r>
              <w:t>CO</w:t>
            </w:r>
            <w:r w:rsidRPr="00FE67D5">
              <w:rPr>
                <w:vertAlign w:val="subscript"/>
              </w:rPr>
              <w:t>2</w:t>
            </w:r>
            <w:r w:rsidRPr="0038644B">
              <w:t xml:space="preserve"> emission factor of power unit</w:t>
            </w:r>
            <w:r w:rsidR="00791CF2">
              <w:t> </w:t>
            </w:r>
            <w:r w:rsidR="00B47676">
              <w:rPr>
                <w:i/>
              </w:rPr>
              <w:t>p</w:t>
            </w:r>
            <w:r w:rsidRPr="0038644B">
              <w:t xml:space="preserve"> in </w:t>
            </w:r>
            <w:r w:rsidR="000B04F0">
              <w:t>period</w:t>
            </w:r>
            <w:r w:rsidRPr="0077016A">
              <w:t> </w:t>
            </w:r>
            <w:r w:rsidR="000B04F0">
              <w:rPr>
                <w:i/>
              </w:rPr>
              <w:t>t</w:t>
            </w:r>
            <w:r w:rsidRPr="0038644B">
              <w:t xml:space="preserve"> (t</w:t>
            </w:r>
            <w:r w:rsidR="00B47676">
              <w:t> </w:t>
            </w:r>
            <w:r>
              <w:t>CO</w:t>
            </w:r>
            <w:r w:rsidRPr="00FE67D5">
              <w:rPr>
                <w:vertAlign w:val="subscript"/>
              </w:rPr>
              <w:t>2</w:t>
            </w:r>
            <w:r w:rsidRPr="0038644B">
              <w:t>/MWh)</w:t>
            </w:r>
          </w:p>
        </w:tc>
      </w:tr>
      <w:tr w:rsidR="000B04F0" w:rsidRPr="0038644B" w14:paraId="307D31A8" w14:textId="77777777" w:rsidTr="00E70B79">
        <w:tc>
          <w:tcPr>
            <w:tcW w:w="1796" w:type="dxa"/>
            <w:vAlign w:val="top"/>
          </w:tcPr>
          <w:p w14:paraId="442F5280" w14:textId="77777777" w:rsidR="000B04F0" w:rsidRPr="00791CF2" w:rsidRDefault="00B47676" w:rsidP="00E70B79">
            <w:pPr>
              <w:pStyle w:val="SDMTableBoxParaNotNumbered"/>
              <w:ind w:right="283"/>
              <w:rPr>
                <w:i/>
              </w:rPr>
            </w:pPr>
            <m:oMathPara>
              <m:oMathParaPr>
                <m:jc m:val="left"/>
              </m:oMathParaPr>
              <m:oMath>
                <m:r>
                  <w:rPr>
                    <w:rFonts w:ascii="Cambria Math" w:hAnsi="Cambria Math"/>
                  </w:rPr>
                  <m:t>p</m:t>
                </m:r>
              </m:oMath>
            </m:oMathPara>
          </w:p>
        </w:tc>
        <w:tc>
          <w:tcPr>
            <w:tcW w:w="651" w:type="dxa"/>
            <w:vAlign w:val="top"/>
          </w:tcPr>
          <w:p w14:paraId="667CD82E" w14:textId="77777777" w:rsidR="000B04F0" w:rsidRPr="0038644B" w:rsidRDefault="000B04F0" w:rsidP="00E70B79">
            <w:pPr>
              <w:pStyle w:val="SDMTableBoxParaNotNumbered"/>
              <w:keepNext/>
              <w:ind w:right="283"/>
            </w:pPr>
            <w:r w:rsidRPr="0038644B">
              <w:t>=</w:t>
            </w:r>
          </w:p>
        </w:tc>
        <w:tc>
          <w:tcPr>
            <w:tcW w:w="6200" w:type="dxa"/>
            <w:vAlign w:val="top"/>
          </w:tcPr>
          <w:p w14:paraId="5E7E5B30" w14:textId="77777777" w:rsidR="000B04F0" w:rsidRPr="0038644B" w:rsidRDefault="000B04F0" w:rsidP="00E70B79">
            <w:pPr>
              <w:pStyle w:val="SDMTableBoxParaNotNumbered"/>
              <w:keepNext/>
              <w:ind w:right="283"/>
            </w:pPr>
            <w:r>
              <w:t>P</w:t>
            </w:r>
            <w:r w:rsidRPr="0038644B">
              <w:t xml:space="preserve">ower units </w:t>
            </w:r>
            <w:r>
              <w:t>in the electricity system that operate within</w:t>
            </w:r>
            <w:r w:rsidRPr="0038644B">
              <w:t xml:space="preserve"> the top of the dispatch</w:t>
            </w:r>
            <w:r>
              <w:t xml:space="preserve"> order in hour </w:t>
            </w:r>
            <w:r w:rsidRPr="00E0654F">
              <w:rPr>
                <w:i/>
              </w:rPr>
              <w:t>h</w:t>
            </w:r>
            <w:r w:rsidRPr="0038644B">
              <w:t xml:space="preserve"> (as defined below)</w:t>
            </w:r>
          </w:p>
        </w:tc>
      </w:tr>
      <w:tr w:rsidR="00B276F8" w:rsidRPr="0038644B" w14:paraId="346FCECA" w14:textId="77777777" w:rsidTr="00E70B79">
        <w:tc>
          <w:tcPr>
            <w:tcW w:w="1796" w:type="dxa"/>
            <w:vAlign w:val="top"/>
          </w:tcPr>
          <w:p w14:paraId="4DE6BF1D" w14:textId="77777777" w:rsidR="00B276F8" w:rsidRPr="00791CF2" w:rsidRDefault="00B276F8" w:rsidP="00E70B79">
            <w:pPr>
              <w:pStyle w:val="SDMTableBoxParaNotNumbered"/>
              <w:ind w:right="283"/>
              <w:rPr>
                <w:i/>
              </w:rPr>
            </w:pPr>
            <m:oMathPara>
              <m:oMathParaPr>
                <m:jc m:val="left"/>
              </m:oMathParaPr>
              <m:oMath>
                <m:r>
                  <w:rPr>
                    <w:rFonts w:ascii="Cambria Math" w:hAnsi="Cambria Math"/>
                  </w:rPr>
                  <m:t>h</m:t>
                </m:r>
              </m:oMath>
            </m:oMathPara>
          </w:p>
        </w:tc>
        <w:tc>
          <w:tcPr>
            <w:tcW w:w="651" w:type="dxa"/>
            <w:vAlign w:val="top"/>
          </w:tcPr>
          <w:p w14:paraId="283EA782" w14:textId="77777777" w:rsidR="00B276F8" w:rsidRPr="0038644B" w:rsidRDefault="00B276F8" w:rsidP="00E70B79">
            <w:pPr>
              <w:pStyle w:val="SDMTableBoxParaNotNumbered"/>
              <w:ind w:right="283"/>
            </w:pPr>
            <w:r w:rsidRPr="0038644B">
              <w:t>=</w:t>
            </w:r>
          </w:p>
        </w:tc>
        <w:tc>
          <w:tcPr>
            <w:tcW w:w="6200" w:type="dxa"/>
            <w:vAlign w:val="top"/>
          </w:tcPr>
          <w:p w14:paraId="06ACF641" w14:textId="08E79D23" w:rsidR="00B276F8" w:rsidRPr="0038644B" w:rsidRDefault="00B276F8" w:rsidP="00E70B79">
            <w:pPr>
              <w:pStyle w:val="SDMTableBoxParaNotNumbered"/>
              <w:ind w:right="283"/>
            </w:pPr>
            <w:r w:rsidRPr="0038644B">
              <w:t xml:space="preserve">Hours in </w:t>
            </w:r>
            <w:r>
              <w:t>period</w:t>
            </w:r>
            <w:r w:rsidRPr="0077016A">
              <w:t> </w:t>
            </w:r>
            <w:r>
              <w:rPr>
                <w:i/>
              </w:rPr>
              <w:t>t</w:t>
            </w:r>
            <w:r w:rsidRPr="0038644B">
              <w:t xml:space="preserve"> in which the </w:t>
            </w:r>
            <w:r>
              <w:t>Article 6.4</w:t>
            </w:r>
            <w:r w:rsidRPr="0038644B">
              <w:t xml:space="preserve"> activity is </w:t>
            </w:r>
            <w:r w:rsidRPr="00712E5E">
              <w:t>displacing electricity in</w:t>
            </w:r>
            <w:r w:rsidR="00B47676">
              <w:t>,</w:t>
            </w:r>
            <w:r w:rsidRPr="00712E5E">
              <w:t xml:space="preserve"> or consuming </w:t>
            </w:r>
            <w:r>
              <w:t xml:space="preserve">electricity </w:t>
            </w:r>
            <w:r w:rsidRPr="00712E5E">
              <w:t>from</w:t>
            </w:r>
            <w:r w:rsidR="00B47676">
              <w:t>,</w:t>
            </w:r>
            <w:r w:rsidRPr="00712E5E">
              <w:t xml:space="preserve"> the electricity system</w:t>
            </w:r>
          </w:p>
        </w:tc>
      </w:tr>
      <w:tr w:rsidR="00B47676" w:rsidRPr="0038644B" w14:paraId="67CB43FF" w14:textId="77777777" w:rsidTr="00E70B79">
        <w:tc>
          <w:tcPr>
            <w:tcW w:w="1796" w:type="dxa"/>
            <w:vAlign w:val="top"/>
          </w:tcPr>
          <w:p w14:paraId="405CF78B" w14:textId="77777777" w:rsidR="00B47676" w:rsidRPr="00B47676" w:rsidRDefault="00B47676" w:rsidP="00E70B79">
            <w:pPr>
              <w:pStyle w:val="SDMTableBoxParaNotNumbered"/>
              <w:ind w:right="283"/>
            </w:pPr>
            <m:oMathPara>
              <m:oMathParaPr>
                <m:jc m:val="left"/>
              </m:oMathParaPr>
              <m:oMath>
                <m:r>
                  <w:rPr>
                    <w:rFonts w:ascii="Cambria Math" w:hAnsi="Cambria Math"/>
                  </w:rPr>
                  <m:t>t</m:t>
                </m:r>
              </m:oMath>
            </m:oMathPara>
          </w:p>
        </w:tc>
        <w:tc>
          <w:tcPr>
            <w:tcW w:w="651" w:type="dxa"/>
            <w:vAlign w:val="top"/>
          </w:tcPr>
          <w:p w14:paraId="4991795F" w14:textId="77777777" w:rsidR="00B47676" w:rsidRPr="0038644B" w:rsidRDefault="00B47676" w:rsidP="00E70B79">
            <w:pPr>
              <w:pStyle w:val="SDMTableBoxParaNotNumbered"/>
              <w:ind w:right="283"/>
            </w:pPr>
            <w:r>
              <w:t>=</w:t>
            </w:r>
          </w:p>
        </w:tc>
        <w:tc>
          <w:tcPr>
            <w:tcW w:w="6200" w:type="dxa"/>
            <w:vAlign w:val="top"/>
          </w:tcPr>
          <w:p w14:paraId="6CE9FE3C" w14:textId="07E6C726" w:rsidR="00B47676" w:rsidRPr="0038644B" w:rsidRDefault="00B47676" w:rsidP="00E70B79">
            <w:pPr>
              <w:pStyle w:val="SDMTableBoxParaNotNumbered"/>
              <w:ind w:right="283"/>
            </w:pPr>
            <w:r>
              <w:t>Period for</w:t>
            </w:r>
            <w:r w:rsidRPr="0038644B">
              <w:t xml:space="preserve"> which </w:t>
            </w:r>
            <w:r>
              <w:t xml:space="preserve">emissions from </w:t>
            </w:r>
            <w:r w:rsidRPr="00F46238">
              <w:t>displacing electricity in</w:t>
            </w:r>
            <w:r>
              <w:t>,</w:t>
            </w:r>
            <w:r w:rsidRPr="00F46238">
              <w:t xml:space="preserve"> or consuming </w:t>
            </w:r>
            <w:r>
              <w:t xml:space="preserve">electricity </w:t>
            </w:r>
            <w:r w:rsidRPr="00F46238">
              <w:t>from</w:t>
            </w:r>
            <w:r>
              <w:t>,</w:t>
            </w:r>
            <w:r w:rsidRPr="00F46238">
              <w:t xml:space="preserve"> the electricity system</w:t>
            </w:r>
            <w:r>
              <w:t xml:space="preserve"> are quantified</w:t>
            </w:r>
          </w:p>
        </w:tc>
      </w:tr>
    </w:tbl>
    <w:p w14:paraId="7BFC85BE" w14:textId="39EED990" w:rsidR="00D72C58" w:rsidRPr="00D72C58" w:rsidRDefault="0020084D">
      <w:pPr>
        <w:pStyle w:val="SDMPara"/>
      </w:pPr>
      <w:r w:rsidRPr="0038644B">
        <w:t xml:space="preserve">The </w:t>
      </w:r>
      <w:r>
        <w:t>CO</w:t>
      </w:r>
      <w:r w:rsidRPr="00C169C4">
        <w:rPr>
          <w:vertAlign w:val="subscript"/>
        </w:rPr>
        <w:t>2</w:t>
      </w:r>
      <w:r w:rsidRPr="0038644B">
        <w:t xml:space="preserve"> emission factor of the power units</w:t>
      </w:r>
      <w:r w:rsidR="00791CF2">
        <w:t> </w:t>
      </w:r>
      <w:r w:rsidR="00B47676" w:rsidRPr="00C169C4">
        <w:rPr>
          <w:i/>
        </w:rPr>
        <w:t>p</w:t>
      </w:r>
      <w:r w:rsidRPr="0038644B">
        <w:t xml:space="preserve"> (</w:t>
      </w:r>
      <w:r w:rsidRPr="00C169C4">
        <w:rPr>
          <w:i/>
        </w:rPr>
        <w:t>EF</w:t>
      </w:r>
      <w:r w:rsidRPr="00C169C4">
        <w:rPr>
          <w:i/>
          <w:vertAlign w:val="subscript"/>
        </w:rPr>
        <w:t>EL,</w:t>
      </w:r>
      <w:r w:rsidR="00B47676" w:rsidRPr="00C169C4">
        <w:rPr>
          <w:i/>
          <w:vertAlign w:val="subscript"/>
        </w:rPr>
        <w:t>p</w:t>
      </w:r>
      <w:r w:rsidRPr="00C169C4">
        <w:rPr>
          <w:i/>
          <w:vertAlign w:val="subscript"/>
        </w:rPr>
        <w:t>,</w:t>
      </w:r>
      <w:r w:rsidR="00A403C4" w:rsidRPr="00C169C4">
        <w:rPr>
          <w:i/>
          <w:vertAlign w:val="subscript"/>
        </w:rPr>
        <w:t>t</w:t>
      </w:r>
      <w:r w:rsidRPr="0038644B">
        <w:t xml:space="preserve">) </w:t>
      </w:r>
      <w:r w:rsidR="00A403C4">
        <w:t>shall</w:t>
      </w:r>
      <w:r w:rsidR="00A403C4" w:rsidRPr="0038644B">
        <w:t xml:space="preserve"> </w:t>
      </w:r>
      <w:r w:rsidRPr="0038644B">
        <w:t xml:space="preserve">be determined </w:t>
      </w:r>
      <w:r w:rsidR="00917A4F">
        <w:t xml:space="preserve">in accordance with </w:t>
      </w:r>
      <w:r w:rsidRPr="0038644B">
        <w:t xml:space="preserve">the </w:t>
      </w:r>
      <w:r w:rsidR="00DD01EB">
        <w:t>provisions</w:t>
      </w:r>
      <w:r w:rsidRPr="0038644B">
        <w:t xml:space="preserve"> </w:t>
      </w:r>
      <w:r w:rsidR="003816F1">
        <w:t xml:space="preserve">of </w:t>
      </w:r>
      <w:r w:rsidR="00DD01EB">
        <w:t xml:space="preserve">section </w:t>
      </w:r>
      <w:r w:rsidR="00643E57">
        <w:fldChar w:fldCharType="begin"/>
      </w:r>
      <w:r w:rsidR="00643E57">
        <w:instrText xml:space="preserve"> REF _Ref216065061 \w \h </w:instrText>
      </w:r>
      <w:r w:rsidR="00643E57">
        <w:fldChar w:fldCharType="separate"/>
      </w:r>
      <w:r w:rsidR="00D811A8">
        <w:rPr>
          <w:cs/>
        </w:rPr>
        <w:t>‎</w:t>
      </w:r>
      <w:r w:rsidR="00D811A8">
        <w:t>5.7.1.2.3</w:t>
      </w:r>
      <w:r w:rsidR="00643E57">
        <w:fldChar w:fldCharType="end"/>
      </w:r>
      <w:r w:rsidRPr="0038644B">
        <w:t>.</w:t>
      </w:r>
    </w:p>
    <w:p w14:paraId="21A3D0BF" w14:textId="6DB01350" w:rsidR="0020084D" w:rsidRPr="001312D2" w:rsidRDefault="0020084D" w:rsidP="00C72647">
      <w:pPr>
        <w:pStyle w:val="SDMPara"/>
        <w:keepNext/>
      </w:pPr>
      <w:r w:rsidRPr="001312D2">
        <w:t>To determine the set of power units</w:t>
      </w:r>
      <w:r w:rsidR="00791CF2" w:rsidRPr="001312D2">
        <w:t> </w:t>
      </w:r>
      <w:r w:rsidR="004B092F">
        <w:rPr>
          <w:i/>
        </w:rPr>
        <w:t>p</w:t>
      </w:r>
      <w:r w:rsidRPr="001312D2">
        <w:t xml:space="preserve">, </w:t>
      </w:r>
      <w:r w:rsidR="00186F24">
        <w:t xml:space="preserve">activity participants </w:t>
      </w:r>
      <w:r w:rsidR="00D1651C">
        <w:t xml:space="preserve">shall </w:t>
      </w:r>
      <w:r w:rsidRPr="001312D2">
        <w:t xml:space="preserve">obtain from </w:t>
      </w:r>
      <w:r w:rsidR="00C27BEC" w:rsidRPr="001312D2">
        <w:t xml:space="preserve">the </w:t>
      </w:r>
      <w:r w:rsidR="00D1651C">
        <w:t>relevant</w:t>
      </w:r>
      <w:r w:rsidR="00D1651C" w:rsidRPr="001312D2">
        <w:t xml:space="preserve"> </w:t>
      </w:r>
      <w:r w:rsidRPr="001312D2">
        <w:t>dispatch centre:</w:t>
      </w:r>
    </w:p>
    <w:p w14:paraId="248BF9A5" w14:textId="16E1E5C4" w:rsidR="0020084D" w:rsidRPr="0038644B" w:rsidRDefault="0020084D">
      <w:pPr>
        <w:pStyle w:val="SDMSubPara1"/>
      </w:pPr>
      <w:r w:rsidRPr="0038644B">
        <w:t xml:space="preserve">The </w:t>
      </w:r>
      <w:r w:rsidR="00C27BEC">
        <w:t>electricity</w:t>
      </w:r>
      <w:r w:rsidR="00C27BEC" w:rsidRPr="0038644B">
        <w:t xml:space="preserve"> </w:t>
      </w:r>
      <w:r w:rsidRPr="0038644B">
        <w:t xml:space="preserve">system dispatch order of operation for each power unit </w:t>
      </w:r>
      <w:r w:rsidR="00AA69E2">
        <w:t>in</w:t>
      </w:r>
      <w:r w:rsidR="00AA69E2" w:rsidRPr="0038644B">
        <w:t xml:space="preserve"> </w:t>
      </w:r>
      <w:r w:rsidRPr="0038644B">
        <w:t xml:space="preserve">the </w:t>
      </w:r>
      <w:r w:rsidR="00C27BEC">
        <w:t xml:space="preserve">electricity </w:t>
      </w:r>
      <w:r w:rsidRPr="0038644B">
        <w:t>system</w:t>
      </w:r>
      <w:r w:rsidR="00AA69E2">
        <w:t>,</w:t>
      </w:r>
      <w:r w:rsidRPr="0038644B">
        <w:t xml:space="preserve"> including power units from which electricity is imported; and</w:t>
      </w:r>
    </w:p>
    <w:p w14:paraId="28F4E2A5" w14:textId="43F9E98A" w:rsidR="0020084D" w:rsidRPr="0038644B" w:rsidRDefault="0020084D">
      <w:pPr>
        <w:pStyle w:val="SDMSubPara1"/>
      </w:pPr>
      <w:r w:rsidRPr="0038644B">
        <w:t xml:space="preserve">The amount of </w:t>
      </w:r>
      <w:r w:rsidR="00177945">
        <w:t>electricity</w:t>
      </w:r>
      <w:r w:rsidR="00177945" w:rsidRPr="0038644B">
        <w:t xml:space="preserve"> </w:t>
      </w:r>
      <w:r w:rsidRPr="0038644B">
        <w:t xml:space="preserve">(MWh) dispatched from all power units </w:t>
      </w:r>
      <w:r w:rsidR="006C5E1E">
        <w:t xml:space="preserve">connected to </w:t>
      </w:r>
      <w:r w:rsidRPr="0038644B">
        <w:t xml:space="preserve">the </w:t>
      </w:r>
      <w:r w:rsidR="00433ECF">
        <w:t xml:space="preserve">electricity </w:t>
      </w:r>
      <w:r w:rsidRPr="0038644B">
        <w:t>system during each hour</w:t>
      </w:r>
      <w:r w:rsidR="00FB78DB">
        <w:t> </w:t>
      </w:r>
      <w:r w:rsidRPr="0038644B">
        <w:rPr>
          <w:i/>
        </w:rPr>
        <w:t>h</w:t>
      </w:r>
      <w:r w:rsidRPr="0038644B">
        <w:t xml:space="preserve"> </w:t>
      </w:r>
      <w:r w:rsidR="00AA69E2">
        <w:t>in which</w:t>
      </w:r>
      <w:r w:rsidR="00AA69E2" w:rsidRPr="0038644B">
        <w:t xml:space="preserve"> </w:t>
      </w:r>
      <w:r w:rsidRPr="0038644B">
        <w:t>the project activity is displacing</w:t>
      </w:r>
      <w:r w:rsidR="00177945">
        <w:t xml:space="preserve"> or </w:t>
      </w:r>
      <w:r>
        <w:t>consuming</w:t>
      </w:r>
      <w:r w:rsidRPr="0038644B">
        <w:t xml:space="preserve"> electricity.</w:t>
      </w:r>
    </w:p>
    <w:p w14:paraId="55A79427" w14:textId="4E7164E9" w:rsidR="00FF70B5" w:rsidRPr="001F15A4" w:rsidRDefault="00177945">
      <w:pPr>
        <w:pStyle w:val="SDMPara"/>
      </w:pPr>
      <w:r>
        <w:t>For</w:t>
      </w:r>
      <w:r w:rsidRPr="001312D2">
        <w:t xml:space="preserve"> </w:t>
      </w:r>
      <w:r w:rsidR="005A2F68" w:rsidRPr="001312D2">
        <w:t>each hour</w:t>
      </w:r>
      <w:r w:rsidR="000E2B98">
        <w:t> </w:t>
      </w:r>
      <w:r w:rsidR="005A2F68" w:rsidRPr="001312D2">
        <w:rPr>
          <w:i/>
          <w:iCs/>
        </w:rPr>
        <w:t>h</w:t>
      </w:r>
      <w:r w:rsidR="005A2F68" w:rsidRPr="001312D2">
        <w:t xml:space="preserve">, </w:t>
      </w:r>
      <w:r>
        <w:t xml:space="preserve">activity participants shall </w:t>
      </w:r>
      <w:r w:rsidR="005A2F68" w:rsidRPr="001312D2">
        <w:t xml:space="preserve">stack </w:t>
      </w:r>
      <w:r w:rsidR="00F63810">
        <w:t xml:space="preserve">electricity generation from </w:t>
      </w:r>
      <w:r w:rsidR="005A2F68" w:rsidRPr="001312D2">
        <w:t>each power unit</w:t>
      </w:r>
      <w:r w:rsidR="00F63810">
        <w:t xml:space="preserve"> </w:t>
      </w:r>
      <w:r w:rsidR="00DE6EC0">
        <w:t xml:space="preserve">in accordance </w:t>
      </w:r>
      <w:r w:rsidR="00F63810">
        <w:t xml:space="preserve">with </w:t>
      </w:r>
      <w:r w:rsidR="005A2F68" w:rsidRPr="001312D2">
        <w:t xml:space="preserve">the </w:t>
      </w:r>
      <w:r w:rsidR="00EC3B32" w:rsidRPr="001312D2">
        <w:t xml:space="preserve">dispatch </w:t>
      </w:r>
      <w:r w:rsidR="005A2F68" w:rsidRPr="001312D2">
        <w:t xml:space="preserve">order. </w:t>
      </w:r>
      <w:r w:rsidR="0005471E" w:rsidRPr="001312D2">
        <w:t>T</w:t>
      </w:r>
      <w:r w:rsidR="21CE8287" w:rsidRPr="001312D2">
        <w:t>he group of power units</w:t>
      </w:r>
      <w:r w:rsidR="000E2B98">
        <w:t> </w:t>
      </w:r>
      <w:r w:rsidR="00670C63">
        <w:rPr>
          <w:i/>
          <w:iCs/>
        </w:rPr>
        <w:t>p</w:t>
      </w:r>
      <w:r w:rsidR="00670C63">
        <w:t xml:space="preserve"> </w:t>
      </w:r>
      <w:r w:rsidR="00DE6EC0">
        <w:t>at</w:t>
      </w:r>
      <w:r w:rsidR="00DE6EC0" w:rsidRPr="001312D2">
        <w:t xml:space="preserve"> </w:t>
      </w:r>
      <w:r w:rsidR="21CE8287" w:rsidRPr="001312D2">
        <w:t xml:space="preserve">the margin </w:t>
      </w:r>
      <w:r w:rsidR="00DE6EC0">
        <w:t xml:space="preserve">shall </w:t>
      </w:r>
      <w:r w:rsidR="00107694">
        <w:t>comprise</w:t>
      </w:r>
      <w:r w:rsidR="21CE8287" w:rsidRPr="001312D2">
        <w:t xml:space="preserve"> the units </w:t>
      </w:r>
      <w:r w:rsidR="00DE6EC0">
        <w:t xml:space="preserve">accounting for </w:t>
      </w:r>
      <w:r w:rsidR="21CE8287" w:rsidRPr="001312D2">
        <w:t xml:space="preserve">the top </w:t>
      </w:r>
      <w:r w:rsidR="21CE8287" w:rsidRPr="00022348">
        <w:rPr>
          <w:b/>
          <w:bCs/>
          <w:i/>
          <w:iCs/>
        </w:rPr>
        <w:t>x</w:t>
      </w:r>
      <w:r w:rsidR="000E2B98">
        <w:t> </w:t>
      </w:r>
      <w:r w:rsidR="21CE8287" w:rsidRPr="001312D2">
        <w:t>per cent of</w:t>
      </w:r>
      <w:r w:rsidR="008513BE" w:rsidRPr="001312D2">
        <w:t xml:space="preserve"> the</w:t>
      </w:r>
      <w:r w:rsidR="21CE8287" w:rsidRPr="001312D2">
        <w:t xml:space="preserve"> total electricity dispatched </w:t>
      </w:r>
      <w:r w:rsidR="008D00A2">
        <w:t>during</w:t>
      </w:r>
      <w:r w:rsidR="21CE8287" w:rsidRPr="001312D2">
        <w:t xml:space="preserve"> hour</w:t>
      </w:r>
      <w:r w:rsidR="00791CF2" w:rsidRPr="001312D2">
        <w:t> </w:t>
      </w:r>
      <w:r w:rsidR="21CE8287" w:rsidRPr="001312D2">
        <w:rPr>
          <w:i/>
          <w:iCs/>
        </w:rPr>
        <w:t>h</w:t>
      </w:r>
      <w:r w:rsidR="008D00A2">
        <w:rPr>
          <w:i/>
          <w:iCs/>
        </w:rPr>
        <w:t>;</w:t>
      </w:r>
      <w:r w:rsidR="007566A1" w:rsidRPr="001312D2">
        <w:t xml:space="preserve"> i.e</w:t>
      </w:r>
      <w:r w:rsidR="007566A1">
        <w:t>.</w:t>
      </w:r>
      <w:r w:rsidR="67474218">
        <w:t>,</w:t>
      </w:r>
      <w:r w:rsidR="007566A1" w:rsidRPr="001312D2">
        <w:t xml:space="preserve"> the power units dispatched last </w:t>
      </w:r>
      <w:r w:rsidR="00D30BA5" w:rsidRPr="001312D2">
        <w:t>within the dispatch order</w:t>
      </w:r>
      <w:r w:rsidR="0020084D" w:rsidRPr="001312D2">
        <w:rPr>
          <w:i/>
          <w:iCs/>
        </w:rPr>
        <w:t>.</w:t>
      </w:r>
    </w:p>
    <w:p w14:paraId="18EB8F8F" w14:textId="4197754A" w:rsidR="0020084D" w:rsidRDefault="0020084D" w:rsidP="00C72647">
      <w:pPr>
        <w:pStyle w:val="SDMPara"/>
        <w:keepNext/>
      </w:pPr>
      <w:r>
        <w:t>The</w:t>
      </w:r>
      <w:r w:rsidDel="00022348">
        <w:t xml:space="preserve"> </w:t>
      </w:r>
      <w:r w:rsidR="00022348">
        <w:t xml:space="preserve">value </w:t>
      </w:r>
      <w:r>
        <w:t xml:space="preserve">of </w:t>
      </w:r>
      <w:r w:rsidRPr="00022348">
        <w:rPr>
          <w:b/>
          <w:bCs/>
        </w:rPr>
        <w:t>x</w:t>
      </w:r>
      <w:r>
        <w:t xml:space="preserve"> shall be equal to the greater of:</w:t>
      </w:r>
    </w:p>
    <w:p w14:paraId="1FEF304D" w14:textId="658A8026" w:rsidR="0020084D" w:rsidRPr="0038644B" w:rsidRDefault="0020084D">
      <w:pPr>
        <w:pStyle w:val="SDMSubPara1"/>
      </w:pPr>
      <w:r w:rsidRPr="00A860A0">
        <w:t xml:space="preserve">10 per </w:t>
      </w:r>
      <w:r>
        <w:t>cent</w:t>
      </w:r>
      <w:r w:rsidR="006449B6" w:rsidRPr="00A860A0">
        <w:t>,</w:t>
      </w:r>
      <w:r w:rsidR="006449B6">
        <w:t xml:space="preserve"> where,</w:t>
      </w:r>
      <w:r>
        <w:t xml:space="preserve"> if 10 per cent falls on part of the generation of a </w:t>
      </w:r>
      <w:r w:rsidR="00437443">
        <w:t xml:space="preserve">power </w:t>
      </w:r>
      <w:r>
        <w:t xml:space="preserve">unit, the generation of that </w:t>
      </w:r>
      <w:r w:rsidR="00437443">
        <w:t xml:space="preserve">power </w:t>
      </w:r>
      <w:r>
        <w:t>unit is fully included in the calculation; or</w:t>
      </w:r>
    </w:p>
    <w:p w14:paraId="361CBB29" w14:textId="7CB21B9D" w:rsidR="00C01CD8" w:rsidRPr="002F7E74" w:rsidRDefault="0020084D">
      <w:pPr>
        <w:pStyle w:val="SDMSubPara1"/>
      </w:pPr>
      <w:r>
        <w:t>The quantity of electricity displaced</w:t>
      </w:r>
      <w:r w:rsidR="00437443">
        <w:t xml:space="preserve"> or </w:t>
      </w:r>
      <w:r>
        <w:t xml:space="preserve">consumed by the </w:t>
      </w:r>
      <w:r w:rsidR="002F7E74">
        <w:t xml:space="preserve">Article 6.4 </w:t>
      </w:r>
      <w:r>
        <w:t>activity during hour</w:t>
      </w:r>
      <w:r w:rsidR="000E2B98">
        <w:t> </w:t>
      </w:r>
      <w:r w:rsidRPr="22B3CC27">
        <w:rPr>
          <w:i/>
          <w:iCs/>
        </w:rPr>
        <w:t>h</w:t>
      </w:r>
      <w:r w:rsidR="00E242F5">
        <w:rPr>
          <w:i/>
          <w:iCs/>
        </w:rPr>
        <w:t>,</w:t>
      </w:r>
      <w:r>
        <w:t xml:space="preserve"> divided by the total electricity generation by </w:t>
      </w:r>
      <w:r w:rsidR="002F7E74">
        <w:t xml:space="preserve">all </w:t>
      </w:r>
      <w:r>
        <w:t xml:space="preserve">power </w:t>
      </w:r>
      <w:r w:rsidR="00136964">
        <w:t>units</w:t>
      </w:r>
      <w:r>
        <w:t xml:space="preserve"> </w:t>
      </w:r>
      <w:r w:rsidR="002F7E74">
        <w:t xml:space="preserve">in the electricity system </w:t>
      </w:r>
      <w:r>
        <w:t>during that hour.</w:t>
      </w:r>
    </w:p>
    <w:p w14:paraId="0744EEC9" w14:textId="77777777" w:rsidR="00D54AE9" w:rsidRDefault="00D54AE9">
      <w:pPr>
        <w:pStyle w:val="SDMHead5"/>
        <w:rPr>
          <w:b w:val="0"/>
        </w:rPr>
      </w:pPr>
      <w:bookmarkStart w:id="491" w:name="_Ref215683293"/>
      <w:r w:rsidRPr="00791CF2">
        <w:rPr>
          <w:lang w:eastAsia="zh-CN"/>
        </w:rPr>
        <w:t>Method</w:t>
      </w:r>
      <w:r w:rsidRPr="00C43F5F">
        <w:t xml:space="preserve"> </w:t>
      </w:r>
      <w:r w:rsidR="00A07847">
        <w:t>(</w:t>
      </w:r>
      <w:r w:rsidRPr="00C43F5F">
        <w:rPr>
          <w:lang w:eastAsia="zh-CN"/>
        </w:rPr>
        <w:t>b</w:t>
      </w:r>
      <w:r w:rsidRPr="00C43F5F">
        <w:t>): Simple OM</w:t>
      </w:r>
      <w:bookmarkEnd w:id="491"/>
    </w:p>
    <w:p w14:paraId="7A895528" w14:textId="5CAB02BD" w:rsidR="00484A39" w:rsidRPr="00EB49F7" w:rsidRDefault="00630B0E">
      <w:pPr>
        <w:pStyle w:val="SDMPara"/>
      </w:pPr>
      <w:r w:rsidRPr="00EB49F7">
        <w:t>The simple OM emission factor (</w:t>
      </w:r>
      <w:r w:rsidRPr="00EB49F7">
        <w:rPr>
          <w:i/>
          <w:iCs/>
        </w:rPr>
        <w:t>EF</w:t>
      </w:r>
      <w:r w:rsidR="00EB49F7">
        <w:rPr>
          <w:i/>
          <w:iCs/>
          <w:vertAlign w:val="subscript"/>
        </w:rPr>
        <w:t>OM</w:t>
      </w:r>
      <w:r w:rsidRPr="00EB49F7">
        <w:rPr>
          <w:i/>
          <w:iCs/>
          <w:vertAlign w:val="subscript"/>
        </w:rPr>
        <w:t>,</w:t>
      </w:r>
      <w:r w:rsidR="00470A11" w:rsidRPr="00EB49F7">
        <w:rPr>
          <w:i/>
          <w:iCs/>
          <w:vertAlign w:val="subscript"/>
        </w:rPr>
        <w:t>simple</w:t>
      </w:r>
      <w:r w:rsidRPr="00EB49F7">
        <w:rPr>
          <w:i/>
          <w:iCs/>
          <w:vertAlign w:val="subscript"/>
        </w:rPr>
        <w:t>,</w:t>
      </w:r>
      <w:r w:rsidR="00217C2F">
        <w:rPr>
          <w:i/>
          <w:iCs/>
          <w:vertAlign w:val="subscript"/>
        </w:rPr>
        <w:t>y</w:t>
      </w:r>
      <w:r w:rsidRPr="00EB49F7">
        <w:t xml:space="preserve">) </w:t>
      </w:r>
      <w:r w:rsidR="006F58FC">
        <w:t>shall be</w:t>
      </w:r>
      <w:r w:rsidR="00E215B0" w:rsidRPr="00EB49F7">
        <w:t xml:space="preserve"> </w:t>
      </w:r>
      <w:r w:rsidRPr="00EB49F7">
        <w:t xml:space="preserve">determined </w:t>
      </w:r>
      <w:r w:rsidR="00200896" w:rsidRPr="00EB49F7">
        <w:t xml:space="preserve">as </w:t>
      </w:r>
      <w:r w:rsidR="00B53A2F" w:rsidRPr="00EB49F7">
        <w:t xml:space="preserve">the </w:t>
      </w:r>
      <w:r w:rsidR="00560CCC" w:rsidRPr="00EB49F7">
        <w:t>generation-</w:t>
      </w:r>
      <w:r w:rsidR="00200896" w:rsidRPr="00EB49F7">
        <w:t xml:space="preserve">weighted average </w:t>
      </w:r>
      <w:r w:rsidR="00855063" w:rsidRPr="00EB49F7">
        <w:rPr>
          <w:lang w:val="en-US"/>
        </w:rPr>
        <w:t>CO</w:t>
      </w:r>
      <w:r w:rsidR="00855063" w:rsidRPr="00EB49F7">
        <w:rPr>
          <w:vertAlign w:val="subscript"/>
          <w:lang w:val="en-US"/>
        </w:rPr>
        <w:t>2</w:t>
      </w:r>
      <w:r w:rsidR="00855063" w:rsidRPr="00EB49F7">
        <w:t xml:space="preserve"> </w:t>
      </w:r>
      <w:r w:rsidR="00200896" w:rsidRPr="00EB49F7">
        <w:t xml:space="preserve">emission factor </w:t>
      </w:r>
      <w:r w:rsidR="00BC4E58" w:rsidRPr="00EB49F7">
        <w:t>per unit of net electricity generation</w:t>
      </w:r>
      <w:r w:rsidR="00D94D39" w:rsidRPr="00EB49F7">
        <w:t xml:space="preserve"> from a</w:t>
      </w:r>
      <w:r w:rsidR="00EA1871" w:rsidRPr="00EB49F7">
        <w:t xml:space="preserve">ll </w:t>
      </w:r>
      <w:r w:rsidRPr="00EB49F7">
        <w:t xml:space="preserve">power units </w:t>
      </w:r>
      <w:r w:rsidR="00AB6DBE">
        <w:t>serving</w:t>
      </w:r>
      <w:r w:rsidR="00AB6DBE" w:rsidRPr="00EB49F7">
        <w:t xml:space="preserve"> </w:t>
      </w:r>
      <w:r w:rsidRPr="00EB49F7">
        <w:t xml:space="preserve">the electricity system that are </w:t>
      </w:r>
      <w:r w:rsidR="00200896" w:rsidRPr="00EB49F7">
        <w:t xml:space="preserve">not </w:t>
      </w:r>
      <w:r w:rsidR="00AB774F">
        <w:t>designated</w:t>
      </w:r>
      <w:r w:rsidR="00AB774F" w:rsidRPr="00EB49F7">
        <w:t xml:space="preserve"> </w:t>
      </w:r>
      <w:r w:rsidR="00200896" w:rsidRPr="00EB49F7">
        <w:t>as must-run power units.</w:t>
      </w:r>
    </w:p>
    <w:p w14:paraId="0194CBF5" w14:textId="5788D650" w:rsidR="00A00FBA" w:rsidRPr="001312D2" w:rsidRDefault="00A00FBA" w:rsidP="00C72647">
      <w:pPr>
        <w:pStyle w:val="SDMPara"/>
        <w:keepNext/>
      </w:pPr>
      <w:bookmarkStart w:id="492" w:name="_Ref215683358"/>
      <w:bookmarkStart w:id="493" w:name="_Ref221037558"/>
      <w:r w:rsidRPr="001312D2">
        <w:t xml:space="preserve">The simple OM </w:t>
      </w:r>
      <w:r w:rsidR="002459C2">
        <w:t>emission factor</w:t>
      </w:r>
      <w:r w:rsidRPr="001312D2">
        <w:t xml:space="preserve"> </w:t>
      </w:r>
      <w:r w:rsidR="0084671B">
        <w:t>shall</w:t>
      </w:r>
      <w:r w:rsidR="0084671B" w:rsidRPr="001312D2">
        <w:t xml:space="preserve"> </w:t>
      </w:r>
      <w:r w:rsidRPr="001312D2">
        <w:t xml:space="preserve">be applied </w:t>
      </w:r>
      <w:r w:rsidR="006D185E">
        <w:t xml:space="preserve">only </w:t>
      </w:r>
      <w:r w:rsidRPr="001312D2">
        <w:t xml:space="preserve">where the </w:t>
      </w:r>
      <w:r w:rsidR="00200896" w:rsidRPr="001312D2">
        <w:t xml:space="preserve">necessary </w:t>
      </w:r>
      <w:r w:rsidRPr="001312D2">
        <w:t xml:space="preserve">data </w:t>
      </w:r>
      <w:r w:rsidR="006D185E">
        <w:t>are</w:t>
      </w:r>
      <w:r w:rsidR="006D185E" w:rsidRPr="001312D2">
        <w:t xml:space="preserve"> </w:t>
      </w:r>
      <w:r w:rsidRPr="001312D2">
        <w:t xml:space="preserve">available. </w:t>
      </w:r>
      <w:r w:rsidR="00B532D2">
        <w:t xml:space="preserve">It may be applied </w:t>
      </w:r>
      <w:r w:rsidR="00C76109">
        <w:t xml:space="preserve">to any </w:t>
      </w:r>
      <w:r w:rsidR="00444800">
        <w:t xml:space="preserve">type of </w:t>
      </w:r>
      <w:r w:rsidR="00C76109">
        <w:t>electricity generation or consumption source</w:t>
      </w:r>
      <w:r w:rsidR="006D185E">
        <w:t>,</w:t>
      </w:r>
      <w:r w:rsidR="004A38C4">
        <w:t xml:space="preserve"> including</w:t>
      </w:r>
      <w:r w:rsidR="00434D0B" w:rsidDel="00E01BDB">
        <w:t xml:space="preserve"> </w:t>
      </w:r>
      <w:r w:rsidR="00434D0B">
        <w:t xml:space="preserve">intermittent </w:t>
      </w:r>
      <w:r w:rsidR="003D08CB">
        <w:t xml:space="preserve">and non-intermittent </w:t>
      </w:r>
      <w:r w:rsidR="00434D0B">
        <w:t xml:space="preserve">electricity generation sources and electricity consumption sources depending </w:t>
      </w:r>
      <w:r w:rsidR="00E01BDB">
        <w:t xml:space="preserve">on, </w:t>
      </w:r>
      <w:r w:rsidR="003D08CB">
        <w:t xml:space="preserve">or not depending </w:t>
      </w:r>
      <w:r w:rsidR="00434D0B">
        <w:t>on</w:t>
      </w:r>
      <w:r w:rsidR="00E01BDB">
        <w:t>,</w:t>
      </w:r>
      <w:r w:rsidR="00434D0B">
        <w:t xml:space="preserve"> intermittent generation</w:t>
      </w:r>
      <w:r w:rsidR="00B532D2">
        <w:t>.</w:t>
      </w:r>
      <w:r w:rsidR="00B532D2" w:rsidRPr="001312D2">
        <w:t xml:space="preserve"> </w:t>
      </w:r>
      <w:r w:rsidRPr="001312D2">
        <w:t>In addition</w:t>
      </w:r>
      <w:r w:rsidR="00F20358" w:rsidRPr="001312D2">
        <w:t>,</w:t>
      </w:r>
      <w:r w:rsidRPr="001312D2">
        <w:t xml:space="preserve"> the </w:t>
      </w:r>
      <w:r w:rsidR="00F20358" w:rsidRPr="001312D2">
        <w:t xml:space="preserve">conditions </w:t>
      </w:r>
      <w:r w:rsidR="00541777">
        <w:t xml:space="preserve">below </w:t>
      </w:r>
      <w:r w:rsidRPr="001312D2">
        <w:t>appl</w:t>
      </w:r>
      <w:r w:rsidR="00F20358" w:rsidRPr="001312D2">
        <w:t>y</w:t>
      </w:r>
      <w:r w:rsidRPr="001312D2">
        <w:t xml:space="preserve"> for </w:t>
      </w:r>
      <w:r w:rsidR="00E01BDB" w:rsidRPr="00E01BDB">
        <w:rPr>
          <w:b/>
          <w:bCs/>
        </w:rPr>
        <w:t>case</w:t>
      </w:r>
      <w:r w:rsidR="006043FA">
        <w:rPr>
          <w:b/>
          <w:bCs/>
        </w:rPr>
        <w:t> </w:t>
      </w:r>
      <w:r w:rsidR="00C874CF" w:rsidRPr="00E01BDB">
        <w:rPr>
          <w:b/>
          <w:bCs/>
        </w:rPr>
        <w:t>1</w:t>
      </w:r>
      <w:r w:rsidR="00C874CF">
        <w:t xml:space="preserve"> and </w:t>
      </w:r>
      <w:r w:rsidR="00E01BDB" w:rsidRPr="00E01BDB">
        <w:rPr>
          <w:b/>
          <w:bCs/>
        </w:rPr>
        <w:t>case</w:t>
      </w:r>
      <w:r w:rsidR="006043FA">
        <w:rPr>
          <w:b/>
          <w:bCs/>
        </w:rPr>
        <w:t> </w:t>
      </w:r>
      <w:r w:rsidR="00C874CF" w:rsidRPr="00E01BDB">
        <w:rPr>
          <w:b/>
          <w:bCs/>
        </w:rPr>
        <w:t>2</w:t>
      </w:r>
      <w:bookmarkEnd w:id="492"/>
      <w:r w:rsidRPr="001312D2">
        <w:t>:</w:t>
      </w:r>
      <w:bookmarkEnd w:id="493"/>
    </w:p>
    <w:p w14:paraId="44612330" w14:textId="6ACCDAB4" w:rsidR="213E22FB" w:rsidRDefault="213E22FB">
      <w:pPr>
        <w:pStyle w:val="SDMSubPara1"/>
      </w:pPr>
      <w:r>
        <w:t>For</w:t>
      </w:r>
      <w:r w:rsidDel="00E01BDB">
        <w:t xml:space="preserve"> </w:t>
      </w:r>
      <w:r w:rsidR="00E01BDB" w:rsidRPr="00B546D8">
        <w:rPr>
          <w:b/>
          <w:bCs/>
        </w:rPr>
        <w:t>case</w:t>
      </w:r>
      <w:r w:rsidR="000E2B98">
        <w:rPr>
          <w:b/>
          <w:bCs/>
        </w:rPr>
        <w:t> </w:t>
      </w:r>
      <w:r w:rsidRPr="00B546D8">
        <w:rPr>
          <w:b/>
          <w:bCs/>
        </w:rPr>
        <w:t>1</w:t>
      </w:r>
      <w:r>
        <w:t>, no further conditions apply</w:t>
      </w:r>
      <w:r w:rsidR="00E01BDB">
        <w:t>; and</w:t>
      </w:r>
    </w:p>
    <w:p w14:paraId="5D8FB038" w14:textId="2F45A1C9" w:rsidR="001916A9" w:rsidRDefault="00DB37FB" w:rsidP="00C72647">
      <w:pPr>
        <w:pStyle w:val="SDMSubPara1"/>
        <w:keepNext/>
      </w:pPr>
      <w:r>
        <w:t xml:space="preserve">For </w:t>
      </w:r>
      <w:r w:rsidR="00E01BDB" w:rsidRPr="00B546D8">
        <w:rPr>
          <w:b/>
          <w:bCs/>
        </w:rPr>
        <w:t>case</w:t>
      </w:r>
      <w:r w:rsidR="009D679E">
        <w:rPr>
          <w:b/>
          <w:bCs/>
        </w:rPr>
        <w:t> </w:t>
      </w:r>
      <w:r w:rsidR="00C17CCC" w:rsidRPr="00B546D8">
        <w:rPr>
          <w:b/>
          <w:bCs/>
        </w:rPr>
        <w:t>2</w:t>
      </w:r>
      <w:r w:rsidR="00C17CCC" w:rsidRPr="001312D2">
        <w:t>, t</w:t>
      </w:r>
      <w:r w:rsidR="009226BA" w:rsidRPr="001312D2">
        <w:t xml:space="preserve">he simple OM </w:t>
      </w:r>
      <w:r w:rsidR="004C0881" w:rsidRPr="001312D2">
        <w:t xml:space="preserve">shall </w:t>
      </w:r>
      <w:r w:rsidR="00EA180A" w:rsidRPr="001312D2">
        <w:t xml:space="preserve">be applied </w:t>
      </w:r>
      <w:r w:rsidR="00B546D8">
        <w:t xml:space="preserve">only </w:t>
      </w:r>
      <w:r w:rsidR="00C17CCC" w:rsidRPr="001312D2">
        <w:t>if</w:t>
      </w:r>
      <w:r w:rsidR="00B546D8">
        <w:t xml:space="preserve"> one of the following conditions is met</w:t>
      </w:r>
      <w:r w:rsidR="00D14697">
        <w:t>:</w:t>
      </w:r>
    </w:p>
    <w:p w14:paraId="0B5988CF" w14:textId="18BE2375" w:rsidR="0052508E" w:rsidRDefault="00B27B2A" w:rsidP="00C72647">
      <w:pPr>
        <w:pStyle w:val="SDMSubPara2"/>
        <w:keepNext/>
      </w:pPr>
      <w:r>
        <w:t xml:space="preserve">The number of hours in </w:t>
      </w:r>
      <w:r w:rsidR="00280AB5">
        <w:t>a calendar year</w:t>
      </w:r>
      <w:r>
        <w:t xml:space="preserve"> in which </w:t>
      </w:r>
      <w:r w:rsidR="004F2A85">
        <w:t>at least one</w:t>
      </w:r>
      <w:r w:rsidR="0052508E">
        <w:t xml:space="preserve"> of the following two conditions apply</w:t>
      </w:r>
      <w:r w:rsidR="00DD5833">
        <w:t xml:space="preserve"> is smaller than 100</w:t>
      </w:r>
      <w:r w:rsidR="0052508E">
        <w:t>:</w:t>
      </w:r>
    </w:p>
    <w:p w14:paraId="2197FC03" w14:textId="2EA1DF26" w:rsidR="0052508E" w:rsidRDefault="00165632">
      <w:pPr>
        <w:pStyle w:val="SDMSubPara3"/>
        <w:ind w:left="2721" w:hanging="595"/>
      </w:pPr>
      <w:r>
        <w:t xml:space="preserve">renewable electricity generation </w:t>
      </w:r>
      <w:r w:rsidR="00962D04">
        <w:t xml:space="preserve">is curtailed </w:t>
      </w:r>
      <w:r w:rsidR="0041130E">
        <w:t xml:space="preserve">because </w:t>
      </w:r>
      <w:r w:rsidR="00226F02" w:rsidRPr="00226F02">
        <w:t>available output exceed</w:t>
      </w:r>
      <w:r w:rsidR="001B7234">
        <w:t>s</w:t>
      </w:r>
      <w:r w:rsidR="00226F02" w:rsidRPr="00226F02">
        <w:t xml:space="preserve"> what the electricity system could absorb</w:t>
      </w:r>
      <w:r w:rsidR="00511431">
        <w:rPr>
          <w:rStyle w:val="FootnoteReference"/>
        </w:rPr>
        <w:footnoteReference w:id="17"/>
      </w:r>
      <w:r w:rsidR="0052508E">
        <w:t>;</w:t>
      </w:r>
      <w:r w:rsidR="00C11491">
        <w:t xml:space="preserve"> </w:t>
      </w:r>
      <w:r w:rsidR="0052508E">
        <w:t>or</w:t>
      </w:r>
    </w:p>
    <w:p w14:paraId="6C683A18" w14:textId="1FDAA27B" w:rsidR="003103FB" w:rsidRPr="004D0AE8" w:rsidRDefault="0052508E">
      <w:pPr>
        <w:pStyle w:val="SDMSubPara3"/>
      </w:pPr>
      <w:r>
        <w:t>th</w:t>
      </w:r>
      <w:r w:rsidR="00C11491" w:rsidRPr="001312D2">
        <w:t xml:space="preserve">e electricity system operates solely based </w:t>
      </w:r>
      <w:r w:rsidR="00C11491">
        <w:t xml:space="preserve">on </w:t>
      </w:r>
      <w:r w:rsidR="00C11491" w:rsidRPr="001312D2">
        <w:t>renewable, nuclear, and/or storage power units</w:t>
      </w:r>
      <w:r w:rsidR="00A00FBA" w:rsidRPr="004D0AE8">
        <w:t>;</w:t>
      </w:r>
      <w:r w:rsidR="001916A9" w:rsidRPr="004D0AE8">
        <w:t xml:space="preserve"> or</w:t>
      </w:r>
    </w:p>
    <w:p w14:paraId="75899E2E" w14:textId="6CD7C0CC" w:rsidR="001916A9" w:rsidRPr="004D0AE8" w:rsidRDefault="00D14697">
      <w:pPr>
        <w:pStyle w:val="SDMSubPara2"/>
      </w:pPr>
      <w:r w:rsidRPr="004D0AE8">
        <w:t>T</w:t>
      </w:r>
      <w:r w:rsidR="001916A9" w:rsidRPr="004D0AE8">
        <w:t xml:space="preserve">he share of </w:t>
      </w:r>
      <w:r w:rsidR="00F84D5D" w:rsidRPr="004D0AE8">
        <w:t xml:space="preserve">electricity generation </w:t>
      </w:r>
      <w:r w:rsidR="004A38C4" w:rsidRPr="004D0AE8">
        <w:t xml:space="preserve">from renewable and nuclear </w:t>
      </w:r>
      <w:r w:rsidR="00667554" w:rsidRPr="004D0AE8">
        <w:t xml:space="preserve">power </w:t>
      </w:r>
      <w:r w:rsidR="00136964" w:rsidRPr="004D0AE8">
        <w:t>units</w:t>
      </w:r>
      <w:r w:rsidR="00667554" w:rsidRPr="004D0AE8">
        <w:t xml:space="preserve"> </w:t>
      </w:r>
      <w:r w:rsidR="00F84D5D" w:rsidRPr="004D0AE8">
        <w:t>in the relevant period </w:t>
      </w:r>
      <w:r w:rsidR="00F84D5D" w:rsidRPr="004D0AE8">
        <w:rPr>
          <w:i/>
          <w:iCs/>
        </w:rPr>
        <w:t>t</w:t>
      </w:r>
      <w:r w:rsidR="00F84D5D" w:rsidRPr="004D0AE8">
        <w:t xml:space="preserve"> </w:t>
      </w:r>
      <w:r w:rsidR="00B07B15" w:rsidRPr="004D0AE8">
        <w:t>does not exceed</w:t>
      </w:r>
      <w:r w:rsidR="00667554" w:rsidRPr="004D0AE8">
        <w:t xml:space="preserve"> </w:t>
      </w:r>
      <w:r w:rsidR="00112075">
        <w:t>30</w:t>
      </w:r>
      <w:r w:rsidR="0045644E">
        <w:t> </w:t>
      </w:r>
      <w:r w:rsidR="00B55542" w:rsidRPr="00A860A0">
        <w:t>per cent</w:t>
      </w:r>
      <w:r w:rsidR="00D5077E" w:rsidRPr="004D0AE8">
        <w:t>.</w:t>
      </w:r>
      <w:r w:rsidR="00511431">
        <w:rPr>
          <w:rStyle w:val="FootnoteReference"/>
        </w:rPr>
        <w:footnoteReference w:id="18"/>
      </w:r>
    </w:p>
    <w:p w14:paraId="3B864778" w14:textId="4BCE6A8A" w:rsidR="00D85375" w:rsidRPr="00D85375" w:rsidRDefault="00D85375">
      <w:pPr>
        <w:pStyle w:val="SDMPara"/>
      </w:pPr>
      <w:r>
        <w:t>Activity participants shall document and justify</w:t>
      </w:r>
      <w:r w:rsidR="00245DF2">
        <w:t>,</w:t>
      </w:r>
      <w:r>
        <w:t xml:space="preserve"> </w:t>
      </w:r>
      <w:r w:rsidR="6C20C023">
        <w:t xml:space="preserve">with </w:t>
      </w:r>
      <w:r w:rsidR="00DF711D">
        <w:t>appropriate</w:t>
      </w:r>
      <w:r w:rsidR="6C20C023">
        <w:t xml:space="preserve"> evidence</w:t>
      </w:r>
      <w:r w:rsidR="00245DF2">
        <w:t>,</w:t>
      </w:r>
      <w:r w:rsidR="6C20C023">
        <w:t xml:space="preserve"> </w:t>
      </w:r>
      <w:r>
        <w:t>in the PDD or monitoring report, as applicable, that the conditions in paragraph</w:t>
      </w:r>
      <w:r w:rsidR="0045644E">
        <w:t> </w:t>
      </w:r>
      <w:r w:rsidR="00DF386A">
        <w:fldChar w:fldCharType="begin"/>
      </w:r>
      <w:r w:rsidR="00DF386A">
        <w:instrText xml:space="preserve"> REF _Ref215683358 \n \p \h </w:instrText>
      </w:r>
      <w:r w:rsidR="00DF386A">
        <w:fldChar w:fldCharType="separate"/>
      </w:r>
      <w:r w:rsidR="00D811A8">
        <w:rPr>
          <w:cs/>
        </w:rPr>
        <w:t>‎</w:t>
      </w:r>
      <w:r w:rsidR="00D811A8">
        <w:t>74 above</w:t>
      </w:r>
      <w:r w:rsidR="00DF386A">
        <w:fldChar w:fldCharType="end"/>
      </w:r>
      <w:r>
        <w:t xml:space="preserve"> are fulfilled.</w:t>
      </w:r>
      <w:r w:rsidR="005A6D07">
        <w:rPr>
          <w:rStyle w:val="FootnoteReference"/>
        </w:rPr>
        <w:footnoteReference w:id="19"/>
      </w:r>
    </w:p>
    <w:p w14:paraId="29708AB5" w14:textId="5DC35711" w:rsidR="00D85375" w:rsidRPr="00176271" w:rsidRDefault="00176271" w:rsidP="00C72647">
      <w:pPr>
        <w:pStyle w:val="SDMPara"/>
        <w:keepNext/>
      </w:pPr>
      <w:r>
        <w:t xml:space="preserve">The simple OM </w:t>
      </w:r>
      <w:r w:rsidR="00733ECA">
        <w:t xml:space="preserve">emission factor </w:t>
      </w:r>
      <w:r>
        <w:t xml:space="preserve">shall be determined for each calendar year of the crediting period. </w:t>
      </w:r>
      <w:r w:rsidR="006661D5">
        <w:t>Activity participants shall use one of the following two options</w:t>
      </w:r>
      <w:r w:rsidR="00733ECA">
        <w:t xml:space="preserve"> to determine the simple OM emission factor</w:t>
      </w:r>
      <w:r w:rsidR="003B26C6">
        <w:t xml:space="preserve"> and </w:t>
      </w:r>
      <w:r w:rsidR="00294635">
        <w:t xml:space="preserve">shall apply the </w:t>
      </w:r>
      <w:r w:rsidR="003B26C6">
        <w:t xml:space="preserve">selected </w:t>
      </w:r>
      <w:r w:rsidR="0073618A">
        <w:t xml:space="preserve">option </w:t>
      </w:r>
      <w:r w:rsidR="003B26C6">
        <w:t>through</w:t>
      </w:r>
      <w:r w:rsidR="00294635">
        <w:t>out</w:t>
      </w:r>
      <w:r w:rsidR="003B26C6">
        <w:t xml:space="preserve"> the crediting period</w:t>
      </w:r>
      <w:r w:rsidR="00733ECA">
        <w:t>:</w:t>
      </w:r>
    </w:p>
    <w:p w14:paraId="5D85F980" w14:textId="487170BD" w:rsidR="00450B74" w:rsidRPr="00604E4A" w:rsidRDefault="00F55701">
      <w:pPr>
        <w:pStyle w:val="SDMSubPara1"/>
      </w:pPr>
      <w:r w:rsidRPr="00604E4A">
        <w:rPr>
          <w:b/>
          <w:bCs/>
        </w:rPr>
        <w:t>Ex ante option:</w:t>
      </w:r>
      <w:r w:rsidRPr="00604E4A">
        <w:t xml:space="preserve"> </w:t>
      </w:r>
      <w:r w:rsidR="00827306" w:rsidRPr="00604E4A">
        <w:t>A</w:t>
      </w:r>
      <w:r w:rsidR="00E92A04" w:rsidRPr="00604E4A">
        <w:t xml:space="preserve">ctivity participants shall </w:t>
      </w:r>
      <w:r w:rsidR="003E070B" w:rsidRPr="00604E4A">
        <w:t xml:space="preserve">calculate </w:t>
      </w:r>
      <w:r w:rsidR="002A1A89">
        <w:t xml:space="preserve">the emission factor </w:t>
      </w:r>
      <w:r w:rsidR="00000151" w:rsidRPr="00604E4A">
        <w:t xml:space="preserve">based on </w:t>
      </w:r>
      <w:r w:rsidR="002A1A89">
        <w:t>historical</w:t>
      </w:r>
      <w:r w:rsidR="00000151" w:rsidRPr="00604E4A">
        <w:t xml:space="preserve"> data available at the time of submission of the PDD to the DOE for validation</w:t>
      </w:r>
      <w:r w:rsidR="007036FA">
        <w:t>. A three-year generation-weighted average e</w:t>
      </w:r>
      <w:r w:rsidR="00201521">
        <w:t xml:space="preserve">mission factor shall be used. </w:t>
      </w:r>
      <w:r w:rsidR="00631AA8">
        <w:t xml:space="preserve">The emission factor shall </w:t>
      </w:r>
      <w:r w:rsidR="008E44C6">
        <w:t>then</w:t>
      </w:r>
      <w:r w:rsidR="00BB02E7">
        <w:t xml:space="preserve"> </w:t>
      </w:r>
      <w:r w:rsidR="00631AA8">
        <w:t>be</w:t>
      </w:r>
      <w:r w:rsidR="008E44C6">
        <w:t xml:space="preserve"> </w:t>
      </w:r>
      <w:r w:rsidR="006E5C48">
        <w:t>adjusted</w:t>
      </w:r>
      <w:r w:rsidR="00631AA8">
        <w:t xml:space="preserve"> during </w:t>
      </w:r>
      <w:r w:rsidR="006E5C48">
        <w:t xml:space="preserve">monitoring for each </w:t>
      </w:r>
      <w:r w:rsidR="006E5C48" w:rsidRPr="00301274">
        <w:t>calendar year </w:t>
      </w:r>
      <w:r w:rsidR="006E5C48" w:rsidRPr="004A4AEA">
        <w:rPr>
          <w:i/>
          <w:iCs/>
        </w:rPr>
        <w:t>y</w:t>
      </w:r>
      <w:r w:rsidR="006E5C48" w:rsidRPr="00301274">
        <w:t xml:space="preserve"> of the crediting period</w:t>
      </w:r>
      <w:r w:rsidR="006E5C48">
        <w:t xml:space="preserve"> to account for the vintage</w:t>
      </w:r>
      <w:r w:rsidR="00C92940">
        <w:t xml:space="preserve"> of data</w:t>
      </w:r>
      <w:r w:rsidR="006E5C48">
        <w:t xml:space="preserve">; however, </w:t>
      </w:r>
      <w:r w:rsidR="009E79FC">
        <w:t xml:space="preserve">the data underlying the </w:t>
      </w:r>
      <w:r w:rsidR="00B120A2">
        <w:t xml:space="preserve">calculation of the </w:t>
      </w:r>
      <w:r w:rsidR="009E79FC">
        <w:t xml:space="preserve">emission factor </w:t>
      </w:r>
      <w:r w:rsidR="00FE0509">
        <w:t>shall</w:t>
      </w:r>
      <w:r w:rsidR="009E79FC">
        <w:t xml:space="preserve"> not </w:t>
      </w:r>
      <w:r w:rsidR="00FE0509">
        <w:t xml:space="preserve">be </w:t>
      </w:r>
      <w:r w:rsidR="009E79FC">
        <w:t>updated</w:t>
      </w:r>
      <w:r w:rsidR="008421E3">
        <w:t>;</w:t>
      </w:r>
      <w:r w:rsidR="000644D2">
        <w:t xml:space="preserve"> or</w:t>
      </w:r>
    </w:p>
    <w:p w14:paraId="77C182BB" w14:textId="373383AB" w:rsidR="008D255F" w:rsidRPr="00301274" w:rsidRDefault="00F55701">
      <w:pPr>
        <w:pStyle w:val="SDMSubPara1"/>
      </w:pPr>
      <w:r w:rsidRPr="7C96407F">
        <w:rPr>
          <w:b/>
          <w:bCs/>
        </w:rPr>
        <w:t xml:space="preserve">Ex post option: </w:t>
      </w:r>
      <w:r w:rsidR="00B81E5F">
        <w:t>t</w:t>
      </w:r>
      <w:r w:rsidR="00B81E5F" w:rsidRPr="00301274">
        <w:t xml:space="preserve">he </w:t>
      </w:r>
      <w:r w:rsidR="00000151" w:rsidRPr="00301274">
        <w:t xml:space="preserve">emission factor </w:t>
      </w:r>
      <w:r w:rsidR="006545CE">
        <w:t>shall be</w:t>
      </w:r>
      <w:r w:rsidR="006545CE" w:rsidRPr="00301274">
        <w:t xml:space="preserve"> </w:t>
      </w:r>
      <w:r w:rsidR="00000151" w:rsidRPr="00301274">
        <w:t>updated ex</w:t>
      </w:r>
      <w:r w:rsidR="002E67A4">
        <w:t> </w:t>
      </w:r>
      <w:r w:rsidR="00000151" w:rsidRPr="00301274">
        <w:t>post during monitoring for each calendar year </w:t>
      </w:r>
      <w:r w:rsidR="00000151" w:rsidRPr="006C5F06">
        <w:rPr>
          <w:i/>
        </w:rPr>
        <w:t>y</w:t>
      </w:r>
      <w:r w:rsidR="00000151" w:rsidRPr="00301274">
        <w:t xml:space="preserve"> of the crediting period. </w:t>
      </w:r>
      <w:r w:rsidR="00773BA0" w:rsidRPr="00301274">
        <w:t xml:space="preserve">Activity participants </w:t>
      </w:r>
      <w:r w:rsidR="008B3581" w:rsidRPr="00301274">
        <w:t xml:space="preserve">shall specify in the PDD whether </w:t>
      </w:r>
      <w:r w:rsidR="0066162F" w:rsidRPr="00301274">
        <w:t xml:space="preserve">the emission factor </w:t>
      </w:r>
      <w:r w:rsidR="00D32E0D">
        <w:t xml:space="preserve">is determined </w:t>
      </w:r>
      <w:r w:rsidR="007A4524" w:rsidRPr="00301274">
        <w:t>based on data from</w:t>
      </w:r>
      <w:r w:rsidR="0066162F" w:rsidRPr="00301274">
        <w:t xml:space="preserve"> the </w:t>
      </w:r>
      <w:r w:rsidR="0016769E" w:rsidRPr="00301274">
        <w:t xml:space="preserve">calendar </w:t>
      </w:r>
      <w:r w:rsidR="0066162F" w:rsidRPr="00301274">
        <w:t>year </w:t>
      </w:r>
      <w:r w:rsidR="0066162F" w:rsidRPr="006C5F06">
        <w:rPr>
          <w:i/>
        </w:rPr>
        <w:t>y</w:t>
      </w:r>
      <w:r w:rsidR="0066162F" w:rsidRPr="00301274">
        <w:t xml:space="preserve"> of the crediting </w:t>
      </w:r>
      <w:r w:rsidR="007A4524" w:rsidRPr="00301274">
        <w:t xml:space="preserve">period </w:t>
      </w:r>
      <w:r w:rsidR="0066162F" w:rsidRPr="00301274">
        <w:t xml:space="preserve">or </w:t>
      </w:r>
      <w:r w:rsidR="008B3581" w:rsidRPr="00301274">
        <w:t xml:space="preserve">based on data </w:t>
      </w:r>
      <w:r w:rsidR="007A4524" w:rsidRPr="00301274">
        <w:t>from a</w:t>
      </w:r>
      <w:r w:rsidR="0016769E" w:rsidRPr="00301274">
        <w:t xml:space="preserve"> historical calendar year </w:t>
      </w:r>
      <w:r w:rsidR="0016769E" w:rsidRPr="7C96407F">
        <w:rPr>
          <w:i/>
          <w:iCs/>
        </w:rPr>
        <w:t>v</w:t>
      </w:r>
      <w:r w:rsidR="0016769E" w:rsidRPr="00301274">
        <w:t xml:space="preserve">. </w:t>
      </w:r>
      <w:r w:rsidR="007A4524" w:rsidRPr="00301274">
        <w:t xml:space="preserve">Where </w:t>
      </w:r>
      <w:r w:rsidR="00F11645" w:rsidRPr="00301274">
        <w:t>a historical year</w:t>
      </w:r>
      <w:r w:rsidR="008B3581" w:rsidRPr="00301274">
        <w:t> </w:t>
      </w:r>
      <w:r w:rsidR="008B3581" w:rsidRPr="7C96407F">
        <w:rPr>
          <w:i/>
          <w:iCs/>
        </w:rPr>
        <w:t>v</w:t>
      </w:r>
      <w:r w:rsidR="008B3581" w:rsidRPr="00301274">
        <w:t xml:space="preserve"> is chosen, activity participants shall </w:t>
      </w:r>
      <w:r w:rsidR="00E952D1">
        <w:t>apply</w:t>
      </w:r>
      <w:r w:rsidR="00E952D1" w:rsidRPr="00301274">
        <w:t xml:space="preserve"> </w:t>
      </w:r>
      <w:r w:rsidR="003B0101" w:rsidRPr="00301274">
        <w:t>a fixed time difference between year</w:t>
      </w:r>
      <w:r w:rsidR="00604E4A" w:rsidRPr="00301274">
        <w:t> </w:t>
      </w:r>
      <w:r w:rsidR="003B0101" w:rsidRPr="7C96407F">
        <w:rPr>
          <w:i/>
          <w:iCs/>
        </w:rPr>
        <w:t>y</w:t>
      </w:r>
      <w:r w:rsidR="003B0101" w:rsidRPr="00301274">
        <w:t xml:space="preserve"> and year</w:t>
      </w:r>
      <w:r w:rsidR="00604E4A" w:rsidRPr="00301274">
        <w:t> </w:t>
      </w:r>
      <w:r w:rsidR="003B0101" w:rsidRPr="7C96407F">
        <w:rPr>
          <w:i/>
          <w:iCs/>
        </w:rPr>
        <w:t>v</w:t>
      </w:r>
      <w:r w:rsidR="003B0101" w:rsidRPr="00301274">
        <w:t xml:space="preserve"> throughout the crediting period</w:t>
      </w:r>
      <w:r w:rsidR="007A6B7E">
        <w:t>, shall</w:t>
      </w:r>
      <w:r w:rsidR="003B0101" w:rsidRPr="00301274">
        <w:t xml:space="preserve"> specify this time difference</w:t>
      </w:r>
      <w:r w:rsidR="008B3581" w:rsidRPr="00301274">
        <w:t xml:space="preserve"> in the PDD</w:t>
      </w:r>
      <w:r w:rsidR="007A6B7E">
        <w:t>,</w:t>
      </w:r>
      <w:r w:rsidR="00E11D1C" w:rsidRPr="00301274">
        <w:t xml:space="preserve"> and </w:t>
      </w:r>
      <w:r w:rsidR="007A6B7E">
        <w:t xml:space="preserve">shall </w:t>
      </w:r>
      <w:r w:rsidR="00E11D1C" w:rsidRPr="00301274">
        <w:t>not change it during the crediting period</w:t>
      </w:r>
      <w:r w:rsidR="003B0101" w:rsidRPr="00301274">
        <w:t>.</w:t>
      </w:r>
      <w:r w:rsidR="00604E4A" w:rsidRPr="00301274">
        <w:rPr>
          <w:rStyle w:val="FootnoteReference"/>
        </w:rPr>
        <w:footnoteReference w:id="20"/>
      </w:r>
      <w:r w:rsidR="003B0101" w:rsidRPr="00301274">
        <w:t xml:space="preserve"> </w:t>
      </w:r>
      <w:r w:rsidR="00F24073" w:rsidRPr="00301274">
        <w:t xml:space="preserve">The time difference shall be </w:t>
      </w:r>
      <w:r w:rsidR="007A4A27" w:rsidRPr="00301274">
        <w:t xml:space="preserve">as recent as possible, taking into account </w:t>
      </w:r>
      <w:r w:rsidR="00F24073" w:rsidRPr="00301274">
        <w:t>when the necessary data usually become available.</w:t>
      </w:r>
      <w:r w:rsidR="00921CE1" w:rsidRPr="00301274">
        <w:rPr>
          <w:rStyle w:val="FootnoteReference"/>
        </w:rPr>
        <w:footnoteReference w:id="21"/>
      </w:r>
    </w:p>
    <w:p w14:paraId="55C13AF7" w14:textId="0676065E" w:rsidR="00D54AE9" w:rsidRPr="0038644B" w:rsidRDefault="00D54AE9" w:rsidP="00C72647">
      <w:pPr>
        <w:pStyle w:val="SDMPara"/>
        <w:keepNext/>
      </w:pPr>
      <w:r w:rsidRPr="0038644B">
        <w:t xml:space="preserve">The simple OM </w:t>
      </w:r>
      <w:r w:rsidR="005211C5">
        <w:t>shall</w:t>
      </w:r>
      <w:r w:rsidRPr="0038644B">
        <w:t xml:space="preserve"> be calculated </w:t>
      </w:r>
      <w:r w:rsidR="000F122D">
        <w:t>using</w:t>
      </w:r>
      <w:r w:rsidRPr="0038644B">
        <w:t xml:space="preserve"> one of the following two </w:t>
      </w:r>
      <w:r>
        <w:t>approache</w:t>
      </w:r>
      <w:r w:rsidRPr="0038644B">
        <w:t>s:</w:t>
      </w:r>
    </w:p>
    <w:p w14:paraId="70FFF975" w14:textId="511550D8" w:rsidR="00D54AE9" w:rsidRDefault="00D54AE9">
      <w:pPr>
        <w:pStyle w:val="SDMSubPara1"/>
      </w:pPr>
      <w:r>
        <w:rPr>
          <w:b/>
          <w:bCs/>
        </w:rPr>
        <w:t>A</w:t>
      </w:r>
      <w:r w:rsidRPr="009C010D">
        <w:rPr>
          <w:b/>
          <w:bCs/>
        </w:rPr>
        <w:t>pproach</w:t>
      </w:r>
      <w:r w:rsidR="0060151F">
        <w:rPr>
          <w:b/>
          <w:bCs/>
        </w:rPr>
        <w:t> </w:t>
      </w:r>
      <w:r w:rsidRPr="32AD78DD">
        <w:rPr>
          <w:b/>
          <w:bCs/>
        </w:rPr>
        <w:t>A</w:t>
      </w:r>
      <w:r w:rsidRPr="0038644B">
        <w:t xml:space="preserve">: </w:t>
      </w:r>
      <w:r w:rsidR="00D93D46">
        <w:t>b</w:t>
      </w:r>
      <w:r w:rsidR="00D93D46" w:rsidRPr="0038644B">
        <w:t xml:space="preserve">ased </w:t>
      </w:r>
      <w:r w:rsidRPr="0038644B">
        <w:t xml:space="preserve">on the net electricity generation </w:t>
      </w:r>
      <w:r w:rsidR="00947B9D">
        <w:t xml:space="preserve">of each power unit </w:t>
      </w:r>
      <w:r w:rsidR="00E6462F">
        <w:t xml:space="preserve">not </w:t>
      </w:r>
      <w:r w:rsidR="00AB774F">
        <w:t>designated</w:t>
      </w:r>
      <w:r w:rsidR="00E6462F">
        <w:t xml:space="preserve"> as</w:t>
      </w:r>
      <w:r w:rsidR="00423F55">
        <w:t xml:space="preserve"> must-run power unit </w:t>
      </w:r>
      <w:r w:rsidRPr="0038644B">
        <w:t xml:space="preserve">and a </w:t>
      </w:r>
      <w:r>
        <w:t>CO</w:t>
      </w:r>
      <w:r w:rsidRPr="00FE67D5">
        <w:rPr>
          <w:vertAlign w:val="subscript"/>
        </w:rPr>
        <w:t>2</w:t>
      </w:r>
      <w:r w:rsidRPr="0038644B">
        <w:t xml:space="preserve"> emission factor </w:t>
      </w:r>
      <w:r w:rsidR="00947B9D">
        <w:t>for</w:t>
      </w:r>
      <w:r w:rsidRPr="0038644B">
        <w:t xml:space="preserve"> </w:t>
      </w:r>
      <w:r w:rsidR="00E6462F">
        <w:t xml:space="preserve">that </w:t>
      </w:r>
      <w:r w:rsidRPr="0038644B">
        <w:t>power unit</w:t>
      </w:r>
      <w:r w:rsidR="004447E0">
        <w:t>; or</w:t>
      </w:r>
    </w:p>
    <w:p w14:paraId="2711F4A4" w14:textId="40E0DF98" w:rsidR="00D54AE9" w:rsidRPr="006B7D45" w:rsidRDefault="00D54AE9" w:rsidP="00C72647">
      <w:pPr>
        <w:pStyle w:val="SDMSubPara1"/>
        <w:keepNext/>
      </w:pPr>
      <w:r>
        <w:rPr>
          <w:b/>
          <w:bCs/>
        </w:rPr>
        <w:t>A</w:t>
      </w:r>
      <w:r w:rsidRPr="009C010D">
        <w:rPr>
          <w:b/>
          <w:bCs/>
        </w:rPr>
        <w:t>pproach</w:t>
      </w:r>
      <w:r w:rsidR="0060151F">
        <w:rPr>
          <w:b/>
        </w:rPr>
        <w:t> </w:t>
      </w:r>
      <w:r w:rsidRPr="006B7D45">
        <w:rPr>
          <w:b/>
        </w:rPr>
        <w:t>B</w:t>
      </w:r>
      <w:r w:rsidRPr="0038644B">
        <w:t>:</w:t>
      </w:r>
      <w:r w:rsidRPr="0038644B" w:rsidDel="00D93D46">
        <w:t xml:space="preserve"> </w:t>
      </w:r>
      <w:r w:rsidR="00D93D46">
        <w:t>b</w:t>
      </w:r>
      <w:r w:rsidR="00D93D46" w:rsidRPr="0038644B">
        <w:t xml:space="preserve">ased </w:t>
      </w:r>
      <w:r w:rsidRPr="0038644B">
        <w:t xml:space="preserve">on the total net electricity generation of all power </w:t>
      </w:r>
      <w:r w:rsidR="00CA28FF">
        <w:t>units</w:t>
      </w:r>
      <w:r w:rsidRPr="0038644B">
        <w:t xml:space="preserve"> </w:t>
      </w:r>
      <w:r w:rsidRPr="00F83DF2">
        <w:t xml:space="preserve">serving the </w:t>
      </w:r>
      <w:r w:rsidR="00EA6025">
        <w:t xml:space="preserve">electricity </w:t>
      </w:r>
      <w:r w:rsidRPr="00F83DF2">
        <w:t xml:space="preserve">system </w:t>
      </w:r>
      <w:r w:rsidR="00C65DE6">
        <w:t xml:space="preserve">that are </w:t>
      </w:r>
      <w:r w:rsidR="0068793A">
        <w:t xml:space="preserve">not </w:t>
      </w:r>
      <w:r w:rsidR="00AB774F">
        <w:t>designated</w:t>
      </w:r>
      <w:r w:rsidR="0068793A">
        <w:t xml:space="preserve"> as must-run power unit</w:t>
      </w:r>
      <w:r w:rsidR="00C65DE6">
        <w:t>s</w:t>
      </w:r>
      <w:r w:rsidR="0068793A">
        <w:t xml:space="preserve"> </w:t>
      </w:r>
      <w:r w:rsidRPr="00F83DF2">
        <w:t xml:space="preserve">and the fuel types and total fuel consumption of </w:t>
      </w:r>
      <w:r w:rsidR="00A65171">
        <w:t xml:space="preserve">these </w:t>
      </w:r>
      <w:r w:rsidR="00EE2EBF">
        <w:t xml:space="preserve">power </w:t>
      </w:r>
      <w:r w:rsidR="00CA28FF">
        <w:t>units</w:t>
      </w:r>
      <w:r>
        <w:t>.</w:t>
      </w:r>
      <w:r w:rsidR="00A23C0E">
        <w:t xml:space="preserve"> </w:t>
      </w:r>
      <w:r w:rsidR="00B7380B">
        <w:rPr>
          <w:rFonts w:eastAsia="MS Mincho"/>
          <w:b/>
          <w:bCs/>
          <w:lang w:eastAsia="ja-JP"/>
        </w:rPr>
        <w:t>A</w:t>
      </w:r>
      <w:r w:rsidR="0051343D" w:rsidRPr="00A62223">
        <w:rPr>
          <w:b/>
          <w:bCs/>
        </w:rPr>
        <w:t>pproach</w:t>
      </w:r>
      <w:r w:rsidR="0060151F">
        <w:rPr>
          <w:b/>
          <w:bCs/>
        </w:rPr>
        <w:t> </w:t>
      </w:r>
      <w:r w:rsidRPr="00A62223">
        <w:rPr>
          <w:b/>
          <w:bCs/>
        </w:rPr>
        <w:t>B</w:t>
      </w:r>
      <w:r w:rsidRPr="006B7D45" w:rsidDel="0051343D">
        <w:t xml:space="preserve"> </w:t>
      </w:r>
      <w:r w:rsidR="0051343D">
        <w:t xml:space="preserve">shall </w:t>
      </w:r>
      <w:r w:rsidRPr="006B7D45">
        <w:t>only be used if:</w:t>
      </w:r>
    </w:p>
    <w:p w14:paraId="76E30A39" w14:textId="1E088B9A" w:rsidR="00D54AE9" w:rsidRDefault="00D54AE9">
      <w:pPr>
        <w:pStyle w:val="SDMSubPara2"/>
      </w:pPr>
      <w:r>
        <w:t xml:space="preserve">The necessary data for </w:t>
      </w:r>
      <w:r w:rsidR="0051343D" w:rsidRPr="00A62223">
        <w:rPr>
          <w:b/>
          <w:bCs/>
        </w:rPr>
        <w:t>approach </w:t>
      </w:r>
      <w:r w:rsidRPr="00A62223">
        <w:rPr>
          <w:b/>
          <w:bCs/>
        </w:rPr>
        <w:t>A</w:t>
      </w:r>
      <w:r>
        <w:t xml:space="preserve"> is not available; and</w:t>
      </w:r>
    </w:p>
    <w:p w14:paraId="7F0C13F4" w14:textId="561349D6" w:rsidR="5DABA433" w:rsidRDefault="5DABA433">
      <w:pPr>
        <w:pStyle w:val="SDMSubPara2"/>
      </w:pPr>
      <w:r>
        <w:t xml:space="preserve">Only nuclear and renewable power generation </w:t>
      </w:r>
      <w:r w:rsidR="00B57AE1">
        <w:t xml:space="preserve">units </w:t>
      </w:r>
      <w:r>
        <w:t xml:space="preserve">are </w:t>
      </w:r>
      <w:r w:rsidR="00004EBF">
        <w:t xml:space="preserve">designated as </w:t>
      </w:r>
      <w:r>
        <w:t xml:space="preserve">must-run power </w:t>
      </w:r>
      <w:r w:rsidR="005E6BB3">
        <w:t>unit</w:t>
      </w:r>
      <w:r w:rsidR="00C0197C">
        <w:t>s</w:t>
      </w:r>
      <w:r w:rsidR="00A62223">
        <w:t>,</w:t>
      </w:r>
      <w:r>
        <w:t xml:space="preserve"> and the quantity of electricity supplied to </w:t>
      </w:r>
      <w:r w:rsidR="00A62223">
        <w:t xml:space="preserve">the </w:t>
      </w:r>
      <w:r w:rsidR="006B6AFA">
        <w:t>electricity system</w:t>
      </w:r>
      <w:r>
        <w:t xml:space="preserve"> by these </w:t>
      </w:r>
      <w:r w:rsidR="005E6BB3">
        <w:t>power units</w:t>
      </w:r>
      <w:r>
        <w:t xml:space="preserve"> is known</w:t>
      </w:r>
      <w:r w:rsidR="2A5F8C76">
        <w:t>.</w:t>
      </w:r>
    </w:p>
    <w:p w14:paraId="0D668389" w14:textId="18B69280" w:rsidR="00D54AE9" w:rsidRPr="0038644B" w:rsidRDefault="00D54AE9" w:rsidP="00C72647">
      <w:pPr>
        <w:pStyle w:val="SDMPara"/>
        <w:keepNext/>
      </w:pPr>
      <w:bookmarkStart w:id="494" w:name="_Ref215687820"/>
      <w:r w:rsidRPr="0038644B">
        <w:t>Under</w:t>
      </w:r>
      <w:r w:rsidRPr="0038644B" w:rsidDel="00D64E9E">
        <w:t xml:space="preserve"> </w:t>
      </w:r>
      <w:r w:rsidR="00D64E9E">
        <w:rPr>
          <w:b/>
        </w:rPr>
        <w:t>a</w:t>
      </w:r>
      <w:r w:rsidR="00D64E9E" w:rsidRPr="007969E9">
        <w:rPr>
          <w:b/>
        </w:rPr>
        <w:t>pproach</w:t>
      </w:r>
      <w:r w:rsidR="0060151F">
        <w:rPr>
          <w:b/>
        </w:rPr>
        <w:t> </w:t>
      </w:r>
      <w:r w:rsidRPr="007969E9">
        <w:rPr>
          <w:b/>
        </w:rPr>
        <w:t>A</w:t>
      </w:r>
      <w:r w:rsidRPr="0038644B">
        <w:t xml:space="preserve">, the simple OM emission factor </w:t>
      </w:r>
      <w:r w:rsidR="005E6BB3">
        <w:t>shall be</w:t>
      </w:r>
      <w:r w:rsidRPr="0038644B">
        <w:t xml:space="preserve"> calculated based on the net electricity generation of each power unit </w:t>
      </w:r>
      <w:r w:rsidR="003B648A">
        <w:t xml:space="preserve">not designated as must-run power unit </w:t>
      </w:r>
      <w:r w:rsidRPr="0038644B">
        <w:t xml:space="preserve">and an emission factor for </w:t>
      </w:r>
      <w:r w:rsidR="003B648A">
        <w:t xml:space="preserve">that </w:t>
      </w:r>
      <w:r>
        <w:t>power unit</w:t>
      </w:r>
      <w:r w:rsidR="000B184A">
        <w:t xml:space="preserve"> </w:t>
      </w:r>
      <w:r w:rsidRPr="0038644B">
        <w:t>as follows:</w:t>
      </w:r>
      <w:bookmarkEnd w:id="494"/>
    </w:p>
    <w:tbl>
      <w:tblPr>
        <w:tblStyle w:val="SDMMethTableEquation"/>
        <w:tblW w:w="8760" w:type="dxa"/>
        <w:tblLook w:val="0600" w:firstRow="0" w:lastRow="0" w:firstColumn="0" w:lastColumn="0" w:noHBand="1" w:noVBand="1"/>
      </w:tblPr>
      <w:tblGrid>
        <w:gridCol w:w="7096"/>
        <w:gridCol w:w="1664"/>
      </w:tblGrid>
      <w:tr w:rsidR="00D54AE9" w:rsidRPr="0038644B" w14:paraId="7E9D9C56" w14:textId="77777777" w:rsidTr="00026926">
        <w:tc>
          <w:tcPr>
            <w:tcW w:w="7224" w:type="dxa"/>
          </w:tcPr>
          <w:p w14:paraId="30D0D70B" w14:textId="77777777" w:rsidR="00D54AE9" w:rsidRPr="0060151F" w:rsidRDefault="00000000" w:rsidP="005C1FE3">
            <w:pPr>
              <w:pStyle w:val="SDMMethEquation"/>
            </w:pPr>
            <m:oMathPara>
              <m:oMathParaPr>
                <m:jc m:val="left"/>
              </m:oMathParaPr>
              <m:oMath>
                <m:sSub>
                  <m:sSubPr>
                    <m:ctrlPr>
                      <w:rPr>
                        <w:rFonts w:ascii="Cambria Math" w:hAnsi="Cambria Math" w:cs="Cambria Math"/>
                      </w:rPr>
                    </m:ctrlPr>
                  </m:sSubPr>
                  <m:e>
                    <m:r>
                      <w:rPr>
                        <w:rFonts w:ascii="Cambria Math" w:hAnsi="Cambria Math" w:cs="Cambria Math"/>
                      </w:rPr>
                      <m:t>EF</m:t>
                    </m:r>
                  </m:e>
                  <m:sub>
                    <m:r>
                      <w:rPr>
                        <w:rFonts w:ascii="Cambria Math" w:hAnsi="Cambria Math" w:cs="Cambria Math"/>
                      </w:rPr>
                      <m:t>OM,simple,t</m:t>
                    </m:r>
                  </m:sub>
                </m:sSub>
                <m:r>
                  <m:rPr>
                    <m:sty m:val="p"/>
                  </m:rPr>
                  <w:rPr>
                    <w:rFonts w:ascii="Cambria Math" w:hAnsi="Cambria Math" w:cs="Cambria Math"/>
                  </w:rPr>
                  <m:t xml:space="preserve"> =</m:t>
                </m:r>
                <m:f>
                  <m:fPr>
                    <m:ctrlPr>
                      <w:rPr>
                        <w:rFonts w:ascii="Cambria Math" w:hAnsi="Cambria Math"/>
                      </w:rPr>
                    </m:ctrlPr>
                  </m:fPr>
                  <m:num>
                    <m:nary>
                      <m:naryPr>
                        <m:chr m:val="∑"/>
                        <m:limLoc m:val="undOvr"/>
                        <m:supHide m:val="1"/>
                        <m:ctrlPr>
                          <w:rPr>
                            <w:rFonts w:ascii="Cambria Math" w:hAnsi="Cambria Math"/>
                            <w:i/>
                          </w:rPr>
                        </m:ctrlPr>
                      </m:naryPr>
                      <m:sub>
                        <m:r>
                          <w:rPr>
                            <w:rFonts w:ascii="Cambria Math" w:hAnsi="Cambria Math"/>
                          </w:rPr>
                          <m:t>p</m:t>
                        </m:r>
                      </m:sub>
                      <m:sup/>
                      <m:e>
                        <m:sSub>
                          <m:sSubPr>
                            <m:ctrlPr>
                              <w:rPr>
                                <w:rFonts w:ascii="Cambria Math" w:hAnsi="Cambria Math"/>
                                <w:i/>
                              </w:rPr>
                            </m:ctrlPr>
                          </m:sSubPr>
                          <m:e>
                            <m:r>
                              <w:rPr>
                                <w:rFonts w:ascii="Cambria Math" w:hAnsi="Cambria Math"/>
                              </w:rPr>
                              <m:t>EG</m:t>
                            </m:r>
                          </m:e>
                          <m:sub>
                            <m:r>
                              <w:rPr>
                                <w:rFonts w:ascii="Cambria Math" w:hAnsi="Cambria Math"/>
                              </w:rPr>
                              <m:t>p,t</m:t>
                            </m:r>
                          </m:sub>
                        </m:sSub>
                      </m:e>
                    </m:nary>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EL,p,t</m:t>
                        </m:r>
                      </m:sub>
                    </m:sSub>
                  </m:num>
                  <m:den>
                    <m:nary>
                      <m:naryPr>
                        <m:chr m:val="∑"/>
                        <m:limLoc m:val="undOvr"/>
                        <m:supHide m:val="1"/>
                        <m:ctrlPr>
                          <w:rPr>
                            <w:rFonts w:ascii="Cambria Math" w:hAnsi="Cambria Math" w:cs="Cambria Math"/>
                            <w:i/>
                          </w:rPr>
                        </m:ctrlPr>
                      </m:naryPr>
                      <m:sub>
                        <m:r>
                          <w:rPr>
                            <w:rFonts w:ascii="Cambria Math" w:hAnsi="Cambria Math" w:cs="Cambria Math"/>
                          </w:rPr>
                          <m:t>p</m:t>
                        </m:r>
                      </m:sub>
                      <m:sup/>
                      <m:e>
                        <m:sSub>
                          <m:sSubPr>
                            <m:ctrlPr>
                              <w:rPr>
                                <w:rFonts w:ascii="Cambria Math" w:hAnsi="Cambria Math" w:cs="Cambria Math"/>
                                <w:i/>
                              </w:rPr>
                            </m:ctrlPr>
                          </m:sSubPr>
                          <m:e>
                            <m:r>
                              <w:rPr>
                                <w:rFonts w:ascii="Cambria Math" w:hAnsi="Cambria Math" w:cs="Cambria Math"/>
                              </w:rPr>
                              <m:t>EG</m:t>
                            </m:r>
                          </m:e>
                          <m:sub>
                            <m:r>
                              <w:rPr>
                                <w:rFonts w:ascii="Cambria Math" w:hAnsi="Cambria Math" w:cs="Cambria Math"/>
                              </w:rPr>
                              <m:t>p,t</m:t>
                            </m:r>
                          </m:sub>
                        </m:sSub>
                      </m:e>
                    </m:nary>
                  </m:den>
                </m:f>
              </m:oMath>
            </m:oMathPara>
          </w:p>
        </w:tc>
        <w:tc>
          <w:tcPr>
            <w:tcW w:w="1701" w:type="dxa"/>
          </w:tcPr>
          <w:p w14:paraId="56D68448" w14:textId="77777777" w:rsidR="00D54AE9" w:rsidRPr="0038644B" w:rsidRDefault="00D54AE9">
            <w:pPr>
              <w:pStyle w:val="SDMMethEquationNr"/>
              <w:numPr>
                <w:ilvl w:val="0"/>
                <w:numId w:val="6"/>
              </w:numPr>
            </w:pPr>
          </w:p>
        </w:tc>
      </w:tr>
    </w:tbl>
    <w:p w14:paraId="7F839BCE" w14:textId="77777777" w:rsidR="00D54AE9" w:rsidRPr="0038644B" w:rsidRDefault="00D54AE9" w:rsidP="00C72647">
      <w:pPr>
        <w:pStyle w:val="SDMMethCaptionEquationParametersTable"/>
      </w:pPr>
      <w:r w:rsidRPr="0038644B">
        <w:t>Where:</w:t>
      </w:r>
    </w:p>
    <w:tbl>
      <w:tblPr>
        <w:tblStyle w:val="SDMMethTableEquationParameters"/>
        <w:tblW w:w="8760" w:type="dxa"/>
        <w:tblInd w:w="601" w:type="dxa"/>
        <w:tblLook w:val="04A0" w:firstRow="1" w:lastRow="0" w:firstColumn="1" w:lastColumn="0" w:noHBand="0" w:noVBand="1"/>
      </w:tblPr>
      <w:tblGrid>
        <w:gridCol w:w="1701"/>
        <w:gridCol w:w="345"/>
        <w:gridCol w:w="6714"/>
      </w:tblGrid>
      <w:tr w:rsidR="00D54AE9" w:rsidRPr="0038644B" w14:paraId="34A7626A" w14:textId="77777777" w:rsidTr="00A25D4E">
        <w:tc>
          <w:tcPr>
            <w:tcW w:w="1701" w:type="dxa"/>
            <w:vAlign w:val="top"/>
          </w:tcPr>
          <w:p w14:paraId="76FD24BE" w14:textId="62B331E3" w:rsidR="00D54AE9" w:rsidRPr="00425A60" w:rsidRDefault="00000000" w:rsidP="00A25D4E">
            <w:pPr>
              <w:pStyle w:val="SDMTableBoxParaNotNumbered"/>
              <w:rPr>
                <w:i/>
                <w:lang w:val="es-ES"/>
              </w:rPr>
            </w:pPr>
            <m:oMathPara>
              <m:oMathParaPr>
                <m:jc m:val="left"/>
              </m:oMathParaPr>
              <m:oMath>
                <m:sSub>
                  <m:sSubPr>
                    <m:ctrlPr>
                      <w:rPr>
                        <w:rFonts w:ascii="Cambria Math" w:hAnsi="Cambria Math" w:cs="Cambria Math"/>
                      </w:rPr>
                    </m:ctrlPr>
                  </m:sSubPr>
                  <m:e>
                    <m:r>
                      <w:rPr>
                        <w:rFonts w:ascii="Cambria Math" w:hAnsi="Cambria Math" w:cs="Cambria Math"/>
                      </w:rPr>
                      <m:t>EF</m:t>
                    </m:r>
                  </m:e>
                  <m:sub>
                    <m:r>
                      <w:rPr>
                        <w:rFonts w:ascii="Cambria Math" w:hAnsi="Cambria Math" w:cs="Cambria Math"/>
                      </w:rPr>
                      <m:t>OM,simple,t</m:t>
                    </m:r>
                  </m:sub>
                </m:sSub>
              </m:oMath>
            </m:oMathPara>
          </w:p>
        </w:tc>
        <w:tc>
          <w:tcPr>
            <w:tcW w:w="345" w:type="dxa"/>
            <w:vAlign w:val="top"/>
          </w:tcPr>
          <w:p w14:paraId="6877976A" w14:textId="77777777" w:rsidR="00D54AE9" w:rsidRPr="0038644B" w:rsidRDefault="00D54AE9" w:rsidP="00A25D4E">
            <w:pPr>
              <w:pStyle w:val="SDMTableBoxParaNotNumbered"/>
            </w:pPr>
            <w:r w:rsidRPr="0038644B">
              <w:t>=</w:t>
            </w:r>
          </w:p>
        </w:tc>
        <w:tc>
          <w:tcPr>
            <w:tcW w:w="0" w:type="auto"/>
            <w:vAlign w:val="top"/>
          </w:tcPr>
          <w:p w14:paraId="4EF8AA3A" w14:textId="68F31DA0" w:rsidR="00D54AE9" w:rsidRPr="0038644B" w:rsidRDefault="00D54AE9" w:rsidP="00A25D4E">
            <w:pPr>
              <w:pStyle w:val="SDMTableBoxParaNotNumbered"/>
            </w:pPr>
            <w:r w:rsidRPr="0038644B">
              <w:t xml:space="preserve">Simple </w:t>
            </w:r>
            <w:r w:rsidR="00BB1C82">
              <w:t>OM</w:t>
            </w:r>
            <w:r w:rsidRPr="0038644B">
              <w:t xml:space="preserve"> </w:t>
            </w:r>
            <w:r>
              <w:t>CO</w:t>
            </w:r>
            <w:r w:rsidRPr="00FE67D5">
              <w:rPr>
                <w:vertAlign w:val="subscript"/>
              </w:rPr>
              <w:t>2</w:t>
            </w:r>
            <w:r w:rsidRPr="0038644B">
              <w:t xml:space="preserve"> emission factor</w:t>
            </w:r>
            <w:r w:rsidR="009121DB">
              <w:t xml:space="preserve"> in period</w:t>
            </w:r>
            <w:r w:rsidR="00791CF2">
              <w:t> </w:t>
            </w:r>
            <w:r w:rsidR="009121DB" w:rsidRPr="00E53C5F">
              <w:rPr>
                <w:i/>
              </w:rPr>
              <w:t>t</w:t>
            </w:r>
            <w:r w:rsidR="006A185A">
              <w:rPr>
                <w:i/>
              </w:rPr>
              <w:t xml:space="preserve"> </w:t>
            </w:r>
            <w:r w:rsidRPr="0038644B">
              <w:t>(t </w:t>
            </w:r>
            <w:r>
              <w:t>CO</w:t>
            </w:r>
            <w:r w:rsidRPr="00FE67D5">
              <w:rPr>
                <w:vertAlign w:val="subscript"/>
              </w:rPr>
              <w:t>2</w:t>
            </w:r>
            <w:r w:rsidRPr="0038644B">
              <w:t>/MWh)</w:t>
            </w:r>
          </w:p>
        </w:tc>
      </w:tr>
      <w:tr w:rsidR="00D54AE9" w:rsidRPr="0038644B" w14:paraId="44CD4AD2" w14:textId="77777777" w:rsidTr="00A25D4E">
        <w:tc>
          <w:tcPr>
            <w:tcW w:w="1701" w:type="dxa"/>
            <w:vAlign w:val="top"/>
          </w:tcPr>
          <w:p w14:paraId="14775334" w14:textId="0860951E" w:rsidR="00D54AE9" w:rsidRPr="00425A60" w:rsidRDefault="00000000" w:rsidP="00A25D4E">
            <w:pPr>
              <w:pStyle w:val="SDMTableBoxParaNotNumbered"/>
              <w:rPr>
                <w:i/>
              </w:rPr>
            </w:pPr>
            <m:oMathPara>
              <m:oMathParaPr>
                <m:jc m:val="left"/>
              </m:oMathParaPr>
              <m:oMath>
                <m:sSub>
                  <m:sSubPr>
                    <m:ctrlPr>
                      <w:rPr>
                        <w:rFonts w:ascii="Cambria Math" w:hAnsi="Cambria Math"/>
                        <w:i/>
                      </w:rPr>
                    </m:ctrlPr>
                  </m:sSubPr>
                  <m:e>
                    <m:r>
                      <w:rPr>
                        <w:rFonts w:ascii="Cambria Math" w:hAnsi="Cambria Math"/>
                      </w:rPr>
                      <m:t>EG</m:t>
                    </m:r>
                  </m:e>
                  <m:sub>
                    <m:r>
                      <w:rPr>
                        <w:rFonts w:ascii="Cambria Math" w:hAnsi="Cambria Math"/>
                      </w:rPr>
                      <m:t>p,t</m:t>
                    </m:r>
                  </m:sub>
                </m:sSub>
              </m:oMath>
            </m:oMathPara>
          </w:p>
        </w:tc>
        <w:tc>
          <w:tcPr>
            <w:tcW w:w="345" w:type="dxa"/>
            <w:vAlign w:val="top"/>
          </w:tcPr>
          <w:p w14:paraId="40BFAB70" w14:textId="77777777" w:rsidR="00D54AE9" w:rsidRPr="0038644B" w:rsidRDefault="00D54AE9" w:rsidP="00A25D4E">
            <w:pPr>
              <w:pStyle w:val="SDMTableBoxParaNotNumbered"/>
            </w:pPr>
            <w:r w:rsidRPr="0038644B">
              <w:t>=</w:t>
            </w:r>
          </w:p>
        </w:tc>
        <w:tc>
          <w:tcPr>
            <w:tcW w:w="0" w:type="auto"/>
            <w:vAlign w:val="top"/>
          </w:tcPr>
          <w:p w14:paraId="1420AE59" w14:textId="77777777" w:rsidR="00D54AE9" w:rsidRPr="0038644B" w:rsidRDefault="00D54AE9" w:rsidP="00A25D4E">
            <w:pPr>
              <w:pStyle w:val="SDMTableBoxParaNotNumbered"/>
            </w:pPr>
            <w:r w:rsidRPr="0038644B">
              <w:t xml:space="preserve">Net quantity of electricity generated and delivered to the </w:t>
            </w:r>
            <w:r w:rsidR="00200A3B">
              <w:t>electricity system</w:t>
            </w:r>
            <w:r w:rsidRPr="0038644B">
              <w:t xml:space="preserve"> by power unit</w:t>
            </w:r>
            <w:r w:rsidR="00791CF2">
              <w:t> </w:t>
            </w:r>
            <w:r w:rsidR="00E237FC">
              <w:rPr>
                <w:i/>
              </w:rPr>
              <w:t>p</w:t>
            </w:r>
            <w:r w:rsidRPr="0038644B">
              <w:rPr>
                <w:i/>
              </w:rPr>
              <w:t xml:space="preserve"> </w:t>
            </w:r>
            <w:r w:rsidRPr="0038644B">
              <w:t>in</w:t>
            </w:r>
            <w:r w:rsidR="007241C7">
              <w:t xml:space="preserve"> </w:t>
            </w:r>
            <w:r w:rsidR="007241C7" w:rsidRPr="006A185A">
              <w:t>period</w:t>
            </w:r>
            <w:r w:rsidR="00791CF2">
              <w:rPr>
                <w:i/>
              </w:rPr>
              <w:t> </w:t>
            </w:r>
            <w:r w:rsidR="007241C7">
              <w:rPr>
                <w:i/>
              </w:rPr>
              <w:t>t</w:t>
            </w:r>
            <w:r w:rsidRPr="0038644B">
              <w:rPr>
                <w:i/>
              </w:rPr>
              <w:t xml:space="preserve"> </w:t>
            </w:r>
            <w:r w:rsidRPr="0038644B">
              <w:t>(MWh)</w:t>
            </w:r>
          </w:p>
        </w:tc>
      </w:tr>
      <w:tr w:rsidR="00D54AE9" w:rsidRPr="0038644B" w14:paraId="784D5AEF" w14:textId="77777777" w:rsidTr="00A25D4E">
        <w:tc>
          <w:tcPr>
            <w:tcW w:w="1701" w:type="dxa"/>
            <w:vAlign w:val="top"/>
          </w:tcPr>
          <w:p w14:paraId="12BC46DD" w14:textId="4671D222" w:rsidR="00D54AE9" w:rsidRPr="00425A60" w:rsidRDefault="00000000" w:rsidP="00A25D4E">
            <w:pPr>
              <w:pStyle w:val="SDMTableBoxParaNotNumbered"/>
              <w:rPr>
                <w:i/>
              </w:rPr>
            </w:pPr>
            <m:oMathPara>
              <m:oMathParaPr>
                <m:jc m:val="left"/>
              </m:oMathParaPr>
              <m:oMath>
                <m:sSub>
                  <m:sSubPr>
                    <m:ctrlPr>
                      <w:rPr>
                        <w:rFonts w:ascii="Cambria Math" w:hAnsi="Cambria Math"/>
                        <w:i/>
                      </w:rPr>
                    </m:ctrlPr>
                  </m:sSubPr>
                  <m:e>
                    <m:r>
                      <w:rPr>
                        <w:rFonts w:ascii="Cambria Math" w:hAnsi="Cambria Math"/>
                      </w:rPr>
                      <m:t>EF</m:t>
                    </m:r>
                  </m:e>
                  <m:sub>
                    <m:r>
                      <w:rPr>
                        <w:rFonts w:ascii="Cambria Math" w:hAnsi="Cambria Math"/>
                      </w:rPr>
                      <m:t>EL,p,t</m:t>
                    </m:r>
                  </m:sub>
                </m:sSub>
              </m:oMath>
            </m:oMathPara>
          </w:p>
        </w:tc>
        <w:tc>
          <w:tcPr>
            <w:tcW w:w="345" w:type="dxa"/>
            <w:vAlign w:val="top"/>
          </w:tcPr>
          <w:p w14:paraId="5BF74754" w14:textId="77777777" w:rsidR="00D54AE9" w:rsidRPr="0038644B" w:rsidRDefault="00D54AE9" w:rsidP="00A25D4E">
            <w:pPr>
              <w:pStyle w:val="SDMTableBoxParaNotNumbered"/>
            </w:pPr>
            <w:r w:rsidRPr="0038644B">
              <w:t>=</w:t>
            </w:r>
          </w:p>
        </w:tc>
        <w:tc>
          <w:tcPr>
            <w:tcW w:w="0" w:type="auto"/>
            <w:vAlign w:val="top"/>
          </w:tcPr>
          <w:p w14:paraId="38784073" w14:textId="77777777" w:rsidR="00D54AE9" w:rsidRPr="0038644B" w:rsidRDefault="00D54AE9" w:rsidP="00A25D4E">
            <w:pPr>
              <w:pStyle w:val="SDMTableBoxParaNotNumbered"/>
            </w:pPr>
            <w:r>
              <w:t>CO</w:t>
            </w:r>
            <w:r w:rsidRPr="00FE67D5">
              <w:rPr>
                <w:vertAlign w:val="subscript"/>
              </w:rPr>
              <w:t>2</w:t>
            </w:r>
            <w:r w:rsidRPr="0038644B">
              <w:t xml:space="preserve"> emission factor of power unit</w:t>
            </w:r>
            <w:r w:rsidR="00791CF2">
              <w:t> </w:t>
            </w:r>
            <w:r w:rsidR="00E237FC">
              <w:rPr>
                <w:i/>
              </w:rPr>
              <w:t>p</w:t>
            </w:r>
            <w:r w:rsidRPr="0038644B">
              <w:t xml:space="preserve"> in </w:t>
            </w:r>
            <w:r w:rsidR="0044098C">
              <w:t>period</w:t>
            </w:r>
            <w:r w:rsidR="00791CF2">
              <w:t> </w:t>
            </w:r>
            <w:r w:rsidR="0044098C" w:rsidRPr="00425A60">
              <w:rPr>
                <w:i/>
                <w:iCs/>
              </w:rPr>
              <w:t>t</w:t>
            </w:r>
            <w:r w:rsidR="007241C7">
              <w:t xml:space="preserve"> </w:t>
            </w:r>
            <w:r w:rsidRPr="0038644B">
              <w:t>(t</w:t>
            </w:r>
            <w:r w:rsidR="006A185A">
              <w:t> </w:t>
            </w:r>
            <w:r>
              <w:t>CO</w:t>
            </w:r>
            <w:r w:rsidRPr="00FE67D5">
              <w:rPr>
                <w:vertAlign w:val="subscript"/>
              </w:rPr>
              <w:t>2</w:t>
            </w:r>
            <w:r w:rsidRPr="0038644B">
              <w:t>/MWh)</w:t>
            </w:r>
          </w:p>
        </w:tc>
      </w:tr>
      <w:tr w:rsidR="00D54AE9" w:rsidRPr="0038644B" w14:paraId="0C8BEBC8" w14:textId="77777777" w:rsidTr="00A25D4E">
        <w:tc>
          <w:tcPr>
            <w:tcW w:w="1701" w:type="dxa"/>
            <w:vAlign w:val="top"/>
          </w:tcPr>
          <w:p w14:paraId="4AA676E3" w14:textId="77777777" w:rsidR="00D54AE9" w:rsidRPr="00791CF2" w:rsidRDefault="00F27E5B" w:rsidP="00A25D4E">
            <w:pPr>
              <w:pStyle w:val="SDMTableBoxParaNotNumbered"/>
              <w:rPr>
                <w:i/>
              </w:rPr>
            </w:pPr>
            <m:oMathPara>
              <m:oMathParaPr>
                <m:jc m:val="left"/>
              </m:oMathParaPr>
              <m:oMath>
                <m:r>
                  <w:rPr>
                    <w:rFonts w:ascii="Cambria Math" w:hAnsi="Cambria Math"/>
                  </w:rPr>
                  <m:t>p</m:t>
                </m:r>
              </m:oMath>
            </m:oMathPara>
          </w:p>
        </w:tc>
        <w:tc>
          <w:tcPr>
            <w:tcW w:w="345" w:type="dxa"/>
            <w:vAlign w:val="top"/>
          </w:tcPr>
          <w:p w14:paraId="6F2BCA3D" w14:textId="77777777" w:rsidR="00D54AE9" w:rsidRPr="0038644B" w:rsidRDefault="00D54AE9" w:rsidP="00A25D4E">
            <w:pPr>
              <w:pStyle w:val="SDMTableBoxParaNotNumbered"/>
            </w:pPr>
            <w:r w:rsidRPr="0038644B">
              <w:t>=</w:t>
            </w:r>
          </w:p>
        </w:tc>
        <w:tc>
          <w:tcPr>
            <w:tcW w:w="0" w:type="auto"/>
            <w:vAlign w:val="top"/>
          </w:tcPr>
          <w:p w14:paraId="7DFA75F3" w14:textId="6E2E222F" w:rsidR="00D54AE9" w:rsidRPr="0038644B" w:rsidRDefault="005E2119" w:rsidP="00A25D4E">
            <w:pPr>
              <w:pStyle w:val="SDMTableBoxParaNotNumbered"/>
            </w:pPr>
            <w:r>
              <w:t>P</w:t>
            </w:r>
            <w:r w:rsidR="00D54AE9" w:rsidRPr="0038644B">
              <w:t>ower unit</w:t>
            </w:r>
            <w:r w:rsidR="00200A3B">
              <w:t>s</w:t>
            </w:r>
            <w:r w:rsidR="00D54AE9" w:rsidRPr="0038644B">
              <w:t xml:space="preserve"> </w:t>
            </w:r>
            <w:r w:rsidR="00461FE0">
              <w:t>not</w:t>
            </w:r>
            <w:r w:rsidR="00D54AE9" w:rsidRPr="0038644B">
              <w:t xml:space="preserve"> </w:t>
            </w:r>
            <w:r w:rsidR="009B0A30">
              <w:t>designated as must-run power unit</w:t>
            </w:r>
            <w:r w:rsidR="002F335B">
              <w:t>s</w:t>
            </w:r>
            <w:r w:rsidR="009B0A30">
              <w:t xml:space="preserve"> </w:t>
            </w:r>
            <w:r w:rsidRPr="007A16E3">
              <w:t xml:space="preserve">delivering electricity to the </w:t>
            </w:r>
            <w:r w:rsidR="00200A3B">
              <w:t>electricity system</w:t>
            </w:r>
            <w:r w:rsidR="00D54AE9" w:rsidRPr="0038644B">
              <w:t xml:space="preserve"> in </w:t>
            </w:r>
            <w:r w:rsidR="00E86345">
              <w:t>period</w:t>
            </w:r>
            <w:r w:rsidR="00D54AE9" w:rsidRPr="0077016A">
              <w:t> </w:t>
            </w:r>
            <w:r w:rsidR="00E56960">
              <w:rPr>
                <w:i/>
              </w:rPr>
              <w:t>t</w:t>
            </w:r>
          </w:p>
        </w:tc>
      </w:tr>
      <w:tr w:rsidR="00593A00" w:rsidRPr="0038644B" w14:paraId="7D037888" w14:textId="77777777" w:rsidTr="00A25D4E">
        <w:tc>
          <w:tcPr>
            <w:tcW w:w="1701" w:type="dxa"/>
            <w:vAlign w:val="top"/>
          </w:tcPr>
          <w:p w14:paraId="6EE11EE9" w14:textId="00F686B7" w:rsidR="007241C7" w:rsidRPr="00F77930" w:rsidRDefault="00425A60" w:rsidP="00A25D4E">
            <w:pPr>
              <w:pStyle w:val="SDMTableBoxParaNotNumbered"/>
              <w:rPr>
                <w:rFonts w:eastAsiaTheme="minorEastAsia"/>
                <w:i/>
                <w:lang w:eastAsia="zh-CN"/>
              </w:rPr>
            </w:pPr>
            <m:oMathPara>
              <m:oMathParaPr>
                <m:jc m:val="left"/>
              </m:oMathParaPr>
              <m:oMath>
                <m:r>
                  <w:rPr>
                    <w:rFonts w:ascii="Cambria Math" w:eastAsiaTheme="minorEastAsia" w:hAnsi="Cambria Math"/>
                    <w:lang w:eastAsia="zh-CN"/>
                  </w:rPr>
                  <m:t>t</m:t>
                </m:r>
              </m:oMath>
            </m:oMathPara>
          </w:p>
        </w:tc>
        <w:tc>
          <w:tcPr>
            <w:tcW w:w="345" w:type="dxa"/>
            <w:vAlign w:val="top"/>
          </w:tcPr>
          <w:p w14:paraId="4D6BC6E2" w14:textId="77777777" w:rsidR="007241C7" w:rsidRPr="00E53C5F" w:rsidRDefault="007241C7" w:rsidP="00A25D4E">
            <w:pPr>
              <w:pStyle w:val="SDMTableBoxParaNotNumbered"/>
              <w:rPr>
                <w:rFonts w:eastAsiaTheme="minorEastAsia"/>
                <w:lang w:eastAsia="zh-CN"/>
              </w:rPr>
            </w:pPr>
            <w:r>
              <w:rPr>
                <w:rFonts w:eastAsiaTheme="minorEastAsia" w:hint="eastAsia"/>
                <w:lang w:eastAsia="zh-CN"/>
              </w:rPr>
              <w:t>=</w:t>
            </w:r>
          </w:p>
        </w:tc>
        <w:tc>
          <w:tcPr>
            <w:tcW w:w="0" w:type="auto"/>
            <w:vAlign w:val="top"/>
          </w:tcPr>
          <w:p w14:paraId="3AB997DB" w14:textId="3558DE21" w:rsidR="007241C7" w:rsidRPr="00F50A68" w:rsidRDefault="00CE4F2F" w:rsidP="00A25D4E">
            <w:pPr>
              <w:pStyle w:val="SDMTableBoxParaNotNumbered"/>
              <w:rPr>
                <w:rFonts w:eastAsiaTheme="minorEastAsia"/>
                <w:lang w:eastAsia="zh-CN"/>
              </w:rPr>
            </w:pPr>
            <w:r w:rsidRPr="00F50A68">
              <w:rPr>
                <w:rFonts w:eastAsiaTheme="minorEastAsia"/>
                <w:lang w:eastAsia="zh-CN"/>
              </w:rPr>
              <w:t>Relevant period</w:t>
            </w:r>
            <w:r w:rsidR="00D13713" w:rsidRPr="00F50A68">
              <w:rPr>
                <w:rFonts w:eastAsiaTheme="minorEastAsia"/>
                <w:lang w:eastAsia="zh-CN"/>
              </w:rPr>
              <w:t>: under the ex</w:t>
            </w:r>
            <w:r w:rsidR="006D3BEE">
              <w:rPr>
                <w:rFonts w:eastAsiaTheme="minorEastAsia"/>
                <w:lang w:eastAsia="zh-CN"/>
              </w:rPr>
              <w:t> </w:t>
            </w:r>
            <w:r w:rsidR="00D13713" w:rsidRPr="00F50A68">
              <w:rPr>
                <w:rFonts w:eastAsiaTheme="minorEastAsia"/>
                <w:lang w:eastAsia="zh-CN"/>
              </w:rPr>
              <w:t xml:space="preserve">ante option the </w:t>
            </w:r>
            <w:r w:rsidR="00E77536" w:rsidRPr="00F50A68">
              <w:rPr>
                <w:rFonts w:eastAsiaTheme="minorEastAsia"/>
                <w:lang w:eastAsia="zh-CN"/>
              </w:rPr>
              <w:t xml:space="preserve">most recent three historical calendar years for which data </w:t>
            </w:r>
            <w:r w:rsidR="00D17D80">
              <w:rPr>
                <w:rFonts w:eastAsiaTheme="minorEastAsia"/>
                <w:lang w:eastAsia="zh-CN"/>
              </w:rPr>
              <w:t>are</w:t>
            </w:r>
            <w:r w:rsidR="00D17D80" w:rsidRPr="00F50A68">
              <w:rPr>
                <w:rFonts w:eastAsiaTheme="minorEastAsia"/>
                <w:lang w:eastAsia="zh-CN"/>
              </w:rPr>
              <w:t xml:space="preserve"> </w:t>
            </w:r>
            <w:r w:rsidR="00E77536" w:rsidRPr="00F50A68">
              <w:rPr>
                <w:rFonts w:eastAsiaTheme="minorEastAsia"/>
                <w:lang w:eastAsia="zh-CN"/>
              </w:rPr>
              <w:t>available at the time of submission of the PDD to the DOE for validation; under the ex</w:t>
            </w:r>
            <w:r w:rsidR="006D3BEE">
              <w:rPr>
                <w:rFonts w:eastAsiaTheme="minorEastAsia"/>
                <w:lang w:eastAsia="zh-CN"/>
              </w:rPr>
              <w:t> </w:t>
            </w:r>
            <w:r w:rsidR="00E77536" w:rsidRPr="00F50A68">
              <w:rPr>
                <w:rFonts w:eastAsiaTheme="minorEastAsia"/>
                <w:lang w:eastAsia="zh-CN"/>
              </w:rPr>
              <w:t xml:space="preserve">post option, the </w:t>
            </w:r>
            <w:r w:rsidRPr="00F50A68">
              <w:rPr>
                <w:rFonts w:eastAsiaTheme="minorEastAsia"/>
                <w:lang w:eastAsia="zh-CN"/>
              </w:rPr>
              <w:t>calendar year y of the crediting period</w:t>
            </w:r>
            <w:r w:rsidR="00137598" w:rsidRPr="00F50A68">
              <w:rPr>
                <w:rFonts w:eastAsiaTheme="minorEastAsia"/>
                <w:lang w:eastAsia="zh-CN"/>
              </w:rPr>
              <w:t xml:space="preserve"> or</w:t>
            </w:r>
            <w:r w:rsidRPr="00F50A68">
              <w:rPr>
                <w:rFonts w:eastAsiaTheme="minorEastAsia"/>
                <w:lang w:eastAsia="zh-CN"/>
              </w:rPr>
              <w:t xml:space="preserve"> </w:t>
            </w:r>
            <w:r w:rsidR="00E77536" w:rsidRPr="00F50A68">
              <w:rPr>
                <w:rFonts w:eastAsiaTheme="minorEastAsia"/>
                <w:lang w:eastAsia="zh-CN"/>
              </w:rPr>
              <w:t xml:space="preserve">the </w:t>
            </w:r>
            <w:r w:rsidRPr="00F50A68">
              <w:rPr>
                <w:rFonts w:eastAsiaTheme="minorEastAsia"/>
                <w:lang w:eastAsia="zh-CN"/>
              </w:rPr>
              <w:t>historical year v</w:t>
            </w:r>
          </w:p>
        </w:tc>
      </w:tr>
    </w:tbl>
    <w:p w14:paraId="093400A8" w14:textId="6FFF8427" w:rsidR="00D54AE9" w:rsidRPr="008163A5" w:rsidRDefault="00D72C58">
      <w:pPr>
        <w:pStyle w:val="SDMPara"/>
      </w:pPr>
      <w:r w:rsidRPr="00F50A68">
        <w:t>The CO</w:t>
      </w:r>
      <w:r w:rsidRPr="00F50A68">
        <w:rPr>
          <w:vertAlign w:val="subscript"/>
        </w:rPr>
        <w:t>2</w:t>
      </w:r>
      <w:r w:rsidRPr="00F50A68">
        <w:t xml:space="preserve"> emission factor of the power units </w:t>
      </w:r>
      <w:r w:rsidRPr="00F50A68">
        <w:rPr>
          <w:i/>
        </w:rPr>
        <w:t>p</w:t>
      </w:r>
      <w:r w:rsidRPr="00F50A68">
        <w:t xml:space="preserve"> (</w:t>
      </w:r>
      <w:r w:rsidRPr="00F50A68">
        <w:rPr>
          <w:i/>
        </w:rPr>
        <w:t>EF</w:t>
      </w:r>
      <w:r w:rsidRPr="00F50A68">
        <w:rPr>
          <w:i/>
          <w:vertAlign w:val="subscript"/>
        </w:rPr>
        <w:t>EL,p,t</w:t>
      </w:r>
      <w:r w:rsidRPr="00F50A68">
        <w:t xml:space="preserve">) </w:t>
      </w:r>
      <w:r w:rsidR="00BA448C" w:rsidRPr="00F50A68">
        <w:t>shall</w:t>
      </w:r>
      <w:r w:rsidR="27D43BFB" w:rsidRPr="00F50A68">
        <w:t xml:space="preserve"> be determined </w:t>
      </w:r>
      <w:r w:rsidR="00765D7F">
        <w:t>in accordance with</w:t>
      </w:r>
      <w:r w:rsidR="27D43BFB" w:rsidRPr="00F50A68">
        <w:t xml:space="preserve"> the </w:t>
      </w:r>
      <w:r w:rsidRPr="00F50A68">
        <w:t>provisions</w:t>
      </w:r>
      <w:r w:rsidR="27D43BFB" w:rsidRPr="00F50A68">
        <w:t xml:space="preserve"> </w:t>
      </w:r>
      <w:r w:rsidR="00765D7F">
        <w:t>of</w:t>
      </w:r>
      <w:r w:rsidR="00765D7F" w:rsidRPr="00F50A68">
        <w:t xml:space="preserve"> </w:t>
      </w:r>
      <w:r w:rsidR="003F7DDF" w:rsidRPr="00F50A68">
        <w:t>section</w:t>
      </w:r>
      <w:r w:rsidR="00D34A16">
        <w:t xml:space="preserve"> </w:t>
      </w:r>
      <w:r w:rsidR="00D34A16">
        <w:fldChar w:fldCharType="begin"/>
      </w:r>
      <w:r w:rsidR="00D34A16">
        <w:instrText xml:space="preserve"> REF _Ref215698796 \w \h </w:instrText>
      </w:r>
      <w:r w:rsidR="00D34A16">
        <w:fldChar w:fldCharType="separate"/>
      </w:r>
      <w:r w:rsidR="00D811A8">
        <w:rPr>
          <w:cs/>
        </w:rPr>
        <w:t>‎</w:t>
      </w:r>
      <w:r w:rsidR="00D811A8">
        <w:t>5.7.1.1.3</w:t>
      </w:r>
      <w:r w:rsidR="00D34A16">
        <w:fldChar w:fldCharType="end"/>
      </w:r>
      <w:r w:rsidR="003F7DDF" w:rsidRPr="00F50A68">
        <w:t>.</w:t>
      </w:r>
    </w:p>
    <w:p w14:paraId="2B09DB43" w14:textId="35C0B3E2" w:rsidR="003F7DDF" w:rsidRPr="007A16E3" w:rsidRDefault="003F7DDF" w:rsidP="00C72647">
      <w:pPr>
        <w:pStyle w:val="SDMPara"/>
        <w:keepNext/>
      </w:pPr>
      <w:bookmarkStart w:id="495" w:name="_Ref215687853"/>
      <w:r w:rsidRPr="007A16E3">
        <w:t>Under</w:t>
      </w:r>
      <w:r w:rsidRPr="007A16E3" w:rsidDel="00C21CB3">
        <w:t xml:space="preserve"> </w:t>
      </w:r>
      <w:r w:rsidR="00C21CB3" w:rsidRPr="00192DD8">
        <w:t>approach</w:t>
      </w:r>
      <w:r w:rsidR="0033417D">
        <w:t> </w:t>
      </w:r>
      <w:r w:rsidRPr="00192DD8">
        <w:t>B</w:t>
      </w:r>
      <w:r w:rsidRPr="007A16E3">
        <w:t xml:space="preserve">, the simple OM emission factor </w:t>
      </w:r>
      <w:r>
        <w:t>shall be</w:t>
      </w:r>
      <w:r w:rsidRPr="007A16E3">
        <w:t xml:space="preserve"> calculated based on the </w:t>
      </w:r>
      <w:r w:rsidR="2CE001A2">
        <w:t>total net electricity generation of all power units serving the electricity system that are not designated as must-run power units and the fuel types and total fuel consumption of these power units</w:t>
      </w:r>
      <w:bookmarkEnd w:id="495"/>
      <w:r w:rsidRPr="007A16E3">
        <w:t>, as follows:</w:t>
      </w:r>
    </w:p>
    <w:tbl>
      <w:tblPr>
        <w:tblStyle w:val="SDMMethTableEquation"/>
        <w:tblW w:w="8760" w:type="dxa"/>
        <w:tblLook w:val="0600" w:firstRow="0" w:lastRow="0" w:firstColumn="0" w:lastColumn="0" w:noHBand="1" w:noVBand="1"/>
      </w:tblPr>
      <w:tblGrid>
        <w:gridCol w:w="7102"/>
        <w:gridCol w:w="1658"/>
      </w:tblGrid>
      <w:tr w:rsidR="003F7DDF" w:rsidRPr="007A16E3" w14:paraId="210C3FF3" w14:textId="77777777">
        <w:tc>
          <w:tcPr>
            <w:tcW w:w="7224" w:type="dxa"/>
          </w:tcPr>
          <w:p w14:paraId="342D75F4" w14:textId="77777777" w:rsidR="003F7DDF" w:rsidRPr="0060151F" w:rsidRDefault="00000000">
            <w:pPr>
              <w:pStyle w:val="SDMMethEquation"/>
            </w:pPr>
            <m:oMathPara>
              <m:oMathParaPr>
                <m:jc m:val="left"/>
              </m:oMathParaPr>
              <m:oMath>
                <m:sSub>
                  <m:sSubPr>
                    <m:ctrlPr>
                      <w:rPr>
                        <w:rFonts w:ascii="Cambria Math" w:hAnsi="Cambria Math"/>
                        <w:i/>
                      </w:rPr>
                    </m:ctrlPr>
                  </m:sSubPr>
                  <m:e>
                    <m:r>
                      <w:rPr>
                        <w:rFonts w:ascii="Cambria Math" w:hAnsi="Cambria Math"/>
                      </w:rPr>
                      <m:t>EF</m:t>
                    </m:r>
                  </m:e>
                  <m:sub>
                    <m:r>
                      <w:rPr>
                        <w:rFonts w:ascii="Cambria Math" w:hAnsi="Cambria Math"/>
                      </w:rPr>
                      <m:t>OM,simple,t</m:t>
                    </m:r>
                  </m:sub>
                </m:sSub>
                <m:r>
                  <w:rPr>
                    <w:rFonts w:ascii="Cambria Math" w:hAnsi="Cambria Math"/>
                  </w:rPr>
                  <m:t>=</m:t>
                </m:r>
                <m:f>
                  <m:fPr>
                    <m:ctrlPr>
                      <w:rPr>
                        <w:rFonts w:ascii="Cambria Math" w:hAnsi="Cambria Math"/>
                        <w:i/>
                      </w:rPr>
                    </m:ctrlPr>
                  </m:fPr>
                  <m:num>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FC</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NCV</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CO2,i,t</m:t>
                            </m:r>
                          </m:sub>
                        </m:sSub>
                      </m:e>
                    </m:nary>
                  </m:num>
                  <m:den>
                    <m:sSub>
                      <m:sSubPr>
                        <m:ctrlPr>
                          <w:rPr>
                            <w:rFonts w:ascii="Cambria Math" w:hAnsi="Cambria Math"/>
                            <w:i/>
                          </w:rPr>
                        </m:ctrlPr>
                      </m:sSubPr>
                      <m:e>
                        <m:r>
                          <w:rPr>
                            <w:rFonts w:ascii="Cambria Math" w:hAnsi="Cambria Math"/>
                          </w:rPr>
                          <m:t>EG</m:t>
                        </m:r>
                      </m:e>
                      <m:sub>
                        <m:r>
                          <w:rPr>
                            <w:rFonts w:ascii="Cambria Math" w:hAnsi="Cambria Math"/>
                          </w:rPr>
                          <m:t>t</m:t>
                        </m:r>
                      </m:sub>
                    </m:sSub>
                  </m:den>
                </m:f>
              </m:oMath>
            </m:oMathPara>
          </w:p>
        </w:tc>
        <w:tc>
          <w:tcPr>
            <w:tcW w:w="1701" w:type="dxa"/>
          </w:tcPr>
          <w:p w14:paraId="4F12D899" w14:textId="77777777" w:rsidR="003F7DDF" w:rsidRPr="007A16E3" w:rsidRDefault="003F7DDF">
            <w:pPr>
              <w:pStyle w:val="SDMMethEquationNr"/>
              <w:numPr>
                <w:ilvl w:val="0"/>
                <w:numId w:val="6"/>
              </w:numPr>
            </w:pPr>
          </w:p>
        </w:tc>
      </w:tr>
    </w:tbl>
    <w:p w14:paraId="6DFE0300" w14:textId="77777777" w:rsidR="003F7DDF" w:rsidRPr="007A16E3" w:rsidRDefault="003F7DDF" w:rsidP="00C72647">
      <w:pPr>
        <w:pStyle w:val="SDMMethCaptionEquationParametersTable"/>
        <w:keepLines w:val="0"/>
      </w:pPr>
      <w:r w:rsidRPr="007A16E3">
        <w:t>Where:</w:t>
      </w:r>
    </w:p>
    <w:tbl>
      <w:tblPr>
        <w:tblStyle w:val="SDMMethTableEquationParameters"/>
        <w:tblW w:w="8505" w:type="dxa"/>
        <w:tblInd w:w="601" w:type="dxa"/>
        <w:tblLook w:val="04A0" w:firstRow="1" w:lastRow="0" w:firstColumn="1" w:lastColumn="0" w:noHBand="0" w:noVBand="1"/>
      </w:tblPr>
      <w:tblGrid>
        <w:gridCol w:w="1701"/>
        <w:gridCol w:w="345"/>
        <w:gridCol w:w="6459"/>
      </w:tblGrid>
      <w:tr w:rsidR="003F7DDF" w:rsidRPr="007967A9" w14:paraId="7679D07B" w14:textId="77777777" w:rsidTr="007967A9">
        <w:tc>
          <w:tcPr>
            <w:tcW w:w="1701" w:type="dxa"/>
            <w:vAlign w:val="top"/>
          </w:tcPr>
          <w:p w14:paraId="44C5F9E8" w14:textId="395BBC2F" w:rsidR="003F7DDF" w:rsidRPr="007967A9" w:rsidRDefault="00000000" w:rsidP="007967A9">
            <w:pPr>
              <w:pStyle w:val="SDMTableBoxParaNotNumbered"/>
              <w:keepNext/>
              <w:rPr>
                <w:rFonts w:cs="Arial"/>
                <w:i/>
              </w:rPr>
            </w:pPr>
            <m:oMathPara>
              <m:oMathParaPr>
                <m:jc m:val="left"/>
              </m:oMathParaPr>
              <m:oMath>
                <m:sSub>
                  <m:sSubPr>
                    <m:ctrlPr>
                      <w:rPr>
                        <w:rFonts w:ascii="Cambria Math" w:hAnsi="Cambria Math" w:cs="Arial"/>
                        <w:i/>
                      </w:rPr>
                    </m:ctrlPr>
                  </m:sSubPr>
                  <m:e>
                    <m:r>
                      <w:rPr>
                        <w:rFonts w:ascii="Cambria Math" w:hAnsi="Cambria Math" w:cs="Arial"/>
                      </w:rPr>
                      <m:t>EF</m:t>
                    </m:r>
                  </m:e>
                  <m:sub>
                    <m:r>
                      <w:rPr>
                        <w:rFonts w:ascii="Cambria Math" w:hAnsi="Cambria Math" w:cs="Arial"/>
                      </w:rPr>
                      <m:t>OM,simple,t</m:t>
                    </m:r>
                  </m:sub>
                </m:sSub>
              </m:oMath>
            </m:oMathPara>
          </w:p>
        </w:tc>
        <w:tc>
          <w:tcPr>
            <w:tcW w:w="345" w:type="dxa"/>
            <w:vAlign w:val="top"/>
          </w:tcPr>
          <w:p w14:paraId="7A110A20" w14:textId="77777777" w:rsidR="003F7DDF" w:rsidRPr="007967A9" w:rsidRDefault="003F7DDF" w:rsidP="007967A9">
            <w:pPr>
              <w:pStyle w:val="SDMTableBoxParaNotNumbered"/>
              <w:keepNext/>
              <w:rPr>
                <w:rFonts w:cs="Arial"/>
              </w:rPr>
            </w:pPr>
            <w:r w:rsidRPr="007967A9">
              <w:rPr>
                <w:rFonts w:cs="Arial"/>
              </w:rPr>
              <w:t>=</w:t>
            </w:r>
          </w:p>
        </w:tc>
        <w:tc>
          <w:tcPr>
            <w:tcW w:w="6459" w:type="dxa"/>
            <w:vAlign w:val="top"/>
          </w:tcPr>
          <w:p w14:paraId="7ABE6D73" w14:textId="7661115A" w:rsidR="003F7DDF" w:rsidRPr="007967A9" w:rsidRDefault="003F7DDF" w:rsidP="007967A9">
            <w:pPr>
              <w:pStyle w:val="SDMTableBoxParaNotNumbered"/>
              <w:keepNext/>
              <w:rPr>
                <w:rFonts w:cs="Arial"/>
              </w:rPr>
            </w:pPr>
            <w:r w:rsidRPr="007967A9">
              <w:rPr>
                <w:rFonts w:cs="Arial"/>
              </w:rPr>
              <w:t xml:space="preserve">Simple </w:t>
            </w:r>
            <w:r w:rsidR="00BB1C82" w:rsidRPr="007967A9">
              <w:rPr>
                <w:rFonts w:cs="Arial"/>
              </w:rPr>
              <w:t>OM</w:t>
            </w:r>
            <w:r w:rsidRPr="007967A9">
              <w:rPr>
                <w:rFonts w:cs="Arial"/>
              </w:rPr>
              <w:t xml:space="preserve"> CO</w:t>
            </w:r>
            <w:r w:rsidRPr="007967A9">
              <w:rPr>
                <w:rFonts w:cs="Arial"/>
                <w:vertAlign w:val="subscript"/>
              </w:rPr>
              <w:t>2</w:t>
            </w:r>
            <w:r w:rsidRPr="007967A9">
              <w:rPr>
                <w:rFonts w:cs="Arial"/>
              </w:rPr>
              <w:t xml:space="preserve"> emission factor in period </w:t>
            </w:r>
            <w:r w:rsidRPr="007967A9">
              <w:rPr>
                <w:rFonts w:cs="Arial"/>
                <w:i/>
              </w:rPr>
              <w:t xml:space="preserve">t </w:t>
            </w:r>
            <w:r w:rsidRPr="007967A9">
              <w:rPr>
                <w:rFonts w:cs="Arial"/>
              </w:rPr>
              <w:t>(t CO</w:t>
            </w:r>
            <w:r w:rsidRPr="007967A9">
              <w:rPr>
                <w:rFonts w:cs="Arial"/>
                <w:vertAlign w:val="subscript"/>
              </w:rPr>
              <w:t>2</w:t>
            </w:r>
            <w:r w:rsidRPr="007967A9">
              <w:rPr>
                <w:rFonts w:cs="Arial"/>
              </w:rPr>
              <w:t>/MWh)</w:t>
            </w:r>
          </w:p>
        </w:tc>
      </w:tr>
      <w:tr w:rsidR="003F7DDF" w:rsidRPr="007967A9" w14:paraId="673C6C91" w14:textId="77777777" w:rsidTr="007967A9">
        <w:tc>
          <w:tcPr>
            <w:tcW w:w="1701" w:type="dxa"/>
            <w:vAlign w:val="top"/>
          </w:tcPr>
          <w:p w14:paraId="3A3FFAB1" w14:textId="03096401" w:rsidR="003F7DDF" w:rsidRPr="007967A9" w:rsidRDefault="00000000" w:rsidP="007967A9">
            <w:pPr>
              <w:pStyle w:val="SDMTableBoxParaNotNumbered"/>
              <w:rPr>
                <w:rFonts w:cs="Arial"/>
                <w:i/>
              </w:rPr>
            </w:pPr>
            <m:oMathPara>
              <m:oMathParaPr>
                <m:jc m:val="left"/>
              </m:oMathParaPr>
              <m:oMath>
                <m:sSub>
                  <m:sSubPr>
                    <m:ctrlPr>
                      <w:rPr>
                        <w:rFonts w:ascii="Cambria Math" w:hAnsi="Cambria Math" w:cs="Arial"/>
                        <w:i/>
                      </w:rPr>
                    </m:ctrlPr>
                  </m:sSubPr>
                  <m:e>
                    <m:r>
                      <w:rPr>
                        <w:rFonts w:ascii="Cambria Math" w:hAnsi="Cambria Math" w:cs="Arial"/>
                      </w:rPr>
                      <m:t>FC</m:t>
                    </m:r>
                  </m:e>
                  <m:sub>
                    <m:r>
                      <w:rPr>
                        <w:rFonts w:ascii="Cambria Math" w:hAnsi="Cambria Math" w:cs="Arial"/>
                      </w:rPr>
                      <m:t>i,t</m:t>
                    </m:r>
                  </m:sub>
                </m:sSub>
              </m:oMath>
            </m:oMathPara>
          </w:p>
        </w:tc>
        <w:tc>
          <w:tcPr>
            <w:tcW w:w="345" w:type="dxa"/>
            <w:vAlign w:val="top"/>
          </w:tcPr>
          <w:p w14:paraId="43812374" w14:textId="77777777" w:rsidR="003F7DDF" w:rsidRPr="007967A9" w:rsidRDefault="003F7DDF" w:rsidP="007967A9">
            <w:pPr>
              <w:pStyle w:val="SDMTableBoxParaNotNumbered"/>
              <w:rPr>
                <w:rFonts w:cs="Arial"/>
              </w:rPr>
            </w:pPr>
            <w:r w:rsidRPr="007967A9">
              <w:rPr>
                <w:rFonts w:cs="Arial"/>
              </w:rPr>
              <w:t>=</w:t>
            </w:r>
          </w:p>
        </w:tc>
        <w:tc>
          <w:tcPr>
            <w:tcW w:w="6459" w:type="dxa"/>
            <w:vAlign w:val="top"/>
          </w:tcPr>
          <w:p w14:paraId="6ACEF9EE" w14:textId="2A4060C8" w:rsidR="009C0775" w:rsidRPr="007967A9" w:rsidRDefault="003F7DDF" w:rsidP="007967A9">
            <w:pPr>
              <w:pStyle w:val="SDMTableBoxParaNotNumbered"/>
              <w:rPr>
                <w:rFonts w:cs="Arial"/>
                <w:i/>
                <w:iCs/>
              </w:rPr>
            </w:pPr>
            <w:r w:rsidRPr="007967A9">
              <w:rPr>
                <w:rFonts w:cs="Arial"/>
              </w:rPr>
              <w:t>Amount of fuel type </w:t>
            </w:r>
            <w:r w:rsidRPr="007967A9">
              <w:rPr>
                <w:rFonts w:cs="Arial"/>
                <w:i/>
                <w:iCs/>
              </w:rPr>
              <w:t>i</w:t>
            </w:r>
            <w:r w:rsidRPr="007967A9">
              <w:rPr>
                <w:rFonts w:cs="Arial"/>
              </w:rPr>
              <w:t xml:space="preserve"> consumed </w:t>
            </w:r>
            <w:r w:rsidR="1C255BC8" w:rsidRPr="007967A9">
              <w:rPr>
                <w:rFonts w:cs="Arial"/>
              </w:rPr>
              <w:t>by power units</w:t>
            </w:r>
            <w:r w:rsidRPr="007967A9">
              <w:rPr>
                <w:rFonts w:cs="Arial"/>
              </w:rPr>
              <w:t xml:space="preserve"> </w:t>
            </w:r>
            <w:r w:rsidR="4CCE3579" w:rsidRPr="007967A9">
              <w:rPr>
                <w:rFonts w:cs="Arial"/>
              </w:rPr>
              <w:t>that are not designated as must-run power units</w:t>
            </w:r>
            <w:r w:rsidRPr="007967A9">
              <w:rPr>
                <w:rFonts w:cs="Arial"/>
              </w:rPr>
              <w:t xml:space="preserve"> in period </w:t>
            </w:r>
            <w:r w:rsidRPr="007967A9">
              <w:rPr>
                <w:rFonts w:cs="Arial"/>
                <w:i/>
                <w:iCs/>
              </w:rPr>
              <w:t>t</w:t>
            </w:r>
          </w:p>
          <w:p w14:paraId="4C39FA19" w14:textId="50FBE6B8" w:rsidR="003F7DDF" w:rsidRPr="007967A9" w:rsidRDefault="003F7DDF" w:rsidP="007967A9">
            <w:pPr>
              <w:pStyle w:val="SDMTableBoxParaNotNumbered"/>
              <w:rPr>
                <w:rFonts w:cs="Arial"/>
              </w:rPr>
            </w:pPr>
            <w:r w:rsidRPr="007967A9">
              <w:rPr>
                <w:rFonts w:cs="Arial"/>
              </w:rPr>
              <w:t>(mass or volume unit)</w:t>
            </w:r>
          </w:p>
        </w:tc>
      </w:tr>
      <w:tr w:rsidR="003F7DDF" w:rsidRPr="007967A9" w14:paraId="3CFF0F7D" w14:textId="77777777" w:rsidTr="007967A9">
        <w:tc>
          <w:tcPr>
            <w:tcW w:w="1701" w:type="dxa"/>
            <w:vAlign w:val="top"/>
          </w:tcPr>
          <w:p w14:paraId="141DEE90" w14:textId="673CB3B6" w:rsidR="003F7DDF" w:rsidRPr="007967A9" w:rsidRDefault="00000000" w:rsidP="007967A9">
            <w:pPr>
              <w:pStyle w:val="SDMTableBoxParaNotNumbered"/>
              <w:rPr>
                <w:rFonts w:cs="Arial"/>
                <w:i/>
              </w:rPr>
            </w:pPr>
            <m:oMathPara>
              <m:oMathParaPr>
                <m:jc m:val="left"/>
              </m:oMathParaPr>
              <m:oMath>
                <m:sSub>
                  <m:sSubPr>
                    <m:ctrlPr>
                      <w:rPr>
                        <w:rFonts w:ascii="Cambria Math" w:hAnsi="Cambria Math" w:cs="Arial"/>
                        <w:i/>
                      </w:rPr>
                    </m:ctrlPr>
                  </m:sSubPr>
                  <m:e>
                    <m:r>
                      <w:rPr>
                        <w:rFonts w:ascii="Cambria Math" w:hAnsi="Cambria Math" w:cs="Arial"/>
                      </w:rPr>
                      <m:t>NCV</m:t>
                    </m:r>
                  </m:e>
                  <m:sub>
                    <m:r>
                      <w:rPr>
                        <w:rFonts w:ascii="Cambria Math" w:hAnsi="Cambria Math" w:cs="Arial"/>
                      </w:rPr>
                      <m:t>i,t</m:t>
                    </m:r>
                  </m:sub>
                </m:sSub>
              </m:oMath>
            </m:oMathPara>
          </w:p>
        </w:tc>
        <w:tc>
          <w:tcPr>
            <w:tcW w:w="345" w:type="dxa"/>
            <w:vAlign w:val="top"/>
          </w:tcPr>
          <w:p w14:paraId="5B55D5C4" w14:textId="77777777" w:rsidR="003F7DDF" w:rsidRPr="007967A9" w:rsidRDefault="003F7DDF" w:rsidP="007967A9">
            <w:pPr>
              <w:pStyle w:val="SDMTableBoxParaNotNumbered"/>
              <w:rPr>
                <w:rFonts w:cs="Arial"/>
              </w:rPr>
            </w:pPr>
            <w:r w:rsidRPr="007967A9">
              <w:rPr>
                <w:rFonts w:cs="Arial"/>
              </w:rPr>
              <w:t>=</w:t>
            </w:r>
          </w:p>
        </w:tc>
        <w:tc>
          <w:tcPr>
            <w:tcW w:w="6459" w:type="dxa"/>
            <w:vAlign w:val="top"/>
          </w:tcPr>
          <w:p w14:paraId="5152B6FD" w14:textId="77777777" w:rsidR="009C0775" w:rsidRPr="007967A9" w:rsidRDefault="003F7DDF" w:rsidP="007967A9">
            <w:pPr>
              <w:pStyle w:val="SDMTableBoxParaNotNumbered"/>
              <w:rPr>
                <w:rFonts w:cs="Arial"/>
                <w:i/>
                <w:iCs/>
              </w:rPr>
            </w:pPr>
            <w:r w:rsidRPr="007967A9">
              <w:rPr>
                <w:rFonts w:cs="Arial"/>
              </w:rPr>
              <w:t>Net calorific value (energy content) of fuel type </w:t>
            </w:r>
            <w:r w:rsidRPr="007967A9">
              <w:rPr>
                <w:rFonts w:cs="Arial"/>
                <w:i/>
              </w:rPr>
              <w:t>i</w:t>
            </w:r>
            <w:r w:rsidRPr="007967A9">
              <w:rPr>
                <w:rFonts w:cs="Arial"/>
              </w:rPr>
              <w:t xml:space="preserve"> in period </w:t>
            </w:r>
            <w:r w:rsidRPr="007967A9">
              <w:rPr>
                <w:rFonts w:cs="Arial"/>
                <w:i/>
                <w:iCs/>
              </w:rPr>
              <w:t>t</w:t>
            </w:r>
          </w:p>
          <w:p w14:paraId="06F696AD" w14:textId="263B705F" w:rsidR="003F7DDF" w:rsidRPr="007967A9" w:rsidRDefault="003F7DDF" w:rsidP="007967A9">
            <w:pPr>
              <w:pStyle w:val="SDMTableBoxParaNotNumbered"/>
              <w:rPr>
                <w:rFonts w:cs="Arial"/>
              </w:rPr>
            </w:pPr>
            <w:r w:rsidRPr="007967A9">
              <w:rPr>
                <w:rFonts w:cs="Arial"/>
              </w:rPr>
              <w:t>(GJ/mass or volume unit)</w:t>
            </w:r>
          </w:p>
        </w:tc>
      </w:tr>
      <w:tr w:rsidR="003F7DDF" w:rsidRPr="007967A9" w14:paraId="2D48E266" w14:textId="77777777" w:rsidTr="007967A9">
        <w:tc>
          <w:tcPr>
            <w:tcW w:w="1701" w:type="dxa"/>
            <w:vAlign w:val="top"/>
          </w:tcPr>
          <w:p w14:paraId="2002016F" w14:textId="55198006" w:rsidR="003F7DDF" w:rsidRPr="007967A9" w:rsidRDefault="00000000" w:rsidP="007967A9">
            <w:pPr>
              <w:pStyle w:val="SDMTableBoxParaNotNumbered"/>
              <w:rPr>
                <w:rFonts w:cs="Arial"/>
                <w:i/>
              </w:rPr>
            </w:pPr>
            <m:oMathPara>
              <m:oMathParaPr>
                <m:jc m:val="left"/>
              </m:oMathParaPr>
              <m:oMath>
                <m:sSub>
                  <m:sSubPr>
                    <m:ctrlPr>
                      <w:rPr>
                        <w:rFonts w:ascii="Cambria Math" w:hAnsi="Cambria Math" w:cs="Arial"/>
                        <w:i/>
                      </w:rPr>
                    </m:ctrlPr>
                  </m:sSubPr>
                  <m:e>
                    <m:r>
                      <w:rPr>
                        <w:rFonts w:ascii="Cambria Math" w:hAnsi="Cambria Math" w:cs="Arial"/>
                      </w:rPr>
                      <m:t>EF</m:t>
                    </m:r>
                  </m:e>
                  <m:sub>
                    <m:r>
                      <w:rPr>
                        <w:rFonts w:ascii="Cambria Math" w:hAnsi="Cambria Math" w:cs="Arial"/>
                      </w:rPr>
                      <m:t>CO2,i,t</m:t>
                    </m:r>
                  </m:sub>
                </m:sSub>
              </m:oMath>
            </m:oMathPara>
          </w:p>
        </w:tc>
        <w:tc>
          <w:tcPr>
            <w:tcW w:w="345" w:type="dxa"/>
            <w:vAlign w:val="top"/>
          </w:tcPr>
          <w:p w14:paraId="07FDBCB2" w14:textId="77777777" w:rsidR="003F7DDF" w:rsidRPr="007967A9" w:rsidRDefault="003F7DDF" w:rsidP="007967A9">
            <w:pPr>
              <w:pStyle w:val="SDMTableBoxParaNotNumbered"/>
              <w:rPr>
                <w:rFonts w:cs="Arial"/>
              </w:rPr>
            </w:pPr>
            <w:r w:rsidRPr="007967A9">
              <w:rPr>
                <w:rFonts w:cs="Arial"/>
              </w:rPr>
              <w:t>=</w:t>
            </w:r>
          </w:p>
        </w:tc>
        <w:tc>
          <w:tcPr>
            <w:tcW w:w="6459" w:type="dxa"/>
            <w:vAlign w:val="top"/>
          </w:tcPr>
          <w:p w14:paraId="2C3CA313" w14:textId="77777777" w:rsidR="003F7DDF" w:rsidRPr="007967A9" w:rsidRDefault="003F7DDF" w:rsidP="007967A9">
            <w:pPr>
              <w:pStyle w:val="SDMTableBoxParaNotNumbered"/>
              <w:rPr>
                <w:rFonts w:cs="Arial"/>
              </w:rPr>
            </w:pPr>
            <w:r w:rsidRPr="007967A9">
              <w:rPr>
                <w:rFonts w:cs="Arial"/>
              </w:rPr>
              <w:t>CO</w:t>
            </w:r>
            <w:r w:rsidRPr="007967A9">
              <w:rPr>
                <w:rFonts w:cs="Arial"/>
                <w:vertAlign w:val="subscript"/>
              </w:rPr>
              <w:t>2</w:t>
            </w:r>
            <w:r w:rsidRPr="007967A9">
              <w:rPr>
                <w:rFonts w:cs="Arial"/>
              </w:rPr>
              <w:t xml:space="preserve"> emission factor of fuel type </w:t>
            </w:r>
            <w:r w:rsidRPr="007967A9">
              <w:rPr>
                <w:rFonts w:cs="Arial"/>
                <w:i/>
              </w:rPr>
              <w:t>i</w:t>
            </w:r>
            <w:r w:rsidRPr="007967A9">
              <w:rPr>
                <w:rFonts w:cs="Arial"/>
              </w:rPr>
              <w:t xml:space="preserve"> in</w:t>
            </w:r>
            <w:r w:rsidRPr="007967A9">
              <w:rPr>
                <w:rFonts w:cs="Arial"/>
                <w:i/>
              </w:rPr>
              <w:t xml:space="preserve"> </w:t>
            </w:r>
            <w:r w:rsidRPr="007967A9">
              <w:rPr>
                <w:rFonts w:cs="Arial"/>
              </w:rPr>
              <w:t>period </w:t>
            </w:r>
            <w:r w:rsidRPr="007967A9">
              <w:rPr>
                <w:rFonts w:cs="Arial"/>
                <w:i/>
                <w:iCs/>
              </w:rPr>
              <w:t>t</w:t>
            </w:r>
            <w:r w:rsidRPr="007967A9">
              <w:rPr>
                <w:rFonts w:cs="Arial"/>
              </w:rPr>
              <w:t xml:space="preserve"> (t CO</w:t>
            </w:r>
            <w:r w:rsidRPr="007967A9">
              <w:rPr>
                <w:rFonts w:cs="Arial"/>
                <w:vertAlign w:val="subscript"/>
              </w:rPr>
              <w:t>2</w:t>
            </w:r>
            <w:r w:rsidRPr="007967A9">
              <w:rPr>
                <w:rFonts w:cs="Arial"/>
              </w:rPr>
              <w:t>/GJ)</w:t>
            </w:r>
          </w:p>
        </w:tc>
      </w:tr>
      <w:tr w:rsidR="003F7DDF" w:rsidRPr="007967A9" w14:paraId="4C1422A7" w14:textId="77777777" w:rsidTr="007967A9">
        <w:tc>
          <w:tcPr>
            <w:tcW w:w="1701" w:type="dxa"/>
            <w:vAlign w:val="top"/>
          </w:tcPr>
          <w:p w14:paraId="60223C5E" w14:textId="1E4FCF18" w:rsidR="003F7DDF" w:rsidRPr="007967A9" w:rsidRDefault="00000000" w:rsidP="007967A9">
            <w:pPr>
              <w:pStyle w:val="SDMTableBoxParaNotNumbered"/>
              <w:rPr>
                <w:rFonts w:cs="Arial"/>
                <w:i/>
              </w:rPr>
            </w:pPr>
            <m:oMathPara>
              <m:oMathParaPr>
                <m:jc m:val="left"/>
              </m:oMathParaPr>
              <m:oMath>
                <m:sSub>
                  <m:sSubPr>
                    <m:ctrlPr>
                      <w:rPr>
                        <w:rFonts w:ascii="Cambria Math" w:hAnsi="Cambria Math" w:cs="Arial"/>
                        <w:i/>
                      </w:rPr>
                    </m:ctrlPr>
                  </m:sSubPr>
                  <m:e>
                    <m:r>
                      <w:rPr>
                        <w:rFonts w:ascii="Cambria Math" w:hAnsi="Cambria Math" w:cs="Arial"/>
                      </w:rPr>
                      <m:t>EG</m:t>
                    </m:r>
                  </m:e>
                  <m:sub>
                    <m:r>
                      <w:rPr>
                        <w:rFonts w:ascii="Cambria Math" w:hAnsi="Cambria Math" w:cs="Arial"/>
                      </w:rPr>
                      <m:t>t</m:t>
                    </m:r>
                  </m:sub>
                </m:sSub>
              </m:oMath>
            </m:oMathPara>
          </w:p>
        </w:tc>
        <w:tc>
          <w:tcPr>
            <w:tcW w:w="345" w:type="dxa"/>
            <w:vAlign w:val="top"/>
          </w:tcPr>
          <w:p w14:paraId="1C72CFC5" w14:textId="77777777" w:rsidR="003F7DDF" w:rsidRPr="007967A9" w:rsidRDefault="003F7DDF" w:rsidP="007967A9">
            <w:pPr>
              <w:pStyle w:val="SDMTableBoxParaNotNumbered"/>
              <w:rPr>
                <w:rFonts w:cs="Arial"/>
              </w:rPr>
            </w:pPr>
            <w:r w:rsidRPr="007967A9">
              <w:rPr>
                <w:rFonts w:cs="Arial"/>
              </w:rPr>
              <w:t>=</w:t>
            </w:r>
          </w:p>
        </w:tc>
        <w:tc>
          <w:tcPr>
            <w:tcW w:w="6459" w:type="dxa"/>
            <w:vAlign w:val="top"/>
          </w:tcPr>
          <w:p w14:paraId="7B998870" w14:textId="391F4236" w:rsidR="003F7DDF" w:rsidRPr="007967A9" w:rsidRDefault="003F7DDF" w:rsidP="007967A9">
            <w:pPr>
              <w:pStyle w:val="SDMTableBoxParaNotNumbered"/>
              <w:rPr>
                <w:rFonts w:cs="Arial"/>
              </w:rPr>
            </w:pPr>
            <w:r w:rsidRPr="007967A9">
              <w:rPr>
                <w:rFonts w:cs="Arial"/>
              </w:rPr>
              <w:t xml:space="preserve">Net electricity generated and delivered to the electricity </w:t>
            </w:r>
            <w:r w:rsidR="00D81835" w:rsidRPr="007967A9">
              <w:rPr>
                <w:rFonts w:cs="Arial"/>
              </w:rPr>
              <w:t xml:space="preserve">system </w:t>
            </w:r>
            <w:r w:rsidRPr="007967A9">
              <w:rPr>
                <w:rFonts w:cs="Arial"/>
              </w:rPr>
              <w:t xml:space="preserve">by all </w:t>
            </w:r>
            <w:r w:rsidR="320DE27C" w:rsidRPr="007967A9">
              <w:rPr>
                <w:rFonts w:cs="Arial"/>
              </w:rPr>
              <w:t>power units serving the electricity system that are not designated as must-run power units</w:t>
            </w:r>
            <w:r w:rsidRPr="007967A9">
              <w:rPr>
                <w:rFonts w:cs="Arial"/>
                <w:i/>
                <w:iCs/>
              </w:rPr>
              <w:t xml:space="preserve"> </w:t>
            </w:r>
            <w:r w:rsidRPr="007967A9">
              <w:rPr>
                <w:rFonts w:cs="Arial"/>
              </w:rPr>
              <w:t>in period</w:t>
            </w:r>
            <w:r w:rsidRPr="007967A9">
              <w:rPr>
                <w:rFonts w:cs="Arial"/>
                <w:i/>
                <w:iCs/>
              </w:rPr>
              <w:t xml:space="preserve"> t </w:t>
            </w:r>
            <w:r w:rsidRPr="007967A9">
              <w:rPr>
                <w:rFonts w:cs="Arial"/>
              </w:rPr>
              <w:t>(MWh)</w:t>
            </w:r>
          </w:p>
        </w:tc>
      </w:tr>
      <w:tr w:rsidR="003F7DDF" w:rsidRPr="007967A9" w14:paraId="62E86CEE" w14:textId="77777777" w:rsidTr="007967A9">
        <w:trPr>
          <w:trHeight w:val="23"/>
        </w:trPr>
        <w:tc>
          <w:tcPr>
            <w:tcW w:w="1701" w:type="dxa"/>
            <w:vAlign w:val="top"/>
          </w:tcPr>
          <w:p w14:paraId="3B824526" w14:textId="130EDF6B" w:rsidR="003F7DDF" w:rsidRPr="007967A9" w:rsidRDefault="007F0ACA" w:rsidP="007967A9">
            <w:pPr>
              <w:pStyle w:val="SDMTableBoxParaNotNumbered"/>
              <w:rPr>
                <w:rFonts w:cs="Arial"/>
                <w:i/>
              </w:rPr>
            </w:pPr>
            <m:oMathPara>
              <m:oMathParaPr>
                <m:jc m:val="left"/>
              </m:oMathParaPr>
              <m:oMath>
                <m:r>
                  <w:rPr>
                    <w:rFonts w:ascii="Cambria Math" w:hAnsi="Cambria Math" w:cs="Arial"/>
                  </w:rPr>
                  <m:t>i</m:t>
                </m:r>
              </m:oMath>
            </m:oMathPara>
          </w:p>
        </w:tc>
        <w:tc>
          <w:tcPr>
            <w:tcW w:w="345" w:type="dxa"/>
            <w:vAlign w:val="top"/>
          </w:tcPr>
          <w:p w14:paraId="0FA38C8A" w14:textId="77777777" w:rsidR="003F7DDF" w:rsidRPr="007967A9" w:rsidRDefault="003F7DDF" w:rsidP="007967A9">
            <w:pPr>
              <w:pStyle w:val="SDMTableBoxParaNotNumbered"/>
              <w:rPr>
                <w:rFonts w:cs="Arial"/>
              </w:rPr>
            </w:pPr>
            <w:r w:rsidRPr="007967A9">
              <w:rPr>
                <w:rFonts w:cs="Arial"/>
              </w:rPr>
              <w:t>=</w:t>
            </w:r>
          </w:p>
        </w:tc>
        <w:tc>
          <w:tcPr>
            <w:tcW w:w="6459" w:type="dxa"/>
            <w:vAlign w:val="top"/>
          </w:tcPr>
          <w:p w14:paraId="1053336C" w14:textId="32A05E76" w:rsidR="003F7DDF" w:rsidRPr="007967A9" w:rsidRDefault="003F7DDF" w:rsidP="007967A9">
            <w:pPr>
              <w:pStyle w:val="SDMTableBoxParaNotNumbered"/>
              <w:rPr>
                <w:rFonts w:cs="Arial"/>
                <w:i/>
              </w:rPr>
            </w:pPr>
            <w:r w:rsidRPr="007967A9">
              <w:rPr>
                <w:rFonts w:cs="Arial"/>
              </w:rPr>
              <w:t xml:space="preserve">All fuel types combusted in power </w:t>
            </w:r>
            <w:r w:rsidR="00E756FE" w:rsidRPr="007967A9">
              <w:rPr>
                <w:rFonts w:cs="Arial"/>
              </w:rPr>
              <w:t xml:space="preserve">units </w:t>
            </w:r>
            <w:r w:rsidR="4F902B3D" w:rsidRPr="007967A9">
              <w:rPr>
                <w:rFonts w:cs="Arial"/>
              </w:rPr>
              <w:t>serving the electricity system that are not designated as must-run power units</w:t>
            </w:r>
            <w:r w:rsidRPr="007967A9">
              <w:rPr>
                <w:rFonts w:cs="Arial"/>
              </w:rPr>
              <w:t xml:space="preserve"> in period</w:t>
            </w:r>
            <w:r w:rsidRPr="007967A9">
              <w:rPr>
                <w:rFonts w:cs="Arial"/>
                <w:i/>
                <w:iCs/>
              </w:rPr>
              <w:t> t</w:t>
            </w:r>
          </w:p>
        </w:tc>
      </w:tr>
      <w:tr w:rsidR="003D08A1" w:rsidRPr="007967A9" w14:paraId="215F0327" w14:textId="77777777" w:rsidTr="007967A9">
        <w:tc>
          <w:tcPr>
            <w:tcW w:w="1701" w:type="dxa"/>
            <w:vAlign w:val="top"/>
          </w:tcPr>
          <w:p w14:paraId="09A7D73B" w14:textId="6EB2DD12" w:rsidR="003D08A1" w:rsidRPr="007967A9" w:rsidRDefault="007F0ACA" w:rsidP="007967A9">
            <w:pPr>
              <w:pStyle w:val="SDMTableBoxParaNotNumbered"/>
              <w:rPr>
                <w:rFonts w:cs="Arial"/>
                <w:i/>
              </w:rPr>
            </w:pPr>
            <m:oMathPara>
              <m:oMathParaPr>
                <m:jc m:val="left"/>
              </m:oMathParaPr>
              <m:oMath>
                <m:r>
                  <w:rPr>
                    <w:rFonts w:ascii="Cambria Math" w:hAnsi="Cambria Math" w:cs="Arial"/>
                  </w:rPr>
                  <m:t>t</m:t>
                </m:r>
              </m:oMath>
            </m:oMathPara>
          </w:p>
        </w:tc>
        <w:tc>
          <w:tcPr>
            <w:tcW w:w="345" w:type="dxa"/>
            <w:vAlign w:val="top"/>
          </w:tcPr>
          <w:p w14:paraId="06F8B413" w14:textId="77777777" w:rsidR="003D08A1" w:rsidRPr="007967A9" w:rsidRDefault="003D08A1" w:rsidP="007967A9">
            <w:pPr>
              <w:pStyle w:val="SDMTableBoxParaNotNumbered"/>
              <w:rPr>
                <w:rFonts w:cs="Arial"/>
              </w:rPr>
            </w:pPr>
            <w:r w:rsidRPr="007967A9">
              <w:rPr>
                <w:rFonts w:cs="Arial"/>
              </w:rPr>
              <w:t>=</w:t>
            </w:r>
          </w:p>
        </w:tc>
        <w:tc>
          <w:tcPr>
            <w:tcW w:w="6459" w:type="dxa"/>
            <w:vAlign w:val="top"/>
          </w:tcPr>
          <w:p w14:paraId="0E20F4E1" w14:textId="6A76B87A" w:rsidR="003D08A1" w:rsidRPr="007967A9" w:rsidRDefault="003D08A1" w:rsidP="007967A9">
            <w:pPr>
              <w:pStyle w:val="SDMTableBoxParaNotNumbered"/>
              <w:rPr>
                <w:rFonts w:eastAsiaTheme="minorEastAsia" w:cs="Arial"/>
                <w:lang w:eastAsia="zh-CN"/>
              </w:rPr>
            </w:pPr>
            <w:r w:rsidRPr="007967A9">
              <w:rPr>
                <w:rFonts w:eastAsiaTheme="minorEastAsia" w:cs="Arial"/>
                <w:lang w:eastAsia="zh-CN"/>
              </w:rPr>
              <w:t>Relevant period: under the ex</w:t>
            </w:r>
            <w:r w:rsidR="006D3BEE" w:rsidRPr="007967A9">
              <w:rPr>
                <w:rFonts w:eastAsiaTheme="minorEastAsia" w:cs="Arial"/>
                <w:lang w:eastAsia="zh-CN"/>
              </w:rPr>
              <w:t> </w:t>
            </w:r>
            <w:r w:rsidRPr="007967A9">
              <w:rPr>
                <w:rFonts w:eastAsiaTheme="minorEastAsia" w:cs="Arial"/>
                <w:lang w:eastAsia="zh-CN"/>
              </w:rPr>
              <w:t xml:space="preserve">ante option the most recent three historical calendar years for which data </w:t>
            </w:r>
            <w:r w:rsidR="00F26191" w:rsidRPr="007967A9">
              <w:rPr>
                <w:rFonts w:eastAsiaTheme="minorEastAsia" w:cs="Arial"/>
                <w:lang w:eastAsia="zh-CN"/>
              </w:rPr>
              <w:t xml:space="preserve">are </w:t>
            </w:r>
            <w:r w:rsidRPr="007967A9">
              <w:rPr>
                <w:rFonts w:eastAsiaTheme="minorEastAsia" w:cs="Arial"/>
                <w:lang w:eastAsia="zh-CN"/>
              </w:rPr>
              <w:t>available at the time of submission of the PDD to the DOE for validation; under the ex</w:t>
            </w:r>
            <w:r w:rsidR="006D3BEE" w:rsidRPr="007967A9">
              <w:rPr>
                <w:rFonts w:eastAsiaTheme="minorEastAsia" w:cs="Arial"/>
                <w:lang w:eastAsia="zh-CN"/>
              </w:rPr>
              <w:t> </w:t>
            </w:r>
            <w:r w:rsidRPr="007967A9">
              <w:rPr>
                <w:rFonts w:eastAsiaTheme="minorEastAsia" w:cs="Arial"/>
                <w:lang w:eastAsia="zh-CN"/>
              </w:rPr>
              <w:t>post option, the calendar year</w:t>
            </w:r>
            <w:r w:rsidR="0024266E">
              <w:rPr>
                <w:rFonts w:eastAsiaTheme="minorEastAsia" w:cs="Arial"/>
                <w:lang w:eastAsia="zh-CN"/>
              </w:rPr>
              <w:t> </w:t>
            </w:r>
            <w:r w:rsidRPr="007967A9">
              <w:rPr>
                <w:rFonts w:eastAsiaTheme="minorEastAsia" w:cs="Arial"/>
                <w:lang w:eastAsia="zh-CN"/>
              </w:rPr>
              <w:t>y of the crediting period or the historical year v</w:t>
            </w:r>
          </w:p>
        </w:tc>
      </w:tr>
    </w:tbl>
    <w:p w14:paraId="5508B779" w14:textId="53279690" w:rsidR="006472DC" w:rsidRPr="00072F8C" w:rsidRDefault="00347E7A">
      <w:pPr>
        <w:pStyle w:val="SDMPara"/>
      </w:pPr>
      <w:r w:rsidRPr="00F50A68">
        <w:t xml:space="preserve">Where </w:t>
      </w:r>
      <w:r w:rsidR="00DC1D8C" w:rsidRPr="00F50A68">
        <w:t xml:space="preserve">data from the </w:t>
      </w:r>
      <w:r w:rsidR="00EA7E74" w:rsidRPr="00F50A68">
        <w:t>calendar year </w:t>
      </w:r>
      <w:r w:rsidR="00EA7E74" w:rsidRPr="00F50A68">
        <w:rPr>
          <w:i/>
        </w:rPr>
        <w:t>y</w:t>
      </w:r>
      <w:r w:rsidR="00EA7E74" w:rsidRPr="00F50A68">
        <w:t xml:space="preserve"> of the crediting period </w:t>
      </w:r>
      <w:r w:rsidR="00390C5A">
        <w:t>are</w:t>
      </w:r>
      <w:r w:rsidR="00390C5A" w:rsidRPr="00F50A68">
        <w:t xml:space="preserve"> </w:t>
      </w:r>
      <w:r w:rsidR="00EA7E74" w:rsidRPr="00F50A68">
        <w:t>used, the emission factor from equation</w:t>
      </w:r>
      <w:r w:rsidR="0033417D">
        <w:t> </w:t>
      </w:r>
      <w:r w:rsidR="00EA7E74" w:rsidRPr="00F50A68">
        <w:t>(</w:t>
      </w:r>
      <w:r w:rsidR="001363E1">
        <w:t>6</w:t>
      </w:r>
      <w:r w:rsidR="00EA7E74" w:rsidRPr="00F50A68">
        <w:t>)</w:t>
      </w:r>
      <w:r w:rsidR="00D9066E" w:rsidRPr="00A46D17">
        <w:t xml:space="preserve"> and </w:t>
      </w:r>
      <w:r w:rsidR="00390C5A">
        <w:t>equation</w:t>
      </w:r>
      <w:r w:rsidR="0033417D">
        <w:t> </w:t>
      </w:r>
      <w:r w:rsidR="00D9066E" w:rsidRPr="00A46D17">
        <w:t>(</w:t>
      </w:r>
      <w:r w:rsidR="001363E1">
        <w:t>7</w:t>
      </w:r>
      <w:r w:rsidR="00D9066E" w:rsidRPr="00072F8C">
        <w:t>) shall be used as the emission factor for the respective calendar year y (i.e.,</w:t>
      </w:r>
      <w:r w:rsidR="00EA7E74" w:rsidRPr="00072F8C">
        <w:t xml:space="preserve"> </w:t>
      </w:r>
      <w:r w:rsidR="006472DC" w:rsidRPr="00864F9A">
        <w:rPr>
          <w:i/>
          <w:iCs/>
        </w:rPr>
        <w:t>EF</w:t>
      </w:r>
      <w:r w:rsidR="006472DC" w:rsidRPr="00864F9A">
        <w:rPr>
          <w:i/>
          <w:iCs/>
          <w:vertAlign w:val="subscript"/>
        </w:rPr>
        <w:t>OM,simple,y</w:t>
      </w:r>
      <w:r w:rsidR="006472DC" w:rsidRPr="00864F9A">
        <w:rPr>
          <w:i/>
          <w:iCs/>
        </w:rPr>
        <w:t> </w:t>
      </w:r>
      <w:r w:rsidR="006472DC" w:rsidRPr="00072F8C">
        <w:t>= </w:t>
      </w:r>
      <w:r w:rsidR="006472DC" w:rsidRPr="00864F9A">
        <w:rPr>
          <w:i/>
          <w:iCs/>
        </w:rPr>
        <w:t>EF</w:t>
      </w:r>
      <w:r w:rsidR="006472DC" w:rsidRPr="00864F9A">
        <w:rPr>
          <w:i/>
          <w:iCs/>
          <w:vertAlign w:val="subscript"/>
        </w:rPr>
        <w:t>OM,simple,t</w:t>
      </w:r>
      <w:r w:rsidR="006472DC" w:rsidRPr="00072F8C">
        <w:t>).</w:t>
      </w:r>
    </w:p>
    <w:p w14:paraId="4A7381A9" w14:textId="2D895323" w:rsidR="00837275" w:rsidRDefault="006472DC" w:rsidP="00C72647">
      <w:pPr>
        <w:pStyle w:val="SDMPara"/>
        <w:keepNext/>
      </w:pPr>
      <w:r w:rsidRPr="00072F8C">
        <w:t xml:space="preserve">Where </w:t>
      </w:r>
      <w:r w:rsidR="006473A0" w:rsidRPr="00072F8C">
        <w:t xml:space="preserve">data </w:t>
      </w:r>
      <w:r w:rsidR="00396088">
        <w:t xml:space="preserve">from a </w:t>
      </w:r>
      <w:r w:rsidR="00743265">
        <w:t>calendar</w:t>
      </w:r>
      <w:r w:rsidR="00396088">
        <w:t xml:space="preserve"> year </w:t>
      </w:r>
      <w:r w:rsidR="007B7C45">
        <w:t xml:space="preserve">prior to </w:t>
      </w:r>
      <w:r w:rsidR="00742DD6">
        <w:t>calendar</w:t>
      </w:r>
      <w:r w:rsidR="007B7C45">
        <w:t xml:space="preserve"> year</w:t>
      </w:r>
      <w:r w:rsidR="00B16D7B">
        <w:t> </w:t>
      </w:r>
      <w:r w:rsidR="007B7C45" w:rsidRPr="00B16D7B">
        <w:rPr>
          <w:i/>
          <w:iCs/>
        </w:rPr>
        <w:t>y</w:t>
      </w:r>
      <w:r w:rsidR="007B7C45">
        <w:t xml:space="preserve"> of the crediting</w:t>
      </w:r>
      <w:r w:rsidR="006473A0" w:rsidRPr="00072F8C">
        <w:t xml:space="preserve"> period </w:t>
      </w:r>
      <w:r w:rsidR="00821309">
        <w:t>are used</w:t>
      </w:r>
      <w:r w:rsidR="005B18F6">
        <w:t xml:space="preserve"> (i.e., under the ex</w:t>
      </w:r>
      <w:r w:rsidR="006D3BEE">
        <w:t> </w:t>
      </w:r>
      <w:r w:rsidR="005B18F6">
        <w:t xml:space="preserve">ante option or where a </w:t>
      </w:r>
      <w:r w:rsidR="0084644E">
        <w:t>historical year </w:t>
      </w:r>
      <w:r w:rsidR="0084644E" w:rsidRPr="0084644E">
        <w:rPr>
          <w:i/>
          <w:iCs/>
        </w:rPr>
        <w:t>v</w:t>
      </w:r>
      <w:r w:rsidR="0084644E">
        <w:t xml:space="preserve"> is used under the ex</w:t>
      </w:r>
      <w:r w:rsidR="006D3BEE">
        <w:t> </w:t>
      </w:r>
      <w:r w:rsidR="0084644E">
        <w:t>post option)</w:t>
      </w:r>
      <w:r w:rsidR="00821309">
        <w:t>,</w:t>
      </w:r>
      <w:r w:rsidR="006473A0" w:rsidRPr="00072F8C" w:rsidDel="00821309">
        <w:t xml:space="preserve"> </w:t>
      </w:r>
      <w:r w:rsidR="0025336E" w:rsidRPr="00072F8C">
        <w:t xml:space="preserve">the simple OM emission factor derived from historical data </w:t>
      </w:r>
      <w:r w:rsidR="008D4925">
        <w:t>shall be</w:t>
      </w:r>
      <w:r w:rsidR="008D4925" w:rsidRPr="00072F8C">
        <w:t xml:space="preserve"> </w:t>
      </w:r>
      <w:r w:rsidR="0025336E" w:rsidRPr="00072F8C">
        <w:t>adjusted to account for data vintage, noting that</w:t>
      </w:r>
      <w:r w:rsidR="008D4925">
        <w:t>,</w:t>
      </w:r>
      <w:r w:rsidR="0025336E" w:rsidRPr="00072F8C">
        <w:t xml:space="preserve"> in many electricity systems</w:t>
      </w:r>
      <w:r w:rsidR="008D4925">
        <w:t>,</w:t>
      </w:r>
      <w:r w:rsidR="0025336E" w:rsidRPr="00072F8C">
        <w:t xml:space="preserve"> </w:t>
      </w:r>
      <w:r w:rsidR="00D900D3" w:rsidRPr="00072F8C">
        <w:t xml:space="preserve">the </w:t>
      </w:r>
      <w:r w:rsidR="00591420" w:rsidRPr="00072F8C">
        <w:t xml:space="preserve">average emissions intensity of existing power </w:t>
      </w:r>
      <w:r w:rsidR="000F73E6">
        <w:t>units</w:t>
      </w:r>
      <w:r w:rsidR="000F73E6" w:rsidRPr="00072F8C">
        <w:t xml:space="preserve"> </w:t>
      </w:r>
      <w:r w:rsidR="00591420" w:rsidRPr="00072F8C">
        <w:t>declin</w:t>
      </w:r>
      <w:r w:rsidR="0092599A">
        <w:t>es</w:t>
      </w:r>
      <w:r w:rsidR="00591420" w:rsidRPr="00072F8C">
        <w:t xml:space="preserve"> over time due to </w:t>
      </w:r>
      <w:r w:rsidR="00A21845" w:rsidRPr="00072F8C">
        <w:t xml:space="preserve">an increasing share of renewable energy power </w:t>
      </w:r>
      <w:r w:rsidR="000F73E6">
        <w:t>units</w:t>
      </w:r>
      <w:r w:rsidR="00A21845" w:rsidRPr="00072F8C">
        <w:t xml:space="preserve">, </w:t>
      </w:r>
      <w:r w:rsidR="00DB7A8E" w:rsidRPr="00072F8C">
        <w:t xml:space="preserve">the use of more efficient power </w:t>
      </w:r>
      <w:r w:rsidR="000F73E6">
        <w:t>units</w:t>
      </w:r>
      <w:r w:rsidR="00214A79">
        <w:t>,</w:t>
      </w:r>
      <w:r w:rsidR="00DB7A8E" w:rsidRPr="00072F8C">
        <w:t xml:space="preserve"> and the use of less GHG</w:t>
      </w:r>
      <w:r w:rsidR="0068491E" w:rsidRPr="00072F8C">
        <w:t>-</w:t>
      </w:r>
      <w:r w:rsidR="00DB7A8E" w:rsidRPr="00072F8C">
        <w:t xml:space="preserve">intensive </w:t>
      </w:r>
      <w:r w:rsidR="00B570DA" w:rsidRPr="00072F8C">
        <w:t>fuels</w:t>
      </w:r>
      <w:r w:rsidR="00796ECC" w:rsidRPr="00072F8C">
        <w:t>, as follows:</w:t>
      </w:r>
    </w:p>
    <w:tbl>
      <w:tblPr>
        <w:tblStyle w:val="SDMMethTableEquation"/>
        <w:tblW w:w="8760" w:type="dxa"/>
        <w:tblLook w:val="0600" w:firstRow="0" w:lastRow="0" w:firstColumn="0" w:lastColumn="0" w:noHBand="1" w:noVBand="1"/>
      </w:tblPr>
      <w:tblGrid>
        <w:gridCol w:w="7093"/>
        <w:gridCol w:w="1667"/>
      </w:tblGrid>
      <w:tr w:rsidR="006B1479" w:rsidRPr="00E32F75" w14:paraId="514CD0C8" w14:textId="77777777">
        <w:tc>
          <w:tcPr>
            <w:tcW w:w="7224" w:type="dxa"/>
          </w:tcPr>
          <w:p w14:paraId="62F2812C" w14:textId="3DD8FBF9" w:rsidR="006B1479" w:rsidRPr="0060151F" w:rsidRDefault="00000000">
            <w:pPr>
              <w:pStyle w:val="SDMMethEquation"/>
            </w:pPr>
            <m:oMathPara>
              <m:oMathParaPr>
                <m:jc m:val="left"/>
              </m:oMathParaPr>
              <m:oMath>
                <m:sSub>
                  <m:sSubPr>
                    <m:ctrlPr>
                      <w:rPr>
                        <w:rFonts w:ascii="Cambria Math" w:hAnsi="Cambria Math"/>
                      </w:rPr>
                    </m:ctrlPr>
                  </m:sSubPr>
                  <m:e>
                    <m:r>
                      <w:rPr>
                        <w:rFonts w:ascii="Cambria Math" w:hAnsi="Cambria Math"/>
                      </w:rPr>
                      <m:t>EF</m:t>
                    </m:r>
                  </m:e>
                  <m:sub>
                    <m:r>
                      <w:rPr>
                        <w:rFonts w:ascii="Cambria Math" w:hAnsi="Cambria Math"/>
                      </w:rPr>
                      <m:t>OM,simple</m:t>
                    </m:r>
                    <m:r>
                      <m:rPr>
                        <m:sty m:val="p"/>
                      </m:rPr>
                      <w:rPr>
                        <w:rFonts w:ascii="Cambria Math" w:hAnsi="Cambria Math"/>
                      </w:rPr>
                      <m:t>,</m:t>
                    </m:r>
                    <m:r>
                      <w:rPr>
                        <w:rFonts w:ascii="Cambria Math" w:hAnsi="Cambria Math"/>
                      </w:rPr>
                      <m:t>y</m:t>
                    </m:r>
                  </m:sub>
                </m:sSub>
                <m:r>
                  <w:rPr>
                    <w:rFonts w:ascii="Cambria Math" w:hAnsi="Cambria Math"/>
                  </w:rPr>
                  <m:t>=</m:t>
                </m:r>
                <m:sSub>
                  <m:sSubPr>
                    <m:ctrlPr>
                      <w:rPr>
                        <w:rFonts w:ascii="Cambria Math" w:hAnsi="Cambria Math"/>
                      </w:rPr>
                    </m:ctrlPr>
                  </m:sSubPr>
                  <m:e>
                    <m:r>
                      <w:rPr>
                        <w:rFonts w:ascii="Cambria Math" w:hAnsi="Cambria Math"/>
                      </w:rPr>
                      <m:t>EF</m:t>
                    </m:r>
                  </m:e>
                  <m:sub>
                    <m:r>
                      <w:rPr>
                        <w:rFonts w:ascii="Cambria Math" w:hAnsi="Cambria Math"/>
                      </w:rPr>
                      <m:t>OM,simple</m:t>
                    </m:r>
                    <m:r>
                      <m:rPr>
                        <m:sty m:val="p"/>
                      </m:rPr>
                      <w:rPr>
                        <w:rFonts w:ascii="Cambria Math" w:hAnsi="Cambria Math"/>
                      </w:rPr>
                      <m:t>,</m:t>
                    </m:r>
                    <m:r>
                      <w:rPr>
                        <w:rFonts w:ascii="Cambria Math" w:hAnsi="Cambria Math"/>
                      </w:rPr>
                      <m:t>t</m:t>
                    </m:r>
                  </m:sub>
                </m:sSub>
                <m:r>
                  <w:rPr>
                    <w:rFonts w:ascii="Cambria Math" w:hAnsi="Cambria Math"/>
                  </w:rPr>
                  <m:t>×</m:t>
                </m:r>
                <m:d>
                  <m:dPr>
                    <m:begChr m:val="["/>
                    <m:endChr m:val="]"/>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F</m:t>
                        </m:r>
                      </m:e>
                      <m:sub>
                        <m:r>
                          <w:rPr>
                            <w:rFonts w:ascii="Cambria Math" w:hAnsi="Cambria Math"/>
                          </w:rPr>
                          <m:t xml:space="preserve">OM,simple </m:t>
                        </m:r>
                      </m:sub>
                    </m:sSub>
                    <m:r>
                      <w:rPr>
                        <w:rFonts w:ascii="Cambria Math" w:hAnsi="Cambria Math"/>
                      </w:rPr>
                      <m:t>×</m:t>
                    </m:r>
                    <m:d>
                      <m:dPr>
                        <m:ctrlPr>
                          <w:rPr>
                            <w:rFonts w:ascii="Cambria Math" w:hAnsi="Cambria Math"/>
                            <w:i/>
                          </w:rPr>
                        </m:ctrlPr>
                      </m:dPr>
                      <m:e>
                        <m:r>
                          <w:rPr>
                            <w:rFonts w:ascii="Cambria Math" w:hAnsi="Cambria Math"/>
                          </w:rPr>
                          <m:t>y-t</m:t>
                        </m:r>
                      </m:e>
                    </m:d>
                  </m:e>
                </m:d>
              </m:oMath>
            </m:oMathPara>
          </w:p>
        </w:tc>
        <w:tc>
          <w:tcPr>
            <w:tcW w:w="1701" w:type="dxa"/>
          </w:tcPr>
          <w:p w14:paraId="0C526DD9" w14:textId="77777777" w:rsidR="006B1479" w:rsidRPr="002B6960" w:rsidRDefault="006B1479">
            <w:pPr>
              <w:pStyle w:val="SDMMethEquationNr"/>
              <w:numPr>
                <w:ilvl w:val="0"/>
                <w:numId w:val="9"/>
              </w:numPr>
            </w:pPr>
          </w:p>
        </w:tc>
      </w:tr>
    </w:tbl>
    <w:p w14:paraId="0AF27648" w14:textId="77777777" w:rsidR="006B1479" w:rsidRDefault="006B1479" w:rsidP="00C72647">
      <w:pPr>
        <w:pStyle w:val="SDMMethCaptionEquationParametersTable"/>
      </w:pPr>
      <w:r>
        <w:t>Where:</w:t>
      </w:r>
    </w:p>
    <w:tbl>
      <w:tblPr>
        <w:tblStyle w:val="SDMMethTableEquationParameters"/>
        <w:tblW w:w="8534" w:type="dxa"/>
        <w:tblInd w:w="601" w:type="dxa"/>
        <w:tblLook w:val="04A0" w:firstRow="1" w:lastRow="0" w:firstColumn="1" w:lastColumn="0" w:noHBand="0" w:noVBand="1"/>
      </w:tblPr>
      <w:tblGrid>
        <w:gridCol w:w="1701"/>
        <w:gridCol w:w="345"/>
        <w:gridCol w:w="6488"/>
      </w:tblGrid>
      <w:tr w:rsidR="006B1479" w:rsidRPr="007967A9" w14:paraId="6315EACB" w14:textId="77777777" w:rsidTr="007967A9">
        <w:tc>
          <w:tcPr>
            <w:tcW w:w="1701" w:type="dxa"/>
            <w:vAlign w:val="top"/>
          </w:tcPr>
          <w:p w14:paraId="12B051AB" w14:textId="69EB7A53" w:rsidR="006B1479" w:rsidRPr="007967A9" w:rsidRDefault="00000000" w:rsidP="007967A9">
            <w:pPr>
              <w:pStyle w:val="SDMTableBoxParaNotNumbered"/>
              <w:rPr>
                <w:rFonts w:cs="Arial"/>
              </w:rPr>
            </w:pPr>
            <m:oMathPara>
              <m:oMathParaPr>
                <m:jc m:val="left"/>
              </m:oMathParaPr>
              <m:oMath>
                <m:sSub>
                  <m:sSubPr>
                    <m:ctrlPr>
                      <w:rPr>
                        <w:rFonts w:ascii="Cambria Math" w:hAnsi="Cambria Math" w:cs="Arial"/>
                      </w:rPr>
                    </m:ctrlPr>
                  </m:sSubPr>
                  <m:e>
                    <m:r>
                      <w:rPr>
                        <w:rFonts w:ascii="Cambria Math" w:hAnsi="Cambria Math" w:cs="Arial"/>
                      </w:rPr>
                      <m:t>EF</m:t>
                    </m:r>
                  </m:e>
                  <m:sub>
                    <m:r>
                      <w:rPr>
                        <w:rFonts w:ascii="Cambria Math" w:hAnsi="Cambria Math" w:cs="Arial"/>
                      </w:rPr>
                      <m:t>OM,simple</m:t>
                    </m:r>
                    <m:r>
                      <m:rPr>
                        <m:sty m:val="p"/>
                      </m:rPr>
                      <w:rPr>
                        <w:rFonts w:ascii="Cambria Math" w:hAnsi="Cambria Math" w:cs="Arial"/>
                      </w:rPr>
                      <m:t>,</m:t>
                    </m:r>
                    <m:r>
                      <w:rPr>
                        <w:rFonts w:ascii="Cambria Math" w:hAnsi="Cambria Math" w:cs="Arial"/>
                      </w:rPr>
                      <m:t>y</m:t>
                    </m:r>
                  </m:sub>
                </m:sSub>
              </m:oMath>
            </m:oMathPara>
          </w:p>
        </w:tc>
        <w:tc>
          <w:tcPr>
            <w:tcW w:w="345" w:type="dxa"/>
            <w:vAlign w:val="top"/>
          </w:tcPr>
          <w:p w14:paraId="1139D8BA" w14:textId="77777777" w:rsidR="006B1479" w:rsidRPr="007967A9" w:rsidRDefault="006B1479" w:rsidP="007967A9">
            <w:pPr>
              <w:pStyle w:val="SDMTableBoxParaNotNumbered"/>
              <w:rPr>
                <w:rFonts w:cs="Arial"/>
              </w:rPr>
            </w:pPr>
            <w:r w:rsidRPr="007967A9">
              <w:rPr>
                <w:rFonts w:cs="Arial"/>
              </w:rPr>
              <w:t>=</w:t>
            </w:r>
          </w:p>
        </w:tc>
        <w:tc>
          <w:tcPr>
            <w:tcW w:w="6488" w:type="dxa"/>
            <w:vAlign w:val="top"/>
          </w:tcPr>
          <w:p w14:paraId="733C159C" w14:textId="291EEFB4" w:rsidR="006B1479" w:rsidRPr="007967A9" w:rsidRDefault="006B1479" w:rsidP="007967A9">
            <w:pPr>
              <w:pStyle w:val="SDMTableBoxParaNotNumbered"/>
              <w:rPr>
                <w:rFonts w:cs="Arial"/>
              </w:rPr>
            </w:pPr>
            <w:r w:rsidRPr="007967A9">
              <w:rPr>
                <w:rFonts w:cs="Arial"/>
              </w:rPr>
              <w:t xml:space="preserve">Simple </w:t>
            </w:r>
            <w:r w:rsidR="00BB1C82" w:rsidRPr="007967A9">
              <w:rPr>
                <w:rFonts w:cs="Arial"/>
              </w:rPr>
              <w:t>OM</w:t>
            </w:r>
            <w:r w:rsidRPr="007967A9">
              <w:rPr>
                <w:rFonts w:cs="Arial"/>
              </w:rPr>
              <w:t xml:space="preserve"> CO</w:t>
            </w:r>
            <w:r w:rsidRPr="007967A9">
              <w:rPr>
                <w:rFonts w:cs="Arial"/>
                <w:vertAlign w:val="subscript"/>
              </w:rPr>
              <w:t>2</w:t>
            </w:r>
            <w:r w:rsidRPr="007967A9">
              <w:rPr>
                <w:rFonts w:cs="Arial"/>
              </w:rPr>
              <w:t xml:space="preserve"> emission factor in year </w:t>
            </w:r>
            <w:r w:rsidRPr="007967A9">
              <w:rPr>
                <w:rFonts w:cs="Arial"/>
                <w:i/>
              </w:rPr>
              <w:t xml:space="preserve">y </w:t>
            </w:r>
            <w:r w:rsidRPr="007967A9">
              <w:rPr>
                <w:rFonts w:cs="Arial"/>
              </w:rPr>
              <w:t>(t CO</w:t>
            </w:r>
            <w:r w:rsidRPr="007967A9">
              <w:rPr>
                <w:rFonts w:cs="Arial"/>
                <w:vertAlign w:val="subscript"/>
              </w:rPr>
              <w:t>2</w:t>
            </w:r>
            <w:r w:rsidRPr="007967A9">
              <w:rPr>
                <w:rFonts w:cs="Arial"/>
              </w:rPr>
              <w:t>/MWh)</w:t>
            </w:r>
          </w:p>
        </w:tc>
      </w:tr>
      <w:tr w:rsidR="006B1479" w:rsidRPr="007967A9" w14:paraId="15D62934" w14:textId="77777777" w:rsidTr="007967A9">
        <w:tc>
          <w:tcPr>
            <w:tcW w:w="1701" w:type="dxa"/>
            <w:vAlign w:val="top"/>
          </w:tcPr>
          <w:p w14:paraId="5ADD67F4" w14:textId="2E00AC0D" w:rsidR="006B1479" w:rsidRPr="007967A9" w:rsidRDefault="00000000" w:rsidP="007967A9">
            <w:pPr>
              <w:pStyle w:val="SDMTableBoxParaNotNumbered"/>
              <w:rPr>
                <w:rFonts w:cs="Arial"/>
              </w:rPr>
            </w:pPr>
            <m:oMathPara>
              <m:oMathParaPr>
                <m:jc m:val="left"/>
              </m:oMathParaPr>
              <m:oMath>
                <m:sSub>
                  <m:sSubPr>
                    <m:ctrlPr>
                      <w:rPr>
                        <w:rFonts w:ascii="Cambria Math" w:hAnsi="Cambria Math" w:cs="Arial"/>
                      </w:rPr>
                    </m:ctrlPr>
                  </m:sSubPr>
                  <m:e>
                    <m:r>
                      <w:rPr>
                        <w:rFonts w:ascii="Cambria Math" w:hAnsi="Cambria Math" w:cs="Arial"/>
                      </w:rPr>
                      <m:t>EF</m:t>
                    </m:r>
                  </m:e>
                  <m:sub>
                    <m:r>
                      <w:rPr>
                        <w:rFonts w:ascii="Cambria Math" w:hAnsi="Cambria Math" w:cs="Arial"/>
                      </w:rPr>
                      <m:t>OM,simple</m:t>
                    </m:r>
                    <m:r>
                      <m:rPr>
                        <m:sty m:val="p"/>
                      </m:rPr>
                      <w:rPr>
                        <w:rFonts w:ascii="Cambria Math" w:hAnsi="Cambria Math" w:cs="Arial"/>
                      </w:rPr>
                      <m:t>,</m:t>
                    </m:r>
                    <m:r>
                      <w:rPr>
                        <w:rFonts w:ascii="Cambria Math" w:hAnsi="Cambria Math" w:cs="Arial"/>
                      </w:rPr>
                      <m:t>t</m:t>
                    </m:r>
                  </m:sub>
                </m:sSub>
              </m:oMath>
            </m:oMathPara>
          </w:p>
        </w:tc>
        <w:tc>
          <w:tcPr>
            <w:tcW w:w="345" w:type="dxa"/>
            <w:vAlign w:val="top"/>
          </w:tcPr>
          <w:p w14:paraId="7AE9DF4B" w14:textId="77777777" w:rsidR="006B1479" w:rsidRPr="007967A9" w:rsidRDefault="006B1479" w:rsidP="007967A9">
            <w:pPr>
              <w:pStyle w:val="SDMTableBoxParaNotNumbered"/>
              <w:rPr>
                <w:rFonts w:cs="Arial"/>
              </w:rPr>
            </w:pPr>
            <w:r w:rsidRPr="007967A9">
              <w:rPr>
                <w:rFonts w:cs="Arial"/>
              </w:rPr>
              <w:t>=</w:t>
            </w:r>
          </w:p>
        </w:tc>
        <w:tc>
          <w:tcPr>
            <w:tcW w:w="6488" w:type="dxa"/>
            <w:vAlign w:val="top"/>
          </w:tcPr>
          <w:p w14:paraId="79283069" w14:textId="22DE9C0B" w:rsidR="006B1479" w:rsidRPr="007967A9" w:rsidRDefault="006B1479" w:rsidP="007967A9">
            <w:pPr>
              <w:pStyle w:val="SDMTableBoxParaNotNumbered"/>
              <w:rPr>
                <w:rFonts w:cs="Arial"/>
              </w:rPr>
            </w:pPr>
            <w:r w:rsidRPr="007967A9">
              <w:rPr>
                <w:rFonts w:cs="Arial"/>
              </w:rPr>
              <w:t xml:space="preserve">Simple </w:t>
            </w:r>
            <w:r w:rsidR="00BB1C82" w:rsidRPr="007967A9">
              <w:rPr>
                <w:rFonts w:cs="Arial"/>
              </w:rPr>
              <w:t>OM</w:t>
            </w:r>
            <w:r w:rsidRPr="007967A9">
              <w:rPr>
                <w:rFonts w:cs="Arial"/>
              </w:rPr>
              <w:t xml:space="preserve"> CO</w:t>
            </w:r>
            <w:r w:rsidRPr="007967A9">
              <w:rPr>
                <w:rFonts w:cs="Arial"/>
                <w:vertAlign w:val="subscript"/>
              </w:rPr>
              <w:t>2</w:t>
            </w:r>
            <w:r w:rsidRPr="007967A9">
              <w:rPr>
                <w:rFonts w:cs="Arial"/>
              </w:rPr>
              <w:t xml:space="preserve"> emission factor in period </w:t>
            </w:r>
            <w:r w:rsidRPr="007967A9">
              <w:rPr>
                <w:rFonts w:cs="Arial"/>
                <w:i/>
              </w:rPr>
              <w:t xml:space="preserve">t </w:t>
            </w:r>
            <w:r w:rsidRPr="007967A9">
              <w:rPr>
                <w:rFonts w:cs="Arial"/>
              </w:rPr>
              <w:t>(t CO</w:t>
            </w:r>
            <w:r w:rsidRPr="007967A9">
              <w:rPr>
                <w:rFonts w:cs="Arial"/>
                <w:vertAlign w:val="subscript"/>
              </w:rPr>
              <w:t>2</w:t>
            </w:r>
            <w:r w:rsidRPr="007967A9">
              <w:rPr>
                <w:rFonts w:cs="Arial"/>
              </w:rPr>
              <w:t>/MWh)</w:t>
            </w:r>
          </w:p>
        </w:tc>
      </w:tr>
      <w:tr w:rsidR="006B1479" w:rsidRPr="007967A9" w14:paraId="1C8F4D11" w14:textId="77777777" w:rsidTr="007967A9">
        <w:tc>
          <w:tcPr>
            <w:tcW w:w="1701" w:type="dxa"/>
            <w:vAlign w:val="top"/>
          </w:tcPr>
          <w:p w14:paraId="53F76982" w14:textId="327F35A6" w:rsidR="006B1479" w:rsidRPr="007967A9" w:rsidRDefault="00000000" w:rsidP="007967A9">
            <w:pPr>
              <w:pStyle w:val="SDMTableBoxParaNotNumbered"/>
              <w:rPr>
                <w:rFonts w:cs="Arial"/>
              </w:rPr>
            </w:pPr>
            <m:oMathPara>
              <m:oMathParaPr>
                <m:jc m:val="left"/>
              </m:oMathParaPr>
              <m:oMath>
                <m:sSub>
                  <m:sSubPr>
                    <m:ctrlPr>
                      <w:rPr>
                        <w:rFonts w:ascii="Cambria Math" w:hAnsi="Cambria Math" w:cs="Arial"/>
                        <w:i/>
                      </w:rPr>
                    </m:ctrlPr>
                  </m:sSubPr>
                  <m:e>
                    <m:r>
                      <w:rPr>
                        <w:rFonts w:ascii="Cambria Math" w:hAnsi="Cambria Math" w:cs="Arial"/>
                      </w:rPr>
                      <m:t>F</m:t>
                    </m:r>
                  </m:e>
                  <m:sub>
                    <m:r>
                      <w:rPr>
                        <w:rFonts w:ascii="Cambria Math" w:hAnsi="Cambria Math" w:cs="Arial"/>
                      </w:rPr>
                      <m:t xml:space="preserve">OM,simple </m:t>
                    </m:r>
                  </m:sub>
                </m:sSub>
              </m:oMath>
            </m:oMathPara>
          </w:p>
        </w:tc>
        <w:tc>
          <w:tcPr>
            <w:tcW w:w="345" w:type="dxa"/>
            <w:vAlign w:val="top"/>
          </w:tcPr>
          <w:p w14:paraId="55979437" w14:textId="77777777" w:rsidR="006B1479" w:rsidRPr="007967A9" w:rsidRDefault="006B1479" w:rsidP="007967A9">
            <w:pPr>
              <w:pStyle w:val="SDMTableBoxParaNotNumbered"/>
              <w:rPr>
                <w:rFonts w:cs="Arial"/>
              </w:rPr>
            </w:pPr>
            <w:r w:rsidRPr="007967A9">
              <w:rPr>
                <w:rFonts w:cs="Arial"/>
              </w:rPr>
              <w:t>=</w:t>
            </w:r>
          </w:p>
        </w:tc>
        <w:tc>
          <w:tcPr>
            <w:tcW w:w="6488" w:type="dxa"/>
            <w:vAlign w:val="top"/>
          </w:tcPr>
          <w:p w14:paraId="331DE2B7" w14:textId="03C289EE" w:rsidR="006B1479" w:rsidRPr="007967A9" w:rsidRDefault="006B1479" w:rsidP="007967A9">
            <w:pPr>
              <w:pStyle w:val="SDMTableBoxParaNotNumbered"/>
              <w:rPr>
                <w:rFonts w:cs="Arial"/>
              </w:rPr>
            </w:pPr>
            <w:r w:rsidRPr="007967A9">
              <w:rPr>
                <w:rFonts w:cs="Arial"/>
              </w:rPr>
              <w:t>Factor</w:t>
            </w:r>
            <w:r w:rsidR="008E39AD" w:rsidRPr="007967A9">
              <w:rPr>
                <w:rFonts w:cs="Arial"/>
              </w:rPr>
              <w:t xml:space="preserve"> accounting</w:t>
            </w:r>
            <w:r w:rsidRPr="007967A9">
              <w:rPr>
                <w:rFonts w:cs="Arial"/>
              </w:rPr>
              <w:t xml:space="preserve"> for the likely annual decrease of the </w:t>
            </w:r>
            <w:r w:rsidR="00714A2E" w:rsidRPr="007967A9">
              <w:rPr>
                <w:rFonts w:cs="Arial"/>
              </w:rPr>
              <w:t xml:space="preserve">simple </w:t>
            </w:r>
            <w:r w:rsidRPr="007967A9">
              <w:rPr>
                <w:rFonts w:cs="Arial"/>
              </w:rPr>
              <w:t>OM emission factor over time</w:t>
            </w:r>
          </w:p>
        </w:tc>
      </w:tr>
      <w:tr w:rsidR="006B1479" w:rsidRPr="007967A9" w14:paraId="5C149585" w14:textId="77777777" w:rsidTr="007967A9">
        <w:tc>
          <w:tcPr>
            <w:tcW w:w="1701" w:type="dxa"/>
            <w:vAlign w:val="top"/>
          </w:tcPr>
          <w:p w14:paraId="59082BF4" w14:textId="28D2AFCB" w:rsidR="006B1479" w:rsidRPr="007967A9" w:rsidRDefault="006B1479" w:rsidP="007967A9">
            <w:pPr>
              <w:pStyle w:val="SDMTableBoxParaNotNumbered"/>
              <w:rPr>
                <w:rFonts w:cs="Arial"/>
              </w:rPr>
            </w:pPr>
            <m:oMathPara>
              <m:oMathParaPr>
                <m:jc m:val="left"/>
              </m:oMathParaPr>
              <m:oMath>
                <m:r>
                  <w:rPr>
                    <w:rFonts w:ascii="Cambria Math" w:hAnsi="Cambria Math" w:cs="Arial"/>
                  </w:rPr>
                  <m:t>y</m:t>
                </m:r>
              </m:oMath>
            </m:oMathPara>
          </w:p>
        </w:tc>
        <w:tc>
          <w:tcPr>
            <w:tcW w:w="345" w:type="dxa"/>
            <w:vAlign w:val="top"/>
          </w:tcPr>
          <w:p w14:paraId="298B1F5C" w14:textId="16C0E47B" w:rsidR="006B1479" w:rsidRPr="007967A9" w:rsidRDefault="006B1479" w:rsidP="007967A9">
            <w:pPr>
              <w:pStyle w:val="SDMTableBoxParaNotNumbered"/>
              <w:rPr>
                <w:rFonts w:cs="Arial"/>
              </w:rPr>
            </w:pPr>
            <w:r w:rsidRPr="007967A9">
              <w:rPr>
                <w:rFonts w:cs="Arial"/>
              </w:rPr>
              <w:t>=</w:t>
            </w:r>
          </w:p>
        </w:tc>
        <w:tc>
          <w:tcPr>
            <w:tcW w:w="6488" w:type="dxa"/>
            <w:vAlign w:val="top"/>
          </w:tcPr>
          <w:p w14:paraId="593EDF97" w14:textId="12E28BCA" w:rsidR="006B1479" w:rsidRPr="007967A9" w:rsidRDefault="006B1479" w:rsidP="007967A9">
            <w:pPr>
              <w:pStyle w:val="SDMTableBoxParaNotNumbered"/>
              <w:rPr>
                <w:rFonts w:cs="Arial"/>
              </w:rPr>
            </w:pPr>
            <w:r w:rsidRPr="007967A9">
              <w:rPr>
                <w:rFonts w:cs="Arial"/>
              </w:rPr>
              <w:t>Calendar year of the crediting period for which emission reductions are determined</w:t>
            </w:r>
          </w:p>
        </w:tc>
      </w:tr>
      <w:tr w:rsidR="006B1479" w:rsidRPr="007967A9" w14:paraId="4625D27E" w14:textId="77777777" w:rsidTr="007967A9">
        <w:tc>
          <w:tcPr>
            <w:tcW w:w="1701" w:type="dxa"/>
            <w:vAlign w:val="top"/>
          </w:tcPr>
          <w:p w14:paraId="338FBA46" w14:textId="5AD924D5" w:rsidR="006B1479" w:rsidRPr="007967A9" w:rsidRDefault="006B1479" w:rsidP="007967A9">
            <w:pPr>
              <w:pStyle w:val="SDMTableBoxParaNotNumbered"/>
              <w:rPr>
                <w:rFonts w:cs="Arial"/>
              </w:rPr>
            </w:pPr>
            <m:oMathPara>
              <m:oMathParaPr>
                <m:jc m:val="left"/>
              </m:oMathParaPr>
              <m:oMath>
                <m:r>
                  <w:rPr>
                    <w:rFonts w:ascii="Cambria Math" w:hAnsi="Cambria Math" w:cs="Arial"/>
                  </w:rPr>
                  <m:t>t</m:t>
                </m:r>
              </m:oMath>
            </m:oMathPara>
          </w:p>
        </w:tc>
        <w:tc>
          <w:tcPr>
            <w:tcW w:w="345" w:type="dxa"/>
            <w:vAlign w:val="top"/>
          </w:tcPr>
          <w:p w14:paraId="2BE9D677" w14:textId="34090F0E" w:rsidR="006B1479" w:rsidRPr="007967A9" w:rsidRDefault="006B1479" w:rsidP="007967A9">
            <w:pPr>
              <w:pStyle w:val="SDMTableBoxParaNotNumbered"/>
              <w:rPr>
                <w:rFonts w:cs="Arial"/>
              </w:rPr>
            </w:pPr>
            <w:r w:rsidRPr="007967A9">
              <w:rPr>
                <w:rFonts w:cs="Arial"/>
              </w:rPr>
              <w:t>=</w:t>
            </w:r>
          </w:p>
        </w:tc>
        <w:tc>
          <w:tcPr>
            <w:tcW w:w="6488" w:type="dxa"/>
            <w:vAlign w:val="top"/>
          </w:tcPr>
          <w:p w14:paraId="44D54E33" w14:textId="310A7480" w:rsidR="006B1479" w:rsidRPr="007967A9" w:rsidRDefault="006B1479" w:rsidP="007967A9">
            <w:pPr>
              <w:pStyle w:val="SDMTableBoxParaNotNumbered"/>
              <w:rPr>
                <w:rFonts w:cs="Arial"/>
              </w:rPr>
            </w:pPr>
            <w:r w:rsidRPr="007967A9">
              <w:rPr>
                <w:rFonts w:cs="Arial"/>
              </w:rPr>
              <w:t>Period for which the simple OM emission factor is calculated: under the ex</w:t>
            </w:r>
            <w:r w:rsidR="006D3BEE" w:rsidRPr="007967A9">
              <w:rPr>
                <w:rFonts w:cs="Arial"/>
              </w:rPr>
              <w:t> </w:t>
            </w:r>
            <w:r w:rsidRPr="007967A9">
              <w:rPr>
                <w:rFonts w:cs="Arial"/>
              </w:rPr>
              <w:t>post option, the historical year </w:t>
            </w:r>
            <w:r w:rsidRPr="007967A9">
              <w:rPr>
                <w:rFonts w:cs="Arial"/>
                <w:i/>
                <w:iCs/>
              </w:rPr>
              <w:t>v</w:t>
            </w:r>
            <w:r w:rsidRPr="007967A9">
              <w:rPr>
                <w:rFonts w:cs="Arial"/>
              </w:rPr>
              <w:t>; under the ex</w:t>
            </w:r>
            <w:r w:rsidR="006D3BEE" w:rsidRPr="007967A9">
              <w:rPr>
                <w:rFonts w:cs="Arial"/>
              </w:rPr>
              <w:t> </w:t>
            </w:r>
            <w:r w:rsidRPr="007967A9">
              <w:rPr>
                <w:rFonts w:cs="Arial"/>
              </w:rPr>
              <w:t xml:space="preserve">ante option, the central calendar year of the </w:t>
            </w:r>
            <w:r w:rsidRPr="007967A9" w:rsidDel="00662A91">
              <w:rPr>
                <w:rFonts w:cs="Arial"/>
              </w:rPr>
              <w:t>three</w:t>
            </w:r>
            <w:r w:rsidR="00662A91" w:rsidRPr="007967A9">
              <w:rPr>
                <w:rFonts w:cs="Arial"/>
              </w:rPr>
              <w:t>-year</w:t>
            </w:r>
            <w:r w:rsidRPr="007967A9">
              <w:rPr>
                <w:rFonts w:cs="Arial"/>
              </w:rPr>
              <w:t xml:space="preserve"> period used to calculate the emission factor</w:t>
            </w:r>
          </w:p>
        </w:tc>
      </w:tr>
    </w:tbl>
    <w:p w14:paraId="0363F834" w14:textId="78E7139C" w:rsidR="00873825" w:rsidRDefault="00DF122F">
      <w:pPr>
        <w:pStyle w:val="SDMPara"/>
      </w:pPr>
      <w:bookmarkStart w:id="496" w:name="_Ref220943627"/>
      <w:bookmarkStart w:id="497" w:name="_Toc497298257"/>
      <w:bookmarkStart w:id="498" w:name="_Toc497399026"/>
      <w:bookmarkStart w:id="499" w:name="_Toc516136278"/>
      <w:bookmarkStart w:id="500" w:name="_Ref215683392"/>
      <w:bookmarkStart w:id="501" w:name="_Ref215683668"/>
      <w:r>
        <w:t xml:space="preserve">For </w:t>
      </w:r>
      <w:r w:rsidR="002259CD" w:rsidRPr="002259CD">
        <w:rPr>
          <w:b/>
          <w:bCs/>
        </w:rPr>
        <w:t>case </w:t>
      </w:r>
      <w:r w:rsidRPr="002259CD">
        <w:rPr>
          <w:b/>
          <w:bCs/>
        </w:rPr>
        <w:t>1</w:t>
      </w:r>
      <w:r>
        <w:t xml:space="preserve">, a value of zero shall </w:t>
      </w:r>
      <w:r w:rsidR="002259CD">
        <w:t xml:space="preserve">be applied </w:t>
      </w:r>
      <w:r>
        <w:t>to the par</w:t>
      </w:r>
      <w:r w:rsidR="00873825">
        <w:t xml:space="preserve">ameter </w:t>
      </w:r>
      <w:r w:rsidR="00873825" w:rsidRPr="00E656EE">
        <w:rPr>
          <w:i/>
          <w:iCs/>
        </w:rPr>
        <w:t>F</w:t>
      </w:r>
      <w:r w:rsidR="00873825" w:rsidRPr="00E656EE">
        <w:rPr>
          <w:i/>
          <w:iCs/>
          <w:vertAlign w:val="subscript"/>
        </w:rPr>
        <w:t>OM</w:t>
      </w:r>
      <w:r>
        <w:rPr>
          <w:i/>
          <w:iCs/>
          <w:vertAlign w:val="subscript"/>
        </w:rPr>
        <w:t>,</w:t>
      </w:r>
      <w:r w:rsidR="00714A2E">
        <w:rPr>
          <w:i/>
          <w:iCs/>
          <w:vertAlign w:val="subscript"/>
        </w:rPr>
        <w:t>simple</w:t>
      </w:r>
      <w:r>
        <w:t xml:space="preserve">, as a simplified and reasonably conservative approach. For </w:t>
      </w:r>
      <w:r w:rsidR="002259CD" w:rsidRPr="00595B02">
        <w:rPr>
          <w:b/>
          <w:bCs/>
        </w:rPr>
        <w:t>case </w:t>
      </w:r>
      <w:r w:rsidRPr="00595B02">
        <w:rPr>
          <w:b/>
          <w:bCs/>
        </w:rPr>
        <w:t>2</w:t>
      </w:r>
      <w:r>
        <w:t xml:space="preserve">, </w:t>
      </w:r>
      <w:r w:rsidR="00D87CE8">
        <w:t xml:space="preserve">activity participants </w:t>
      </w:r>
      <w:r w:rsidR="00B62671">
        <w:t>shall</w:t>
      </w:r>
      <w:r w:rsidR="00D87CE8">
        <w:t xml:space="preserve"> use either the global value or the </w:t>
      </w:r>
      <w:r w:rsidR="00EF457C">
        <w:t xml:space="preserve">respective </w:t>
      </w:r>
      <w:r w:rsidR="00D87CE8">
        <w:t xml:space="preserve">country-specific </w:t>
      </w:r>
      <w:r>
        <w:t xml:space="preserve">value </w:t>
      </w:r>
      <w:r w:rsidR="00D87CE8">
        <w:t xml:space="preserve">provided in </w:t>
      </w:r>
      <w:r w:rsidR="487FB8FA">
        <w:t>a</w:t>
      </w:r>
      <w:r w:rsidR="00D87CE8">
        <w:t>ppendix</w:t>
      </w:r>
      <w:r w:rsidR="00E17A7A">
        <w:t> </w:t>
      </w:r>
      <w:r w:rsidR="00D87CE8">
        <w:t>2</w:t>
      </w:r>
      <w:r>
        <w:t>.</w:t>
      </w:r>
      <w:bookmarkEnd w:id="496"/>
    </w:p>
    <w:p w14:paraId="7A49B7AA" w14:textId="77777777" w:rsidR="00FB7670" w:rsidRPr="00C44DC6" w:rsidRDefault="00FB7670">
      <w:pPr>
        <w:pStyle w:val="SDMHead5"/>
      </w:pPr>
      <w:bookmarkStart w:id="502" w:name="_Ref216065061"/>
      <w:r w:rsidRPr="000C3025">
        <w:rPr>
          <w:lang w:val="en-US"/>
        </w:rPr>
        <w:t xml:space="preserve">Method </w:t>
      </w:r>
      <w:r w:rsidR="0042606C">
        <w:rPr>
          <w:lang w:val="en-US"/>
        </w:rPr>
        <w:t>(</w:t>
      </w:r>
      <w:r w:rsidRPr="000C3025">
        <w:rPr>
          <w:lang w:val="en-US"/>
        </w:rPr>
        <w:t>c)</w:t>
      </w:r>
      <w:r w:rsidR="00422EFD">
        <w:rPr>
          <w:lang w:val="en-US"/>
        </w:rPr>
        <w:t>:</w:t>
      </w:r>
      <w:r w:rsidRPr="000C3025">
        <w:rPr>
          <w:lang w:val="en-US"/>
        </w:rPr>
        <w:t xml:space="preserve"> </w:t>
      </w:r>
      <w:r w:rsidRPr="000C3025">
        <w:t>Simple adjusted OM</w:t>
      </w:r>
      <w:bookmarkEnd w:id="497"/>
      <w:bookmarkEnd w:id="498"/>
      <w:bookmarkEnd w:id="499"/>
      <w:bookmarkEnd w:id="500"/>
      <w:bookmarkEnd w:id="501"/>
      <w:bookmarkEnd w:id="502"/>
    </w:p>
    <w:p w14:paraId="7917EDC4" w14:textId="2BCF03CF" w:rsidR="00D35863" w:rsidRPr="000A4A21" w:rsidRDefault="00FB7670">
      <w:pPr>
        <w:pStyle w:val="SDMPara"/>
      </w:pPr>
      <w:r w:rsidRPr="000A4A21">
        <w:t>The simple adjusted OM emission factor (</w:t>
      </w:r>
      <w:r w:rsidRPr="000A4A21">
        <w:rPr>
          <w:i/>
        </w:rPr>
        <w:t>EF</w:t>
      </w:r>
      <w:r w:rsidRPr="000A4A21">
        <w:rPr>
          <w:i/>
          <w:vertAlign w:val="subscript"/>
        </w:rPr>
        <w:t>OM</w:t>
      </w:r>
      <w:r w:rsidR="00DB6F20">
        <w:rPr>
          <w:i/>
          <w:vertAlign w:val="subscript"/>
        </w:rPr>
        <w:t>,</w:t>
      </w:r>
      <w:r w:rsidRPr="000A4A21">
        <w:rPr>
          <w:i/>
          <w:vertAlign w:val="subscript"/>
        </w:rPr>
        <w:t>adj,</w:t>
      </w:r>
      <w:r w:rsidR="005D323D" w:rsidRPr="000A4A21">
        <w:rPr>
          <w:i/>
          <w:iCs/>
          <w:vertAlign w:val="subscript"/>
        </w:rPr>
        <w:t>t</w:t>
      </w:r>
      <w:r w:rsidRPr="000A4A21">
        <w:t>) is a variation of the simple OM</w:t>
      </w:r>
      <w:r w:rsidR="094EAF2A" w:rsidRPr="000A4A21">
        <w:t xml:space="preserve">, </w:t>
      </w:r>
      <w:r w:rsidR="007362DC" w:rsidRPr="000A4A21">
        <w:t>w</w:t>
      </w:r>
      <w:r w:rsidR="00F130FA" w:rsidRPr="000A4A21">
        <w:t xml:space="preserve">ith an adjustment for periods in which </w:t>
      </w:r>
      <w:r w:rsidR="00760BE4">
        <w:t xml:space="preserve">either (i) renewable electricity generation is curtailed because </w:t>
      </w:r>
      <w:r w:rsidR="00760BE4" w:rsidRPr="00226F02">
        <w:t>available output exceeded what the electricity system could absorb</w:t>
      </w:r>
      <w:r w:rsidR="00760BE4" w:rsidRPr="000A4A21">
        <w:t xml:space="preserve"> </w:t>
      </w:r>
      <w:r w:rsidR="00760BE4">
        <w:t xml:space="preserve">or (ii) </w:t>
      </w:r>
      <w:r w:rsidR="00035864" w:rsidRPr="000A4A21">
        <w:t xml:space="preserve">the electricity system </w:t>
      </w:r>
      <w:r w:rsidR="00717C1F" w:rsidRPr="000A4A21">
        <w:t>operates solely based on renewable</w:t>
      </w:r>
      <w:r w:rsidR="00035864" w:rsidRPr="000A4A21">
        <w:t>, nuclear, and/or storage power units</w:t>
      </w:r>
      <w:r w:rsidR="00717C1F" w:rsidRPr="000A4A21">
        <w:t>.</w:t>
      </w:r>
    </w:p>
    <w:p w14:paraId="3E02C27E" w14:textId="36353623" w:rsidR="0052193B" w:rsidRPr="004F5BC9" w:rsidRDefault="00422EFD">
      <w:pPr>
        <w:pStyle w:val="SDMPara"/>
      </w:pPr>
      <w:bookmarkStart w:id="503" w:name="_Ref215683409"/>
      <w:bookmarkStart w:id="504" w:name="_Ref220953076"/>
      <w:r w:rsidRPr="00B14BC4">
        <w:t xml:space="preserve">The simple adjusted OM </w:t>
      </w:r>
      <w:r w:rsidR="007B07E5">
        <w:t xml:space="preserve">emission factor </w:t>
      </w:r>
      <w:r w:rsidR="00A35E36">
        <w:t>shall</w:t>
      </w:r>
      <w:r w:rsidRPr="00B14BC4">
        <w:t xml:space="preserve"> be applied </w:t>
      </w:r>
      <w:r w:rsidR="00EB67CC">
        <w:t xml:space="preserve">only </w:t>
      </w:r>
      <w:r w:rsidRPr="00B14BC4">
        <w:t xml:space="preserve">where the necessary data </w:t>
      </w:r>
      <w:r w:rsidR="00EB67CC">
        <w:t>are</w:t>
      </w:r>
      <w:r w:rsidR="00EB67CC" w:rsidRPr="00B14BC4">
        <w:t xml:space="preserve"> </w:t>
      </w:r>
      <w:r w:rsidRPr="00B14BC4">
        <w:t>available.</w:t>
      </w:r>
      <w:r w:rsidR="002A2CD2" w:rsidRPr="00B14BC4">
        <w:t xml:space="preserve"> </w:t>
      </w:r>
      <w:r w:rsidR="00B14BC4" w:rsidRPr="00ED7604">
        <w:t xml:space="preserve">It may be applied to both </w:t>
      </w:r>
      <w:r w:rsidR="00EB67CC" w:rsidRPr="00EB67CC">
        <w:rPr>
          <w:b/>
          <w:bCs/>
        </w:rPr>
        <w:t>case </w:t>
      </w:r>
      <w:r w:rsidR="00B14BC4" w:rsidRPr="00EB67CC">
        <w:rPr>
          <w:b/>
          <w:bCs/>
        </w:rPr>
        <w:t>1</w:t>
      </w:r>
      <w:r w:rsidR="00B14BC4" w:rsidRPr="00ED7604">
        <w:t xml:space="preserve"> and </w:t>
      </w:r>
      <w:r w:rsidR="00EB67CC" w:rsidRPr="00EB67CC">
        <w:rPr>
          <w:b/>
          <w:bCs/>
        </w:rPr>
        <w:t>case </w:t>
      </w:r>
      <w:r w:rsidR="00B14BC4" w:rsidRPr="00EB67CC">
        <w:rPr>
          <w:b/>
          <w:bCs/>
        </w:rPr>
        <w:t>2</w:t>
      </w:r>
      <w:r w:rsidR="00B14BC4" w:rsidRPr="00ED7604">
        <w:t xml:space="preserve"> and to any type of electricity generation or consumption source</w:t>
      </w:r>
      <w:r w:rsidR="00B105D8">
        <w:t>,</w:t>
      </w:r>
      <w:r w:rsidR="00B14BC4" w:rsidRPr="00ED7604">
        <w:t xml:space="preserve"> including</w:t>
      </w:r>
      <w:r w:rsidR="00B14BC4" w:rsidRPr="00ED7604" w:rsidDel="00B105D8">
        <w:t xml:space="preserve"> </w:t>
      </w:r>
      <w:r w:rsidR="00B14BC4" w:rsidRPr="00ED7604">
        <w:t>intermittent and non-intermittent electricity generation sources and electricity consumption sources depending</w:t>
      </w:r>
      <w:r w:rsidR="00B105D8">
        <w:t xml:space="preserve"> on,</w:t>
      </w:r>
      <w:r w:rsidR="00B14BC4" w:rsidRPr="00ED7604">
        <w:t xml:space="preserve"> or not depending on</w:t>
      </w:r>
      <w:r w:rsidR="00B105D8">
        <w:t>,</w:t>
      </w:r>
      <w:r w:rsidR="00B14BC4" w:rsidRPr="00ED7604">
        <w:t xml:space="preserve"> intermittent generation</w:t>
      </w:r>
      <w:bookmarkEnd w:id="503"/>
      <w:r w:rsidR="0021043D">
        <w:t>.</w:t>
      </w:r>
      <w:bookmarkEnd w:id="504"/>
    </w:p>
    <w:p w14:paraId="50A2AA77" w14:textId="2E8BFEAB" w:rsidR="00726FDC" w:rsidRPr="00ED7604" w:rsidRDefault="00873456" w:rsidP="00C72647">
      <w:pPr>
        <w:pStyle w:val="SDMPara"/>
        <w:keepNext/>
      </w:pPr>
      <w:r w:rsidRPr="00ED7604">
        <w:t xml:space="preserve">This </w:t>
      </w:r>
      <w:r w:rsidR="00C114C6" w:rsidRPr="00ED7604">
        <w:t xml:space="preserve">methodological </w:t>
      </w:r>
      <w:r w:rsidRPr="00ED7604">
        <w:t xml:space="preserve">tool provides two options </w:t>
      </w:r>
      <w:r w:rsidR="00B105D8">
        <w:t>for calculating</w:t>
      </w:r>
      <w:r w:rsidR="00E615D7" w:rsidRPr="00ED7604">
        <w:t xml:space="preserve"> the </w:t>
      </w:r>
      <w:r w:rsidR="00665D86" w:rsidRPr="00ED7604">
        <w:t xml:space="preserve">simple </w:t>
      </w:r>
      <w:r w:rsidR="00E615D7" w:rsidRPr="00ED7604">
        <w:t>adjusted OM</w:t>
      </w:r>
      <w:r w:rsidR="00665D86" w:rsidRPr="00ED7604">
        <w:t xml:space="preserve"> emission factor</w:t>
      </w:r>
      <w:r w:rsidR="00E6040F" w:rsidRPr="00ED7604">
        <w:t>:</w:t>
      </w:r>
    </w:p>
    <w:p w14:paraId="0B726AB4" w14:textId="2337F1F2" w:rsidR="00873456" w:rsidRPr="00ED7604" w:rsidRDefault="50810A02">
      <w:pPr>
        <w:pStyle w:val="SDMSubPara1"/>
      </w:pPr>
      <w:r w:rsidRPr="00F77076">
        <w:rPr>
          <w:b/>
          <w:bCs/>
        </w:rPr>
        <w:t>Option</w:t>
      </w:r>
      <w:r w:rsidR="602BECC0" w:rsidRPr="00F77076">
        <w:rPr>
          <w:b/>
          <w:bCs/>
        </w:rPr>
        <w:t> </w:t>
      </w:r>
      <w:r w:rsidRPr="00F77076">
        <w:rPr>
          <w:b/>
          <w:bCs/>
        </w:rPr>
        <w:t>1:</w:t>
      </w:r>
      <w:r w:rsidR="252EBE53" w:rsidDel="00B105D8">
        <w:t xml:space="preserve"> </w:t>
      </w:r>
      <w:r w:rsidR="00B105D8">
        <w:t xml:space="preserve">based </w:t>
      </w:r>
      <w:r w:rsidR="252EBE53">
        <w:t>on</w:t>
      </w:r>
      <w:r w:rsidR="73F9B15B">
        <w:t xml:space="preserve"> </w:t>
      </w:r>
      <w:r w:rsidR="62988611">
        <w:t xml:space="preserve">(i) </w:t>
      </w:r>
      <w:r w:rsidR="73F9B15B">
        <w:t xml:space="preserve">hourly data on </w:t>
      </w:r>
      <w:r w:rsidR="62988611">
        <w:t>the</w:t>
      </w:r>
      <w:r w:rsidR="5C44246C">
        <w:t xml:space="preserve"> </w:t>
      </w:r>
      <w:r w:rsidR="73F9B15B">
        <w:t>electricity generation or consumption from all sources </w:t>
      </w:r>
      <w:r w:rsidR="73F9B15B" w:rsidRPr="00F77076">
        <w:rPr>
          <w:i/>
          <w:iCs/>
        </w:rPr>
        <w:t>s</w:t>
      </w:r>
      <w:r w:rsidR="62988611">
        <w:t>,</w:t>
      </w:r>
      <w:r w:rsidR="73F9B15B">
        <w:t xml:space="preserve"> </w:t>
      </w:r>
      <w:r w:rsidR="5C44246C">
        <w:t>(ii)</w:t>
      </w:r>
      <w:r w:rsidR="252EBE53">
        <w:t xml:space="preserve"> </w:t>
      </w:r>
      <w:r w:rsidR="62988611">
        <w:t xml:space="preserve">hourly data </w:t>
      </w:r>
      <w:r w:rsidR="00204860">
        <w:t xml:space="preserve">indicating </w:t>
      </w:r>
      <w:r w:rsidR="1920D7C1">
        <w:t xml:space="preserve">whether </w:t>
      </w:r>
      <w:r w:rsidR="00F76132">
        <w:t xml:space="preserve">renewable electricity generation is curtailed because </w:t>
      </w:r>
      <w:r w:rsidR="00F76132" w:rsidRPr="00226F02">
        <w:t>available output exceeded what the electricity system could absorb</w:t>
      </w:r>
      <w:r w:rsidR="00B81E27">
        <w:t>,</w:t>
      </w:r>
      <w:r w:rsidR="00B212F5">
        <w:t xml:space="preserve"> </w:t>
      </w:r>
      <w:r w:rsidR="00B81E27">
        <w:t xml:space="preserve">(iii) hourly indicating whether </w:t>
      </w:r>
      <w:r w:rsidR="00E323AD">
        <w:t xml:space="preserve">the </w:t>
      </w:r>
      <w:r w:rsidR="365E4473">
        <w:t>electricity system operates solely based on renewable, nuclear, and/or storage power units</w:t>
      </w:r>
      <w:r w:rsidR="11839791">
        <w:t>, and (i</w:t>
      </w:r>
      <w:r w:rsidR="00B81E27">
        <w:t>v</w:t>
      </w:r>
      <w:r w:rsidR="11839791">
        <w:t xml:space="preserve">) annual </w:t>
      </w:r>
      <w:r w:rsidR="255FD9DC">
        <w:t xml:space="preserve">data </w:t>
      </w:r>
      <w:r w:rsidR="009247E8">
        <w:t xml:space="preserve">used </w:t>
      </w:r>
      <w:r w:rsidR="255FD9DC">
        <w:t xml:space="preserve">to calculate the </w:t>
      </w:r>
      <w:r w:rsidR="11839791">
        <w:t>simple OM emission factor</w:t>
      </w:r>
      <w:r w:rsidR="5E27C544">
        <w:t>;</w:t>
      </w:r>
      <w:r w:rsidR="009247E8">
        <w:t xml:space="preserve"> or</w:t>
      </w:r>
    </w:p>
    <w:p w14:paraId="3F743C34" w14:textId="045D1703" w:rsidR="00E6040F" w:rsidRPr="00ED7604" w:rsidRDefault="00E6040F">
      <w:pPr>
        <w:pStyle w:val="SDMSubPara1"/>
      </w:pPr>
      <w:r w:rsidRPr="00ED7604">
        <w:rPr>
          <w:b/>
        </w:rPr>
        <w:t>Option</w:t>
      </w:r>
      <w:r w:rsidR="006A3F26" w:rsidRPr="00ED7604">
        <w:rPr>
          <w:b/>
        </w:rPr>
        <w:t> </w:t>
      </w:r>
      <w:r w:rsidRPr="00ED7604">
        <w:rPr>
          <w:b/>
        </w:rPr>
        <w:t>2:</w:t>
      </w:r>
      <w:r w:rsidRPr="00ED7604" w:rsidDel="00B105D8">
        <w:t xml:space="preserve"> </w:t>
      </w:r>
      <w:r w:rsidR="00B105D8">
        <w:t>b</w:t>
      </w:r>
      <w:r w:rsidR="00B105D8" w:rsidRPr="00ED7604">
        <w:t xml:space="preserve">ased </w:t>
      </w:r>
      <w:r w:rsidRPr="00ED7604">
        <w:t xml:space="preserve">on </w:t>
      </w:r>
      <w:r w:rsidR="00EF44D1" w:rsidRPr="00ED7604">
        <w:t>annual data on electricity generation or consumption from all sources </w:t>
      </w:r>
      <w:r w:rsidR="00EF44D1" w:rsidRPr="00ED7604">
        <w:rPr>
          <w:i/>
        </w:rPr>
        <w:t>s</w:t>
      </w:r>
      <w:r w:rsidR="00EF44D1" w:rsidRPr="00ED7604">
        <w:t xml:space="preserve"> and </w:t>
      </w:r>
      <w:r w:rsidR="00FF49EB" w:rsidRPr="00ED7604">
        <w:t xml:space="preserve">aggregated information </w:t>
      </w:r>
      <w:r w:rsidR="00A77D27" w:rsidRPr="00ED7604">
        <w:t xml:space="preserve">on the number of hours </w:t>
      </w:r>
      <w:r w:rsidR="00EF44D1" w:rsidRPr="00ED7604">
        <w:t xml:space="preserve">in which the </w:t>
      </w:r>
      <w:r w:rsidR="00F5447B">
        <w:t xml:space="preserve">renewable electricity generation is curtailed because </w:t>
      </w:r>
      <w:r w:rsidR="00F5447B" w:rsidRPr="00226F02">
        <w:t>available output exceeded what the electricity system could absorb</w:t>
      </w:r>
      <w:r w:rsidR="00B212F5">
        <w:t xml:space="preserve"> </w:t>
      </w:r>
      <w:r w:rsidR="00974E28">
        <w:t>and/</w:t>
      </w:r>
      <w:r w:rsidR="00B212F5">
        <w:t xml:space="preserve">or </w:t>
      </w:r>
      <w:r w:rsidR="00F93889">
        <w:t>the</w:t>
      </w:r>
      <w:r w:rsidR="00B212F5">
        <w:t xml:space="preserve"> </w:t>
      </w:r>
      <w:r w:rsidR="00EF44D1" w:rsidRPr="00ED7604">
        <w:t>electricity system operates solely based on renewable, nuclear, and/or storage power units.</w:t>
      </w:r>
    </w:p>
    <w:p w14:paraId="6936754C" w14:textId="6FF80F5F" w:rsidR="00232FB0" w:rsidRPr="005812B2" w:rsidRDefault="00EF44D1">
      <w:pPr>
        <w:pStyle w:val="SDMPara"/>
      </w:pPr>
      <w:bookmarkStart w:id="505" w:name="_Ref220953125"/>
      <w:r w:rsidRPr="00403450">
        <w:rPr>
          <w:b/>
          <w:bCs/>
        </w:rPr>
        <w:t>Option</w:t>
      </w:r>
      <w:r w:rsidR="00A76C0F" w:rsidRPr="00403450">
        <w:rPr>
          <w:b/>
          <w:bCs/>
        </w:rPr>
        <w:t> </w:t>
      </w:r>
      <w:r w:rsidR="006A3F26" w:rsidRPr="00403450">
        <w:rPr>
          <w:b/>
          <w:bCs/>
        </w:rPr>
        <w:t>1</w:t>
      </w:r>
      <w:r w:rsidR="006A3F26" w:rsidRPr="00ED7604">
        <w:t xml:space="preserve"> may </w:t>
      </w:r>
      <w:r w:rsidR="006A3F26" w:rsidRPr="005812B2">
        <w:t xml:space="preserve">be applied in all situations. </w:t>
      </w:r>
      <w:r w:rsidR="006A3F26" w:rsidRPr="00403450">
        <w:rPr>
          <w:b/>
          <w:bCs/>
        </w:rPr>
        <w:t>Option 2</w:t>
      </w:r>
      <w:r w:rsidR="0058798A" w:rsidRPr="005812B2">
        <w:t xml:space="preserve"> shall be applied</w:t>
      </w:r>
      <w:r w:rsidR="0067233A" w:rsidRPr="005812B2">
        <w:t xml:space="preserve"> </w:t>
      </w:r>
      <w:r w:rsidR="00186188">
        <w:t xml:space="preserve">only </w:t>
      </w:r>
      <w:r w:rsidR="0067233A" w:rsidRPr="005812B2">
        <w:t>to non-intermittent electricity generation sources or electricity consumption sources not depending on intermittent generation.</w:t>
      </w:r>
      <w:r w:rsidR="00A44E24" w:rsidRPr="005812B2">
        <w:t xml:space="preserve"> </w:t>
      </w:r>
      <w:r w:rsidR="00EB24E5" w:rsidRPr="005812B2">
        <w:t xml:space="preserve">Furthermore, </w:t>
      </w:r>
      <w:r w:rsidR="00186188" w:rsidRPr="00403450">
        <w:rPr>
          <w:b/>
          <w:bCs/>
        </w:rPr>
        <w:t>option </w:t>
      </w:r>
      <w:r w:rsidR="00B40099" w:rsidRPr="00403450">
        <w:rPr>
          <w:b/>
          <w:bCs/>
        </w:rPr>
        <w:t>1</w:t>
      </w:r>
      <w:r w:rsidR="00B40099" w:rsidRPr="005812B2">
        <w:t xml:space="preserve"> </w:t>
      </w:r>
      <w:r w:rsidR="00FA0568" w:rsidRPr="005812B2">
        <w:t>shall be</w:t>
      </w:r>
      <w:r w:rsidR="00B40099" w:rsidRPr="005812B2">
        <w:t xml:space="preserve"> determined using the ex</w:t>
      </w:r>
      <w:r w:rsidR="006D3BEE">
        <w:t> </w:t>
      </w:r>
      <w:r w:rsidR="00B40099" w:rsidRPr="005812B2">
        <w:t xml:space="preserve">post option, as </w:t>
      </w:r>
      <w:r w:rsidR="004459F3" w:rsidRPr="005812B2">
        <w:t>described</w:t>
      </w:r>
      <w:r w:rsidR="00A7503A" w:rsidRPr="005812B2">
        <w:t xml:space="preserve"> for the simple OM emission factor in section</w:t>
      </w:r>
      <w:r w:rsidR="008D5DB3">
        <w:t xml:space="preserve"> </w:t>
      </w:r>
      <w:r w:rsidR="00751200">
        <w:fldChar w:fldCharType="begin"/>
      </w:r>
      <w:r w:rsidR="00751200">
        <w:instrText xml:space="preserve"> REF _Ref215683293 \w \h </w:instrText>
      </w:r>
      <w:r w:rsidR="00751200">
        <w:fldChar w:fldCharType="separate"/>
      </w:r>
      <w:r w:rsidR="00D811A8">
        <w:rPr>
          <w:cs/>
        </w:rPr>
        <w:t>‎</w:t>
      </w:r>
      <w:r w:rsidR="00D811A8">
        <w:t>5.7.1.2.2</w:t>
      </w:r>
      <w:r w:rsidR="00751200">
        <w:fldChar w:fldCharType="end"/>
      </w:r>
      <w:r w:rsidR="00A7503A" w:rsidRPr="005812B2">
        <w:t xml:space="preserve">. </w:t>
      </w:r>
      <w:r w:rsidR="002E3ED9" w:rsidRPr="00403450">
        <w:rPr>
          <w:b/>
          <w:bCs/>
        </w:rPr>
        <w:t>Option 2</w:t>
      </w:r>
      <w:r w:rsidR="002E3ED9" w:rsidRPr="005812B2">
        <w:t xml:space="preserve"> may be</w:t>
      </w:r>
      <w:r w:rsidR="00FA0568" w:rsidRPr="005812B2">
        <w:t xml:space="preserve"> determined using either the ex</w:t>
      </w:r>
      <w:r w:rsidR="006D3BEE">
        <w:t> </w:t>
      </w:r>
      <w:r w:rsidR="00FA0568" w:rsidRPr="005812B2">
        <w:t>ante option or the ex</w:t>
      </w:r>
      <w:r w:rsidR="006D3BEE">
        <w:t> </w:t>
      </w:r>
      <w:r w:rsidR="00FA0568" w:rsidRPr="005812B2">
        <w:t>post option, as described for the simple OM emission factor</w:t>
      </w:r>
      <w:r w:rsidR="007E4090" w:rsidRPr="005812B2">
        <w:t xml:space="preserve"> in section </w:t>
      </w:r>
      <w:bookmarkEnd w:id="505"/>
      <w:r w:rsidR="00570436">
        <w:fldChar w:fldCharType="begin"/>
      </w:r>
      <w:r w:rsidR="00570436">
        <w:instrText xml:space="preserve"> REF _Ref215683293 \w \h </w:instrText>
      </w:r>
      <w:r w:rsidR="00570436">
        <w:fldChar w:fldCharType="separate"/>
      </w:r>
      <w:r w:rsidR="00D811A8">
        <w:rPr>
          <w:cs/>
        </w:rPr>
        <w:t>‎</w:t>
      </w:r>
      <w:r w:rsidR="00D811A8">
        <w:t>5.7.1.2.2</w:t>
      </w:r>
      <w:r w:rsidR="00570436">
        <w:fldChar w:fldCharType="end"/>
      </w:r>
      <w:r w:rsidR="00570436">
        <w:t>.</w:t>
      </w:r>
    </w:p>
    <w:p w14:paraId="693EDFB7" w14:textId="1DDBD42A" w:rsidR="00633E90" w:rsidRPr="00ED7604" w:rsidRDefault="00436176" w:rsidP="00C72647">
      <w:pPr>
        <w:pStyle w:val="SDMPara"/>
        <w:keepNext/>
      </w:pPr>
      <w:r w:rsidRPr="00ED7604">
        <w:t xml:space="preserve">Under both options, </w:t>
      </w:r>
      <w:r w:rsidR="002E1B6C" w:rsidRPr="00ED7604">
        <w:t xml:space="preserve">the simple adjusted OM emission factor </w:t>
      </w:r>
      <w:r w:rsidR="00403450">
        <w:t>shall be</w:t>
      </w:r>
      <w:r w:rsidR="00403450" w:rsidRPr="00ED7604">
        <w:t xml:space="preserve"> </w:t>
      </w:r>
      <w:r w:rsidR="002E1B6C" w:rsidRPr="00ED7604">
        <w:t xml:space="preserve">determined by </w:t>
      </w:r>
      <w:r w:rsidR="00403450">
        <w:t>applying</w:t>
      </w:r>
      <w:r w:rsidR="00403450" w:rsidRPr="00ED7604">
        <w:t xml:space="preserve"> </w:t>
      </w:r>
      <w:r w:rsidR="002E1B6C" w:rsidRPr="00ED7604">
        <w:t>an adjustment to the simple OM emission factor</w:t>
      </w:r>
      <w:r w:rsidR="00633E90" w:rsidRPr="00ED7604">
        <w:t xml:space="preserve">, </w:t>
      </w:r>
      <w:r w:rsidR="002E1B6C" w:rsidRPr="00ED7604">
        <w:t>as follows:</w:t>
      </w:r>
    </w:p>
    <w:p w14:paraId="2C195A08" w14:textId="427234F8" w:rsidR="00071251" w:rsidRPr="00ED7604" w:rsidRDefault="00AA35AD" w:rsidP="00C72647">
      <w:pPr>
        <w:pStyle w:val="SDMSubPara1"/>
        <w:keepNext/>
      </w:pPr>
      <w:r w:rsidRPr="00ED7604">
        <w:rPr>
          <w:b/>
        </w:rPr>
        <w:t>Option</w:t>
      </w:r>
      <w:r w:rsidR="0060151F">
        <w:rPr>
          <w:b/>
        </w:rPr>
        <w:t> </w:t>
      </w:r>
      <w:r w:rsidRPr="00ED7604">
        <w:rPr>
          <w:b/>
        </w:rPr>
        <w:t>1:</w:t>
      </w:r>
      <w:r w:rsidR="003925A6" w:rsidRPr="00ED7604">
        <w:t xml:space="preserve"> </w:t>
      </w:r>
      <w:r w:rsidR="006F015C">
        <w:t>a</w:t>
      </w:r>
      <w:r w:rsidR="006F015C" w:rsidRPr="00ED7604">
        <w:t xml:space="preserve">n </w:t>
      </w:r>
      <w:r w:rsidR="008E5DA0" w:rsidRPr="00ED7604">
        <w:t xml:space="preserve">emission factor of zero </w:t>
      </w:r>
      <w:r w:rsidR="006F015C">
        <w:t>shall be applied</w:t>
      </w:r>
      <w:r w:rsidR="008E5DA0" w:rsidRPr="00ED7604">
        <w:t xml:space="preserve"> </w:t>
      </w:r>
      <w:r w:rsidR="00071251" w:rsidRPr="00ED7604">
        <w:t>for each hour </w:t>
      </w:r>
      <w:r w:rsidR="00071251" w:rsidRPr="00ED7604">
        <w:rPr>
          <w:i/>
        </w:rPr>
        <w:t>h</w:t>
      </w:r>
      <w:r w:rsidR="00071251" w:rsidRPr="00ED7604">
        <w:t xml:space="preserve"> in which </w:t>
      </w:r>
      <w:r w:rsidR="00304CBB">
        <w:t xml:space="preserve">either (i) </w:t>
      </w:r>
      <w:r w:rsidR="00BC6CDC">
        <w:t xml:space="preserve">renewable electricity generation in </w:t>
      </w:r>
      <w:r w:rsidR="00071251" w:rsidRPr="00ED7604">
        <w:t xml:space="preserve">the electricity system </w:t>
      </w:r>
      <w:r w:rsidR="00BC6CDC">
        <w:t xml:space="preserve">is curtailed because </w:t>
      </w:r>
      <w:r w:rsidR="00622974" w:rsidRPr="00622974">
        <w:t>available output exceeded what the electricity system could absorb</w:t>
      </w:r>
      <w:r w:rsidR="007F1DED">
        <w:t xml:space="preserve"> </w:t>
      </w:r>
      <w:r w:rsidR="00071251" w:rsidRPr="00ED7604">
        <w:t xml:space="preserve">or </w:t>
      </w:r>
      <w:r w:rsidR="007F1DED">
        <w:t xml:space="preserve">(ii) the electricity system </w:t>
      </w:r>
      <w:r w:rsidR="00071251" w:rsidRPr="00ED7604">
        <w:t>operates solely based on renewable, nuclear, and/or storage power units</w:t>
      </w:r>
      <w:r w:rsidR="002D7149" w:rsidRPr="00ED7604">
        <w:t>. In all other hours </w:t>
      </w:r>
      <w:r w:rsidR="002D7149" w:rsidRPr="00ED7604">
        <w:rPr>
          <w:i/>
        </w:rPr>
        <w:t>h</w:t>
      </w:r>
      <w:r w:rsidR="002D7149" w:rsidRPr="00ED7604">
        <w:t xml:space="preserve">, the </w:t>
      </w:r>
      <w:r w:rsidR="00FB4B38">
        <w:t>annual</w:t>
      </w:r>
      <w:r w:rsidR="002D7149" w:rsidRPr="00ED7604">
        <w:t xml:space="preserve"> simple OM emission factor </w:t>
      </w:r>
      <w:r w:rsidR="00E418C4">
        <w:t>shall be applied</w:t>
      </w:r>
      <w:r w:rsidR="002D7149" w:rsidRPr="00ED7604">
        <w:t>.</w:t>
      </w:r>
      <w:r w:rsidR="00B4396B" w:rsidRPr="00ED7604">
        <w:t xml:space="preserve"> This is expressed through the term </w:t>
      </w:r>
      <w:r w:rsidR="00B4396B" w:rsidRPr="00FF4237">
        <w:rPr>
          <w:i/>
          <w:iCs/>
        </w:rPr>
        <w:t>S</w:t>
      </w:r>
      <w:r w:rsidR="00B4396B" w:rsidRPr="00FF4237">
        <w:rPr>
          <w:i/>
          <w:iCs/>
          <w:vertAlign w:val="subscript"/>
        </w:rPr>
        <w:t>h</w:t>
      </w:r>
      <w:r w:rsidR="00E418C4">
        <w:t xml:space="preserve">, </w:t>
      </w:r>
      <w:r w:rsidR="00B4396B" w:rsidRPr="00ED7604">
        <w:t xml:space="preserve">which </w:t>
      </w:r>
      <w:r w:rsidR="00B95F4B" w:rsidRPr="00ED7604">
        <w:t xml:space="preserve">shall </w:t>
      </w:r>
      <w:r w:rsidR="001C0149">
        <w:t xml:space="preserve">be </w:t>
      </w:r>
      <w:r w:rsidR="00B4396B" w:rsidRPr="00ED7604">
        <w:t xml:space="preserve">equal to </w:t>
      </w:r>
      <w:r w:rsidR="00B95F4B" w:rsidRPr="00ED7604">
        <w:t xml:space="preserve">zero for hours in which </w:t>
      </w:r>
      <w:r w:rsidR="00172E60">
        <w:t xml:space="preserve">either </w:t>
      </w:r>
      <w:r w:rsidR="00AF28E2" w:rsidRPr="00AF28E2">
        <w:t>renewable electricity generation is curtailed because available output exceeded what the electricity system could absorb</w:t>
      </w:r>
      <w:r w:rsidR="00172E60">
        <w:t xml:space="preserve"> or </w:t>
      </w:r>
      <w:r w:rsidR="00B95F4B" w:rsidRPr="00ED7604">
        <w:t xml:space="preserve">the electricity system operates solely based on renewable, nuclear, and/or storage power units and </w:t>
      </w:r>
      <w:r w:rsidR="001C0149">
        <w:t xml:space="preserve">equal </w:t>
      </w:r>
      <w:r w:rsidR="00B95F4B" w:rsidRPr="00ED7604">
        <w:t xml:space="preserve">to one for </w:t>
      </w:r>
      <w:r w:rsidR="005D2436">
        <w:t xml:space="preserve">all </w:t>
      </w:r>
      <w:r w:rsidR="00B95F4B" w:rsidRPr="00ED7604">
        <w:t>other hours:</w:t>
      </w:r>
    </w:p>
    <w:tbl>
      <w:tblPr>
        <w:tblStyle w:val="SDMMethTableEquation"/>
        <w:tblW w:w="8188" w:type="dxa"/>
        <w:tblInd w:w="1310" w:type="dxa"/>
        <w:tblLook w:val="0600" w:firstRow="0" w:lastRow="0" w:firstColumn="0" w:lastColumn="0" w:noHBand="1" w:noVBand="1"/>
      </w:tblPr>
      <w:tblGrid>
        <w:gridCol w:w="6770"/>
        <w:gridCol w:w="1418"/>
      </w:tblGrid>
      <w:tr w:rsidR="00FB7670" w:rsidRPr="005812B2" w14:paraId="1A03976C" w14:textId="77777777" w:rsidTr="00E4000C">
        <w:tc>
          <w:tcPr>
            <w:tcW w:w="6770" w:type="dxa"/>
          </w:tcPr>
          <w:p w14:paraId="639FA39F" w14:textId="77777777" w:rsidR="00FB7670" w:rsidRPr="0060151F" w:rsidRDefault="00000000" w:rsidP="00CC3EC0">
            <w:pPr>
              <w:pStyle w:val="SDMMethEquation"/>
            </w:pPr>
            <m:oMathPara>
              <m:oMathParaPr>
                <m:jc m:val="left"/>
              </m:oMathParaPr>
              <m:oMath>
                <m:sSub>
                  <m:sSubPr>
                    <m:ctrlPr>
                      <w:rPr>
                        <w:rFonts w:ascii="Cambria Math" w:hAnsi="Cambria Math"/>
                        <w:i/>
                      </w:rPr>
                    </m:ctrlPr>
                  </m:sSubPr>
                  <m:e>
                    <m:r>
                      <w:rPr>
                        <w:rFonts w:ascii="Cambria Math" w:hAnsi="Cambria Math"/>
                      </w:rPr>
                      <m:t>EF</m:t>
                    </m:r>
                  </m:e>
                  <m:sub>
                    <m:r>
                      <w:rPr>
                        <w:rFonts w:ascii="Cambria Math" w:hAnsi="Cambria Math"/>
                      </w:rPr>
                      <m:t>OM,adj,h</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h</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OM,simple,y</m:t>
                    </m:r>
                  </m:sub>
                </m:sSub>
              </m:oMath>
            </m:oMathPara>
          </w:p>
        </w:tc>
        <w:tc>
          <w:tcPr>
            <w:tcW w:w="1418" w:type="dxa"/>
          </w:tcPr>
          <w:p w14:paraId="7E54E5DF" w14:textId="77777777" w:rsidR="00FB7670" w:rsidRPr="005812B2" w:rsidRDefault="00FB7670">
            <w:pPr>
              <w:pStyle w:val="SDMMethEquationNr"/>
              <w:numPr>
                <w:ilvl w:val="0"/>
                <w:numId w:val="6"/>
              </w:numPr>
            </w:pPr>
          </w:p>
        </w:tc>
      </w:tr>
    </w:tbl>
    <w:p w14:paraId="16D4C402" w14:textId="32819396" w:rsidR="00AA35AD" w:rsidRPr="005812B2" w:rsidRDefault="00AA35AD" w:rsidP="00C72647">
      <w:pPr>
        <w:pStyle w:val="SDMSubPara1"/>
        <w:keepNext/>
      </w:pPr>
      <w:r w:rsidRPr="005812B2">
        <w:rPr>
          <w:b/>
        </w:rPr>
        <w:t>Option</w:t>
      </w:r>
      <w:r w:rsidR="0060151F">
        <w:rPr>
          <w:b/>
        </w:rPr>
        <w:t> </w:t>
      </w:r>
      <w:r w:rsidRPr="005812B2">
        <w:rPr>
          <w:b/>
        </w:rPr>
        <w:t>2:</w:t>
      </w:r>
      <w:r w:rsidR="00310F89" w:rsidRPr="005812B2">
        <w:t xml:space="preserve"> </w:t>
      </w:r>
      <w:r w:rsidR="000D167D">
        <w:t>t</w:t>
      </w:r>
      <w:r w:rsidR="000D167D" w:rsidRPr="005812B2">
        <w:t xml:space="preserve">he </w:t>
      </w:r>
      <w:r w:rsidR="00310F89" w:rsidRPr="005812B2">
        <w:t xml:space="preserve">simple adjusted OM emission factor </w:t>
      </w:r>
      <w:r w:rsidR="00A81371">
        <w:t xml:space="preserve">shall be </w:t>
      </w:r>
      <w:r w:rsidR="00310F89" w:rsidRPr="005812B2">
        <w:t>determined for calendar year </w:t>
      </w:r>
      <w:r w:rsidR="00310F89" w:rsidRPr="00AC147D">
        <w:rPr>
          <w:i/>
        </w:rPr>
        <w:t>y</w:t>
      </w:r>
      <w:r w:rsidR="00BE1E6D">
        <w:t xml:space="preserve"> </w:t>
      </w:r>
      <w:r w:rsidR="00365500">
        <w:t>by</w:t>
      </w:r>
      <w:r w:rsidR="009455F1" w:rsidRPr="005812B2">
        <w:t xml:space="preserve"> </w:t>
      </w:r>
      <w:r w:rsidR="006662F8" w:rsidRPr="005812B2">
        <w:t xml:space="preserve">adjusting for the fraction of time in which </w:t>
      </w:r>
      <w:r w:rsidR="00895EDA">
        <w:t xml:space="preserve">renewable electricity generation is curtailed because </w:t>
      </w:r>
      <w:r w:rsidR="00895EDA" w:rsidRPr="00622974">
        <w:t>available output exceeded what the electricity system could absorb</w:t>
      </w:r>
      <w:r w:rsidR="00884F88">
        <w:t xml:space="preserve"> </w:t>
      </w:r>
      <w:r w:rsidR="00AD7E54">
        <w:t>and/</w:t>
      </w:r>
      <w:r w:rsidR="00884F88">
        <w:t xml:space="preserve">or </w:t>
      </w:r>
      <w:r w:rsidR="006662F8" w:rsidRPr="005812B2">
        <w:t>the electricity system operates solely based on renewable, nuclear, and/or storage power units</w:t>
      </w:r>
      <w:r w:rsidR="002E34D8" w:rsidRPr="005812B2">
        <w:t>, as follows:</w:t>
      </w:r>
    </w:p>
    <w:tbl>
      <w:tblPr>
        <w:tblStyle w:val="SDMMethTableEquation"/>
        <w:tblW w:w="8151" w:type="dxa"/>
        <w:tblInd w:w="1310" w:type="dxa"/>
        <w:tblLook w:val="0600" w:firstRow="0" w:lastRow="0" w:firstColumn="0" w:lastColumn="0" w:noHBand="1" w:noVBand="1"/>
      </w:tblPr>
      <w:tblGrid>
        <w:gridCol w:w="6487"/>
        <w:gridCol w:w="1664"/>
      </w:tblGrid>
      <w:tr w:rsidR="00AA35AD" w:rsidRPr="007A16E3" w14:paraId="76977142" w14:textId="77777777" w:rsidTr="00E4000C">
        <w:tc>
          <w:tcPr>
            <w:tcW w:w="6487" w:type="dxa"/>
          </w:tcPr>
          <w:p w14:paraId="7B7035EC" w14:textId="77777777" w:rsidR="00AA35AD" w:rsidRPr="0060151F" w:rsidRDefault="00000000" w:rsidP="0060151F">
            <w:pPr>
              <w:pStyle w:val="SDMMethEquation"/>
              <w:jc w:val="left"/>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EF</m:t>
                    </m:r>
                  </m:e>
                  <m:sub>
                    <m:r>
                      <w:rPr>
                        <w:rFonts w:ascii="Cambria Math" w:hAnsi="Cambria Math"/>
                        <w:sz w:val="20"/>
                        <w:szCs w:val="20"/>
                      </w:rPr>
                      <m:t>OM,adj,y</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y</m:t>
                        </m:r>
                      </m:sub>
                    </m:sSub>
                  </m:e>
                </m:d>
                <m:r>
                  <w:rPr>
                    <w:rFonts w:ascii="Cambria Math" w:hAnsi="Cambria Math"/>
                    <w:sz w:val="20"/>
                    <w:szCs w:val="20"/>
                  </w:rPr>
                  <m:t>×</m:t>
                </m:r>
                <m:sSub>
                  <m:sSubPr>
                    <m:ctrlPr>
                      <w:rPr>
                        <w:rFonts w:ascii="Cambria Math" w:hAnsi="Cambria Math"/>
                        <w:i/>
                      </w:rPr>
                    </m:ctrlPr>
                  </m:sSubPr>
                  <m:e>
                    <m:r>
                      <w:rPr>
                        <w:rFonts w:ascii="Cambria Math" w:hAnsi="Cambria Math"/>
                      </w:rPr>
                      <m:t>EF</m:t>
                    </m:r>
                  </m:e>
                  <m:sub>
                    <m:r>
                      <w:rPr>
                        <w:rFonts w:ascii="Cambria Math" w:hAnsi="Cambria Math"/>
                      </w:rPr>
                      <m:t>OM,simple,y</m:t>
                    </m:r>
                  </m:sub>
                </m:sSub>
              </m:oMath>
            </m:oMathPara>
          </w:p>
        </w:tc>
        <w:tc>
          <w:tcPr>
            <w:tcW w:w="1664" w:type="dxa"/>
          </w:tcPr>
          <w:p w14:paraId="1AD19D97" w14:textId="77777777" w:rsidR="00AA35AD" w:rsidRPr="007A16E3" w:rsidRDefault="00AA35AD">
            <w:pPr>
              <w:pStyle w:val="SDMMethEquationNr"/>
              <w:numPr>
                <w:ilvl w:val="0"/>
                <w:numId w:val="6"/>
              </w:numPr>
            </w:pPr>
          </w:p>
        </w:tc>
      </w:tr>
    </w:tbl>
    <w:p w14:paraId="2AE0F527" w14:textId="77777777" w:rsidR="00FB7670" w:rsidRPr="00F77930" w:rsidRDefault="00FB7670" w:rsidP="00C72647">
      <w:pPr>
        <w:pStyle w:val="SDMMethCaptionEquationParametersTable"/>
      </w:pPr>
      <w:r w:rsidRPr="00F77930">
        <w:t>Where:</w:t>
      </w:r>
    </w:p>
    <w:tbl>
      <w:tblPr>
        <w:tblStyle w:val="SDMMethTableEquationParameters"/>
        <w:tblW w:w="8046" w:type="dxa"/>
        <w:tblInd w:w="601" w:type="dxa"/>
        <w:tblLook w:val="04A0" w:firstRow="1" w:lastRow="0" w:firstColumn="1" w:lastColumn="0" w:noHBand="0" w:noVBand="1"/>
      </w:tblPr>
      <w:tblGrid>
        <w:gridCol w:w="1289"/>
        <w:gridCol w:w="713"/>
        <w:gridCol w:w="6044"/>
      </w:tblGrid>
      <w:tr w:rsidR="00FB7670" w:rsidRPr="007967A9" w14:paraId="0F0F4DD0" w14:textId="77777777" w:rsidTr="007967A9">
        <w:tc>
          <w:tcPr>
            <w:tcW w:w="1289" w:type="dxa"/>
            <w:vAlign w:val="top"/>
          </w:tcPr>
          <w:p w14:paraId="13299C88" w14:textId="2369B6A3" w:rsidR="00FB7670" w:rsidRPr="007967A9" w:rsidRDefault="00000000" w:rsidP="007967A9">
            <w:pPr>
              <w:pStyle w:val="SDMTableBoxParaNotNumbered"/>
              <w:rPr>
                <w:rFonts w:cs="Arial"/>
                <w:i/>
              </w:rPr>
            </w:pPr>
            <m:oMathPara>
              <m:oMathParaPr>
                <m:jc m:val="left"/>
              </m:oMathParaPr>
              <m:oMath>
                <m:sSub>
                  <m:sSubPr>
                    <m:ctrlPr>
                      <w:rPr>
                        <w:rFonts w:ascii="Cambria Math" w:hAnsi="Cambria Math" w:cs="Arial"/>
                        <w:i/>
                      </w:rPr>
                    </m:ctrlPr>
                  </m:sSubPr>
                  <m:e>
                    <m:r>
                      <w:rPr>
                        <w:rFonts w:ascii="Cambria Math" w:hAnsi="Cambria Math" w:cs="Arial"/>
                      </w:rPr>
                      <m:t>EF</m:t>
                    </m:r>
                  </m:e>
                  <m:sub>
                    <m:r>
                      <w:rPr>
                        <w:rFonts w:ascii="Cambria Math" w:hAnsi="Cambria Math" w:cs="Arial"/>
                      </w:rPr>
                      <m:t>OM,adj,y</m:t>
                    </m:r>
                  </m:sub>
                </m:sSub>
              </m:oMath>
            </m:oMathPara>
          </w:p>
        </w:tc>
        <w:tc>
          <w:tcPr>
            <w:tcW w:w="713" w:type="dxa"/>
            <w:vAlign w:val="top"/>
          </w:tcPr>
          <w:p w14:paraId="3E66CC32" w14:textId="77777777" w:rsidR="00FB7670" w:rsidRPr="007967A9" w:rsidRDefault="00FB7670" w:rsidP="007967A9">
            <w:pPr>
              <w:pStyle w:val="SDMTableBoxParaNotNumbered"/>
              <w:rPr>
                <w:rFonts w:cs="Arial"/>
              </w:rPr>
            </w:pPr>
            <w:r w:rsidRPr="007967A9">
              <w:rPr>
                <w:rFonts w:cs="Arial"/>
              </w:rPr>
              <w:t>=</w:t>
            </w:r>
          </w:p>
        </w:tc>
        <w:tc>
          <w:tcPr>
            <w:tcW w:w="6044" w:type="dxa"/>
            <w:vAlign w:val="top"/>
          </w:tcPr>
          <w:p w14:paraId="08B47C40" w14:textId="09CCD167" w:rsidR="00FB7670" w:rsidRPr="007967A9" w:rsidRDefault="00FB7670" w:rsidP="007967A9">
            <w:pPr>
              <w:pStyle w:val="SDMTableBoxParaNotNumbered"/>
              <w:rPr>
                <w:rFonts w:cs="Arial"/>
              </w:rPr>
            </w:pPr>
            <w:r w:rsidRPr="007967A9">
              <w:rPr>
                <w:rFonts w:cs="Arial"/>
              </w:rPr>
              <w:t xml:space="preserve">Simple adjusted </w:t>
            </w:r>
            <w:r w:rsidR="00BA5C60" w:rsidRPr="007967A9">
              <w:rPr>
                <w:rFonts w:cs="Arial"/>
              </w:rPr>
              <w:t>OM</w:t>
            </w:r>
            <w:r w:rsidRPr="007967A9">
              <w:rPr>
                <w:rFonts w:cs="Arial"/>
              </w:rPr>
              <w:t xml:space="preserve"> CO</w:t>
            </w:r>
            <w:r w:rsidRPr="007967A9">
              <w:rPr>
                <w:rFonts w:cs="Arial"/>
                <w:vertAlign w:val="subscript"/>
              </w:rPr>
              <w:t>2</w:t>
            </w:r>
            <w:r w:rsidRPr="007967A9">
              <w:rPr>
                <w:rFonts w:cs="Arial"/>
              </w:rPr>
              <w:t xml:space="preserve"> emission factor in year</w:t>
            </w:r>
            <w:r w:rsidR="00B94C51" w:rsidRPr="007967A9">
              <w:rPr>
                <w:rFonts w:cs="Arial"/>
              </w:rPr>
              <w:t> </w:t>
            </w:r>
            <w:r w:rsidR="00CB52F3" w:rsidRPr="007967A9">
              <w:rPr>
                <w:rFonts w:cs="Arial"/>
                <w:i/>
              </w:rPr>
              <w:t>y</w:t>
            </w:r>
            <w:r w:rsidR="094EAF2A" w:rsidRPr="007967A9">
              <w:rPr>
                <w:rFonts w:cs="Arial"/>
                <w:i/>
              </w:rPr>
              <w:t xml:space="preserve"> </w:t>
            </w:r>
            <w:r w:rsidRPr="007967A9">
              <w:rPr>
                <w:rFonts w:cs="Arial"/>
              </w:rPr>
              <w:t>(t CO</w:t>
            </w:r>
            <w:r w:rsidRPr="007967A9">
              <w:rPr>
                <w:rFonts w:cs="Arial"/>
                <w:vertAlign w:val="subscript"/>
              </w:rPr>
              <w:t>2</w:t>
            </w:r>
            <w:r w:rsidRPr="007967A9">
              <w:rPr>
                <w:rFonts w:cs="Arial"/>
              </w:rPr>
              <w:t>/MWh)</w:t>
            </w:r>
          </w:p>
        </w:tc>
      </w:tr>
      <w:tr w:rsidR="00F47A24" w:rsidRPr="007967A9" w14:paraId="273AD5A4" w14:textId="77777777" w:rsidTr="007967A9">
        <w:trPr>
          <w:trHeight w:val="510"/>
        </w:trPr>
        <w:tc>
          <w:tcPr>
            <w:tcW w:w="1289" w:type="dxa"/>
            <w:vAlign w:val="top"/>
          </w:tcPr>
          <w:p w14:paraId="5928DEA1" w14:textId="4855D6E1" w:rsidR="00F47A24" w:rsidRPr="007967A9" w:rsidRDefault="00000000" w:rsidP="007967A9">
            <w:pPr>
              <w:pStyle w:val="SDMTableBoxParaNotNumbered"/>
              <w:rPr>
                <w:rFonts w:cs="Arial"/>
                <w:i/>
              </w:rPr>
            </w:pPr>
            <m:oMathPara>
              <m:oMathParaPr>
                <m:jc m:val="left"/>
              </m:oMathParaPr>
              <m:oMath>
                <m:sSub>
                  <m:sSubPr>
                    <m:ctrlPr>
                      <w:rPr>
                        <w:rFonts w:ascii="Cambria Math" w:hAnsi="Cambria Math" w:cs="Arial"/>
                        <w:i/>
                      </w:rPr>
                    </m:ctrlPr>
                  </m:sSubPr>
                  <m:e>
                    <m:r>
                      <w:rPr>
                        <w:rFonts w:ascii="Cambria Math" w:hAnsi="Cambria Math" w:cs="Arial"/>
                      </w:rPr>
                      <m:t>S</m:t>
                    </m:r>
                  </m:e>
                  <m:sub>
                    <m:r>
                      <w:rPr>
                        <w:rFonts w:ascii="Cambria Math" w:hAnsi="Cambria Math" w:cs="Arial"/>
                      </w:rPr>
                      <m:t>h</m:t>
                    </m:r>
                  </m:sub>
                </m:sSub>
              </m:oMath>
            </m:oMathPara>
          </w:p>
        </w:tc>
        <w:tc>
          <w:tcPr>
            <w:tcW w:w="713" w:type="dxa"/>
            <w:vAlign w:val="top"/>
          </w:tcPr>
          <w:p w14:paraId="0FF1BDED" w14:textId="77777777" w:rsidR="00F47A24" w:rsidRPr="007967A9" w:rsidRDefault="00F47A24" w:rsidP="007967A9">
            <w:pPr>
              <w:pStyle w:val="SDMTableBoxParaNotNumbered"/>
              <w:rPr>
                <w:rFonts w:cs="Arial"/>
              </w:rPr>
            </w:pPr>
            <w:r w:rsidRPr="007967A9">
              <w:rPr>
                <w:rFonts w:cs="Arial"/>
              </w:rPr>
              <w:t>=</w:t>
            </w:r>
          </w:p>
        </w:tc>
        <w:tc>
          <w:tcPr>
            <w:tcW w:w="6044" w:type="dxa"/>
            <w:vAlign w:val="top"/>
          </w:tcPr>
          <w:p w14:paraId="480FF51B" w14:textId="29A42361" w:rsidR="00F47A24" w:rsidRPr="007967A9" w:rsidRDefault="00561411" w:rsidP="007967A9">
            <w:pPr>
              <w:pStyle w:val="SDMTableBoxParaNotNumbered"/>
              <w:rPr>
                <w:rFonts w:cs="Arial"/>
              </w:rPr>
            </w:pPr>
            <w:r w:rsidRPr="007967A9">
              <w:rPr>
                <w:rFonts w:cs="Arial"/>
              </w:rPr>
              <w:t>Binary parameter</w:t>
            </w:r>
            <w:r w:rsidR="00417EA1" w:rsidRPr="007967A9" w:rsidDel="001A17F9">
              <w:rPr>
                <w:rFonts w:cs="Arial"/>
              </w:rPr>
              <w:t xml:space="preserve"> </w:t>
            </w:r>
            <w:r w:rsidR="001A17F9" w:rsidRPr="007967A9">
              <w:rPr>
                <w:rFonts w:cs="Arial"/>
              </w:rPr>
              <w:t xml:space="preserve">indicating </w:t>
            </w:r>
            <w:r w:rsidR="00417EA1" w:rsidRPr="007967A9">
              <w:rPr>
                <w:rFonts w:cs="Arial"/>
              </w:rPr>
              <w:t xml:space="preserve">whether </w:t>
            </w:r>
            <w:r w:rsidR="00E17B26" w:rsidRPr="007967A9">
              <w:rPr>
                <w:rFonts w:cs="Arial"/>
              </w:rPr>
              <w:t>during hour </w:t>
            </w:r>
            <w:r w:rsidR="00E17B26" w:rsidRPr="007967A9">
              <w:rPr>
                <w:rFonts w:cs="Arial"/>
                <w:i/>
              </w:rPr>
              <w:t>h</w:t>
            </w:r>
            <w:r w:rsidR="00E17B26" w:rsidRPr="007967A9">
              <w:rPr>
                <w:rFonts w:cs="Arial"/>
              </w:rPr>
              <w:t xml:space="preserve"> </w:t>
            </w:r>
            <w:r w:rsidR="00DE655A" w:rsidRPr="007967A9">
              <w:rPr>
                <w:rFonts w:cs="Arial"/>
              </w:rPr>
              <w:t>renewable electricity generation in the electricity system is curtailed because available output exceeded what the electricity system could absorb</w:t>
            </w:r>
            <w:r w:rsidR="0047659C" w:rsidRPr="007967A9">
              <w:rPr>
                <w:rFonts w:cs="Arial"/>
              </w:rPr>
              <w:t xml:space="preserve"> </w:t>
            </w:r>
            <w:r w:rsidR="00216F7A" w:rsidRPr="007967A9">
              <w:rPr>
                <w:rFonts w:cs="Arial"/>
              </w:rPr>
              <w:t>and/</w:t>
            </w:r>
            <w:r w:rsidR="0047659C" w:rsidRPr="007967A9">
              <w:rPr>
                <w:rFonts w:cs="Arial"/>
              </w:rPr>
              <w:t xml:space="preserve">or </w:t>
            </w:r>
            <w:r w:rsidR="00D11BDB" w:rsidRPr="007967A9">
              <w:rPr>
                <w:rFonts w:cs="Arial"/>
              </w:rPr>
              <w:t>the electricity system operates solely based on renewable, nuclear, and/or storage power units (</w:t>
            </w:r>
            <w:r w:rsidR="00D11BDB" w:rsidRPr="007967A9">
              <w:rPr>
                <w:rFonts w:cs="Arial"/>
                <w:i/>
                <w:iCs/>
              </w:rPr>
              <w:t>S</w:t>
            </w:r>
            <w:r w:rsidR="00D11BDB" w:rsidRPr="007967A9">
              <w:rPr>
                <w:rFonts w:cs="Arial"/>
                <w:i/>
                <w:iCs/>
                <w:vertAlign w:val="subscript"/>
              </w:rPr>
              <w:t>h</w:t>
            </w:r>
            <w:r w:rsidR="00D11BDB" w:rsidRPr="007967A9">
              <w:rPr>
                <w:rFonts w:cs="Arial"/>
              </w:rPr>
              <w:t> = </w:t>
            </w:r>
            <w:r w:rsidR="4111CD86" w:rsidRPr="007967A9">
              <w:rPr>
                <w:rFonts w:cs="Arial"/>
              </w:rPr>
              <w:t>0</w:t>
            </w:r>
            <w:r w:rsidR="00D41841" w:rsidRPr="007967A9">
              <w:rPr>
                <w:rFonts w:cs="Arial"/>
              </w:rPr>
              <w:t xml:space="preserve"> in this case; </w:t>
            </w:r>
            <w:r w:rsidR="00D11BDB" w:rsidRPr="007967A9">
              <w:rPr>
                <w:rFonts w:cs="Arial"/>
              </w:rPr>
              <w:t xml:space="preserve">otherwise </w:t>
            </w:r>
            <w:r w:rsidR="00D11BDB" w:rsidRPr="007967A9">
              <w:rPr>
                <w:rFonts w:cs="Arial"/>
                <w:i/>
                <w:iCs/>
              </w:rPr>
              <w:t>S</w:t>
            </w:r>
            <w:r w:rsidR="00D11BDB" w:rsidRPr="007967A9">
              <w:rPr>
                <w:rFonts w:cs="Arial"/>
                <w:i/>
                <w:iCs/>
                <w:vertAlign w:val="subscript"/>
              </w:rPr>
              <w:t>h</w:t>
            </w:r>
            <w:r w:rsidR="00D11BDB" w:rsidRPr="007967A9">
              <w:rPr>
                <w:rFonts w:cs="Arial"/>
              </w:rPr>
              <w:t> = </w:t>
            </w:r>
            <w:r w:rsidR="4B531894" w:rsidRPr="007967A9">
              <w:rPr>
                <w:rFonts w:cs="Arial"/>
              </w:rPr>
              <w:t>1</w:t>
            </w:r>
            <w:r w:rsidR="00D11BDB" w:rsidRPr="007967A9">
              <w:rPr>
                <w:rFonts w:cs="Arial"/>
              </w:rPr>
              <w:t>)</w:t>
            </w:r>
          </w:p>
        </w:tc>
      </w:tr>
      <w:tr w:rsidR="0091164F" w:rsidRPr="007967A9" w14:paraId="31586D76" w14:textId="77777777" w:rsidTr="007967A9">
        <w:tc>
          <w:tcPr>
            <w:tcW w:w="1289" w:type="dxa"/>
            <w:vAlign w:val="top"/>
          </w:tcPr>
          <w:p w14:paraId="1722BD56" w14:textId="1FB5C1F4" w:rsidR="0091164F" w:rsidRPr="007967A9" w:rsidRDefault="00000000" w:rsidP="007967A9">
            <w:pPr>
              <w:pStyle w:val="SDMTableBoxParaNotNumbered"/>
              <w:rPr>
                <w:rFonts w:cs="Arial"/>
                <w:i/>
              </w:rPr>
            </w:pPr>
            <m:oMathPara>
              <m:oMathParaPr>
                <m:jc m:val="left"/>
              </m:oMathParaPr>
              <m:oMath>
                <m:sSub>
                  <m:sSubPr>
                    <m:ctrlPr>
                      <w:rPr>
                        <w:rFonts w:ascii="Cambria Math" w:hAnsi="Cambria Math" w:cs="Arial"/>
                        <w:i/>
                      </w:rPr>
                    </m:ctrlPr>
                  </m:sSubPr>
                  <m:e>
                    <m:r>
                      <w:rPr>
                        <w:rFonts w:ascii="Cambria Math" w:hAnsi="Cambria Math" w:cs="Arial"/>
                      </w:rPr>
                      <m:t>EF</m:t>
                    </m:r>
                  </m:e>
                  <m:sub>
                    <m:r>
                      <w:rPr>
                        <w:rFonts w:ascii="Cambria Math" w:hAnsi="Cambria Math" w:cs="Arial"/>
                      </w:rPr>
                      <m:t>OM,simple,y</m:t>
                    </m:r>
                  </m:sub>
                </m:sSub>
              </m:oMath>
            </m:oMathPara>
          </w:p>
        </w:tc>
        <w:tc>
          <w:tcPr>
            <w:tcW w:w="713" w:type="dxa"/>
            <w:vAlign w:val="top"/>
          </w:tcPr>
          <w:p w14:paraId="2AC64E08" w14:textId="77777777" w:rsidR="0091164F" w:rsidRPr="007967A9" w:rsidRDefault="0091164F" w:rsidP="007967A9">
            <w:pPr>
              <w:pStyle w:val="SDMTableBoxParaNotNumbered"/>
              <w:rPr>
                <w:rFonts w:cs="Arial"/>
              </w:rPr>
            </w:pPr>
            <w:r w:rsidRPr="007967A9">
              <w:rPr>
                <w:rFonts w:cs="Arial"/>
              </w:rPr>
              <w:t>=</w:t>
            </w:r>
          </w:p>
        </w:tc>
        <w:tc>
          <w:tcPr>
            <w:tcW w:w="6044" w:type="dxa"/>
            <w:vAlign w:val="top"/>
          </w:tcPr>
          <w:p w14:paraId="14AC4ED1" w14:textId="35D825DE" w:rsidR="0091164F" w:rsidRPr="007967A9" w:rsidRDefault="00FB1C17" w:rsidP="007967A9">
            <w:pPr>
              <w:pStyle w:val="SDMTableBoxParaNotNumbered"/>
              <w:rPr>
                <w:rFonts w:cs="Arial"/>
              </w:rPr>
            </w:pPr>
            <w:r w:rsidRPr="007967A9">
              <w:rPr>
                <w:rFonts w:cs="Arial"/>
              </w:rPr>
              <w:t xml:space="preserve">Simple </w:t>
            </w:r>
            <w:r w:rsidR="003C4FBC" w:rsidRPr="007967A9">
              <w:rPr>
                <w:rFonts w:cs="Arial"/>
              </w:rPr>
              <w:t>OM</w:t>
            </w:r>
            <w:r w:rsidRPr="007967A9">
              <w:rPr>
                <w:rFonts w:cs="Arial"/>
              </w:rPr>
              <w:t xml:space="preserve"> CO</w:t>
            </w:r>
            <w:r w:rsidRPr="007967A9">
              <w:rPr>
                <w:rFonts w:cs="Arial"/>
                <w:vertAlign w:val="subscript"/>
              </w:rPr>
              <w:t>2</w:t>
            </w:r>
            <w:r w:rsidRPr="007967A9">
              <w:rPr>
                <w:rFonts w:cs="Arial"/>
              </w:rPr>
              <w:t xml:space="preserve"> emission factor in year </w:t>
            </w:r>
            <w:r w:rsidRPr="007967A9">
              <w:rPr>
                <w:rFonts w:cs="Arial"/>
                <w:i/>
              </w:rPr>
              <w:t xml:space="preserve">y </w:t>
            </w:r>
            <w:r w:rsidRPr="007967A9">
              <w:rPr>
                <w:rFonts w:cs="Arial"/>
              </w:rPr>
              <w:t>(t CO</w:t>
            </w:r>
            <w:r w:rsidRPr="007967A9">
              <w:rPr>
                <w:rFonts w:cs="Arial"/>
                <w:vertAlign w:val="subscript"/>
              </w:rPr>
              <w:t>2</w:t>
            </w:r>
            <w:r w:rsidRPr="007967A9">
              <w:rPr>
                <w:rFonts w:cs="Arial"/>
              </w:rPr>
              <w:t>/MWh)</w:t>
            </w:r>
          </w:p>
        </w:tc>
      </w:tr>
      <w:tr w:rsidR="00FB7670" w:rsidRPr="007967A9" w14:paraId="7C081EB6" w14:textId="77777777" w:rsidTr="007967A9">
        <w:trPr>
          <w:trHeight w:val="510"/>
        </w:trPr>
        <w:tc>
          <w:tcPr>
            <w:tcW w:w="1289" w:type="dxa"/>
            <w:vAlign w:val="top"/>
          </w:tcPr>
          <w:p w14:paraId="286C10ED" w14:textId="00DF85C6" w:rsidR="00FB7670" w:rsidRPr="007967A9" w:rsidRDefault="00000000" w:rsidP="007967A9">
            <w:pPr>
              <w:pStyle w:val="SDMTableBoxParaNotNumbered"/>
              <w:rPr>
                <w:rFonts w:cs="Arial"/>
                <w:i/>
              </w:rPr>
            </w:pPr>
            <m:oMathPara>
              <m:oMathParaPr>
                <m:jc m:val="left"/>
              </m:oMathParaPr>
              <m:oMath>
                <m:sSub>
                  <m:sSubPr>
                    <m:ctrlPr>
                      <w:rPr>
                        <w:rFonts w:ascii="Cambria Math" w:hAnsi="Cambria Math" w:cs="Arial"/>
                        <w:i/>
                      </w:rPr>
                    </m:ctrlPr>
                  </m:sSubPr>
                  <m:e>
                    <m:r>
                      <w:rPr>
                        <w:rFonts w:ascii="Cambria Math" w:hAnsi="Cambria Math" w:cs="Arial"/>
                      </w:rPr>
                      <m:t>λ</m:t>
                    </m:r>
                  </m:e>
                  <m:sub>
                    <m:r>
                      <w:rPr>
                        <w:rFonts w:ascii="Cambria Math" w:hAnsi="Cambria Math" w:cs="Arial"/>
                      </w:rPr>
                      <m:t>y</m:t>
                    </m:r>
                  </m:sub>
                </m:sSub>
              </m:oMath>
            </m:oMathPara>
          </w:p>
        </w:tc>
        <w:tc>
          <w:tcPr>
            <w:tcW w:w="713" w:type="dxa"/>
            <w:vAlign w:val="top"/>
          </w:tcPr>
          <w:p w14:paraId="54D20B65" w14:textId="77777777" w:rsidR="00FB7670" w:rsidRPr="007967A9" w:rsidRDefault="00FB7670" w:rsidP="007967A9">
            <w:pPr>
              <w:pStyle w:val="SDMTableBoxParaNotNumbered"/>
              <w:rPr>
                <w:rFonts w:cs="Arial"/>
              </w:rPr>
            </w:pPr>
            <w:r w:rsidRPr="007967A9">
              <w:rPr>
                <w:rFonts w:cs="Arial"/>
              </w:rPr>
              <w:t>=</w:t>
            </w:r>
          </w:p>
        </w:tc>
        <w:tc>
          <w:tcPr>
            <w:tcW w:w="6044" w:type="dxa"/>
            <w:vAlign w:val="top"/>
          </w:tcPr>
          <w:p w14:paraId="190BFD7B" w14:textId="55C7083F" w:rsidR="00FB7670" w:rsidRPr="007967A9" w:rsidRDefault="00F85CBB" w:rsidP="007967A9">
            <w:pPr>
              <w:pStyle w:val="SDMTableBoxParaNotNumbered"/>
              <w:rPr>
                <w:rFonts w:cs="Arial"/>
              </w:rPr>
            </w:pPr>
            <w:r w:rsidRPr="007967A9">
              <w:rPr>
                <w:rFonts w:cs="Arial"/>
              </w:rPr>
              <w:t>F</w:t>
            </w:r>
            <w:r w:rsidR="004F0511" w:rsidRPr="007967A9">
              <w:rPr>
                <w:rFonts w:cs="Arial"/>
              </w:rPr>
              <w:t>raction</w:t>
            </w:r>
            <w:r w:rsidR="00FB7670" w:rsidRPr="007967A9">
              <w:rPr>
                <w:rFonts w:cs="Arial"/>
              </w:rPr>
              <w:t xml:space="preserve"> of time</w:t>
            </w:r>
            <w:r w:rsidR="00EB5AAE" w:rsidRPr="007967A9" w:rsidDel="00F85CBB">
              <w:rPr>
                <w:rFonts w:cs="Arial"/>
              </w:rPr>
              <w:t xml:space="preserve"> </w:t>
            </w:r>
            <w:r w:rsidR="00787886" w:rsidRPr="007967A9">
              <w:rPr>
                <w:rFonts w:cs="Arial"/>
              </w:rPr>
              <w:t>in year </w:t>
            </w:r>
            <w:r w:rsidR="00787886" w:rsidRPr="007967A9">
              <w:rPr>
                <w:rFonts w:cs="Arial"/>
                <w:i/>
              </w:rPr>
              <w:t>y</w:t>
            </w:r>
            <w:r w:rsidR="00787886" w:rsidRPr="007967A9">
              <w:rPr>
                <w:rFonts w:cs="Arial"/>
              </w:rPr>
              <w:t xml:space="preserve"> </w:t>
            </w:r>
            <w:r w:rsidRPr="007967A9">
              <w:rPr>
                <w:rFonts w:cs="Arial"/>
              </w:rPr>
              <w:t xml:space="preserve">during which </w:t>
            </w:r>
            <w:r w:rsidR="00DE655A" w:rsidRPr="007967A9">
              <w:rPr>
                <w:rFonts w:cs="Arial"/>
              </w:rPr>
              <w:t>renewable electricity generation in the electricity system is curtailed because available output exceeded what the electricity system could absorb</w:t>
            </w:r>
            <w:r w:rsidR="00756116" w:rsidRPr="007967A9">
              <w:rPr>
                <w:rFonts w:cs="Arial"/>
              </w:rPr>
              <w:t xml:space="preserve"> </w:t>
            </w:r>
            <w:r w:rsidR="009E0793" w:rsidRPr="007967A9">
              <w:rPr>
                <w:rFonts w:cs="Arial"/>
              </w:rPr>
              <w:t>and/</w:t>
            </w:r>
            <w:r w:rsidR="00756116" w:rsidRPr="007967A9">
              <w:rPr>
                <w:rFonts w:cs="Arial"/>
              </w:rPr>
              <w:t xml:space="preserve">or the electricity system </w:t>
            </w:r>
            <w:r w:rsidR="00787886" w:rsidRPr="007967A9">
              <w:rPr>
                <w:rFonts w:cs="Arial"/>
              </w:rPr>
              <w:t xml:space="preserve">or the electricity system </w:t>
            </w:r>
            <w:r w:rsidR="00EB5AAE" w:rsidRPr="007967A9">
              <w:rPr>
                <w:rFonts w:cs="Arial"/>
              </w:rPr>
              <w:t>operates solely based on renewable, nuclear, and/or storage power units</w:t>
            </w:r>
          </w:p>
        </w:tc>
      </w:tr>
      <w:tr w:rsidR="00811D6E" w:rsidRPr="007967A9" w14:paraId="62934A77" w14:textId="77777777" w:rsidTr="007967A9">
        <w:tc>
          <w:tcPr>
            <w:tcW w:w="1289" w:type="dxa"/>
            <w:vAlign w:val="top"/>
          </w:tcPr>
          <w:p w14:paraId="6B6CECBE" w14:textId="77777777" w:rsidR="00811D6E" w:rsidRPr="007967A9" w:rsidRDefault="00811D6E" w:rsidP="007967A9">
            <w:pPr>
              <w:pStyle w:val="SDMTableBoxParaNotNumbered"/>
              <w:rPr>
                <w:rFonts w:cs="Arial"/>
                <w:i/>
              </w:rPr>
            </w:pPr>
            <m:oMathPara>
              <m:oMathParaPr>
                <m:jc m:val="left"/>
              </m:oMathParaPr>
              <m:oMath>
                <m:r>
                  <w:rPr>
                    <w:rFonts w:ascii="Cambria Math" w:hAnsi="Cambria Math" w:cs="Arial"/>
                  </w:rPr>
                  <m:t>y</m:t>
                </m:r>
              </m:oMath>
            </m:oMathPara>
          </w:p>
        </w:tc>
        <w:tc>
          <w:tcPr>
            <w:tcW w:w="713" w:type="dxa"/>
            <w:vAlign w:val="top"/>
          </w:tcPr>
          <w:p w14:paraId="4CC32EEE" w14:textId="77777777" w:rsidR="00811D6E" w:rsidRPr="007967A9" w:rsidRDefault="00811D6E" w:rsidP="007967A9">
            <w:pPr>
              <w:pStyle w:val="SDMTableBoxParaNotNumbered"/>
              <w:rPr>
                <w:rFonts w:cs="Arial"/>
              </w:rPr>
            </w:pPr>
            <w:r w:rsidRPr="007967A9">
              <w:rPr>
                <w:rFonts w:cs="Arial"/>
              </w:rPr>
              <w:t>=</w:t>
            </w:r>
          </w:p>
        </w:tc>
        <w:tc>
          <w:tcPr>
            <w:tcW w:w="6044" w:type="dxa"/>
            <w:vAlign w:val="top"/>
          </w:tcPr>
          <w:p w14:paraId="76EC4EAD" w14:textId="77777777" w:rsidR="00811D6E" w:rsidRPr="007967A9" w:rsidRDefault="00811D6E" w:rsidP="007967A9">
            <w:pPr>
              <w:pStyle w:val="SDMTableBoxParaNotNumbered"/>
              <w:rPr>
                <w:rFonts w:cs="Arial"/>
              </w:rPr>
            </w:pPr>
            <w:r w:rsidRPr="007967A9">
              <w:rPr>
                <w:rFonts w:cs="Arial"/>
              </w:rPr>
              <w:t>Calendar year of the crediting period for which emission reductions are determined</w:t>
            </w:r>
          </w:p>
        </w:tc>
      </w:tr>
    </w:tbl>
    <w:p w14:paraId="479CAEBE" w14:textId="2CE523BF" w:rsidR="00F122AE" w:rsidRPr="00AC147D" w:rsidRDefault="00596692" w:rsidP="00A40250">
      <w:pPr>
        <w:pStyle w:val="SDMPara"/>
        <w:keepNext/>
      </w:pPr>
      <w:bookmarkStart w:id="506" w:name="_Ref220953201"/>
      <w:r>
        <w:rPr>
          <w:lang w:eastAsia="ja-JP"/>
        </w:rPr>
        <w:t xml:space="preserve">For the purpose of determining whether </w:t>
      </w:r>
      <w:r w:rsidRPr="00596692">
        <w:rPr>
          <w:lang w:eastAsia="ja-JP"/>
        </w:rPr>
        <w:t>the electricity system operates solely based on renewable, nuclear, and/or storage power units</w:t>
      </w:r>
      <w:r>
        <w:rPr>
          <w:lang w:eastAsia="ja-JP"/>
        </w:rPr>
        <w:t>, t</w:t>
      </w:r>
      <w:r w:rsidR="00FB7670" w:rsidRPr="7C96407F">
        <w:rPr>
          <w:lang w:eastAsia="ja-JP"/>
        </w:rPr>
        <w:t xml:space="preserve">he </w:t>
      </w:r>
      <w:r w:rsidR="00136F88" w:rsidRPr="001A0905">
        <w:t>parameter</w:t>
      </w:r>
      <w:r w:rsidR="00B948EF">
        <w:t xml:space="preserve">s </w:t>
      </w:r>
      <w:r w:rsidR="00B948EF" w:rsidRPr="7C96407F">
        <w:rPr>
          <w:i/>
          <w:iCs/>
        </w:rPr>
        <w:t>S</w:t>
      </w:r>
      <w:r w:rsidR="00B948EF" w:rsidRPr="7C96407F">
        <w:rPr>
          <w:i/>
          <w:iCs/>
          <w:vertAlign w:val="subscript"/>
        </w:rPr>
        <w:t>h</w:t>
      </w:r>
      <w:r w:rsidR="00B948EF" w:rsidRPr="00FF4237">
        <w:t xml:space="preserve"> and</w:t>
      </w:r>
      <w:r w:rsidR="00136F88" w:rsidRPr="001A0905">
        <w:t xml:space="preserve"> </w:t>
      </w:r>
      <w:r w:rsidR="00FB7670" w:rsidRPr="7C96407F">
        <w:rPr>
          <w:rFonts w:ascii="Symbol" w:eastAsia="Symbol" w:hAnsi="Symbol" w:cs="Symbol"/>
          <w:i/>
          <w:iCs/>
          <w:lang w:eastAsia="ja-JP"/>
        </w:rPr>
        <w:t></w:t>
      </w:r>
      <w:r w:rsidR="00FB7670" w:rsidRPr="7C96407F">
        <w:rPr>
          <w:i/>
          <w:iCs/>
          <w:vertAlign w:val="subscript"/>
          <w:lang w:eastAsia="ja-JP"/>
        </w:rPr>
        <w:t>y</w:t>
      </w:r>
      <w:r w:rsidR="001461E7" w:rsidRPr="001A0905">
        <w:t xml:space="preserve"> </w:t>
      </w:r>
      <w:r w:rsidR="00045276" w:rsidRPr="001A0905">
        <w:t xml:space="preserve">shall be determined differently depending </w:t>
      </w:r>
      <w:r w:rsidR="00F122AE" w:rsidRPr="001A0905">
        <w:t>on which case applies, as follows:</w:t>
      </w:r>
      <w:r w:rsidR="00BA1E18" w:rsidRPr="001A0905">
        <w:rPr>
          <w:rStyle w:val="FootnoteReference"/>
        </w:rPr>
        <w:footnoteReference w:id="22"/>
      </w:r>
      <w:bookmarkEnd w:id="506"/>
    </w:p>
    <w:p w14:paraId="60E87DFF" w14:textId="313D997D" w:rsidR="00F122AE" w:rsidRPr="001A0905" w:rsidRDefault="00F122AE">
      <w:pPr>
        <w:pStyle w:val="SDMSubPara1"/>
      </w:pPr>
      <w:r w:rsidRPr="00203483">
        <w:t xml:space="preserve">Where </w:t>
      </w:r>
      <w:r w:rsidR="000A6F59" w:rsidRPr="00AC147D">
        <w:rPr>
          <w:b/>
        </w:rPr>
        <w:t>case</w:t>
      </w:r>
      <w:r w:rsidR="0060151F">
        <w:rPr>
          <w:b/>
        </w:rPr>
        <w:t> </w:t>
      </w:r>
      <w:r w:rsidRPr="00AC147D">
        <w:rPr>
          <w:b/>
        </w:rPr>
        <w:t xml:space="preserve">1 </w:t>
      </w:r>
      <w:r w:rsidRPr="00203483">
        <w:t>applies</w:t>
      </w:r>
      <w:r w:rsidRPr="001A0905">
        <w:t xml:space="preserve">, </w:t>
      </w:r>
      <w:r w:rsidR="006D22A1" w:rsidRPr="001A0905">
        <w:t>th</w:t>
      </w:r>
      <w:r w:rsidR="00F57550" w:rsidRPr="001A0905">
        <w:t xml:space="preserve">is shall refer to the fraction of time </w:t>
      </w:r>
      <w:r w:rsidR="000A6F59">
        <w:t>during which</w:t>
      </w:r>
      <w:r w:rsidR="00A40492">
        <w:t xml:space="preserve"> only</w:t>
      </w:r>
      <w:r w:rsidR="000A6F59" w:rsidRPr="001A0905">
        <w:t xml:space="preserve"> </w:t>
      </w:r>
      <w:r w:rsidR="00F57550" w:rsidRPr="001A0905">
        <w:t>the following type</w:t>
      </w:r>
      <w:r w:rsidR="00A40492">
        <w:t>s</w:t>
      </w:r>
      <w:r w:rsidR="00F57550" w:rsidRPr="001A0905">
        <w:t xml:space="preserve"> of power </w:t>
      </w:r>
      <w:r w:rsidR="000F73E6">
        <w:t>units</w:t>
      </w:r>
      <w:r w:rsidR="00F57550" w:rsidRPr="001A0905">
        <w:t xml:space="preserve"> operate: </w:t>
      </w:r>
      <w:r w:rsidR="00824DF8" w:rsidRPr="001A0905">
        <w:t>hydro</w:t>
      </w:r>
      <w:r w:rsidR="00BA61E3" w:rsidRPr="001A0905">
        <w:t>, solar, wind, tidal, wave</w:t>
      </w:r>
      <w:r w:rsidR="00205EB3" w:rsidRPr="001A0905">
        <w:t>, geothermal</w:t>
      </w:r>
      <w:r w:rsidR="00522526" w:rsidRPr="001A0905">
        <w:t xml:space="preserve"> nuclear</w:t>
      </w:r>
      <w:r w:rsidR="00A40492">
        <w:t>,</w:t>
      </w:r>
      <w:r w:rsidR="00522526" w:rsidRPr="001A0905">
        <w:t xml:space="preserve"> and hydro or battery storage power </w:t>
      </w:r>
      <w:r w:rsidR="000F73E6">
        <w:t>units</w:t>
      </w:r>
      <w:r w:rsidR="00A204D3" w:rsidRPr="001A0905">
        <w:t>;</w:t>
      </w:r>
      <w:r w:rsidR="004F342C">
        <w:t xml:space="preserve"> and</w:t>
      </w:r>
    </w:p>
    <w:p w14:paraId="52368AB5" w14:textId="6B59A076" w:rsidR="00A204D3" w:rsidRPr="001A0905" w:rsidRDefault="00A204D3">
      <w:pPr>
        <w:pStyle w:val="SDMSubPara1"/>
      </w:pPr>
      <w:r w:rsidRPr="00203483">
        <w:t xml:space="preserve">Where </w:t>
      </w:r>
      <w:r w:rsidR="004F342C" w:rsidRPr="00AC147D">
        <w:rPr>
          <w:b/>
        </w:rPr>
        <w:t>case</w:t>
      </w:r>
      <w:r w:rsidR="0060151F">
        <w:rPr>
          <w:b/>
        </w:rPr>
        <w:t> </w:t>
      </w:r>
      <w:r w:rsidRPr="00AC147D">
        <w:rPr>
          <w:b/>
        </w:rPr>
        <w:t xml:space="preserve">2 </w:t>
      </w:r>
      <w:r w:rsidRPr="00203483">
        <w:t>applies</w:t>
      </w:r>
      <w:r w:rsidRPr="001A0905">
        <w:t xml:space="preserve">, this shall refer to the fraction of time </w:t>
      </w:r>
      <w:r w:rsidR="004F342C">
        <w:t>during which only</w:t>
      </w:r>
      <w:r w:rsidRPr="001A0905">
        <w:t xml:space="preserve"> </w:t>
      </w:r>
      <w:r w:rsidR="00417CD1" w:rsidRPr="001A0905">
        <w:t>the following type</w:t>
      </w:r>
      <w:r w:rsidR="00A76EAF">
        <w:t>s</w:t>
      </w:r>
      <w:r w:rsidR="00417CD1" w:rsidRPr="001A0905">
        <w:t xml:space="preserve"> of power </w:t>
      </w:r>
      <w:r w:rsidR="000F73E6">
        <w:t>units</w:t>
      </w:r>
      <w:r w:rsidR="00417CD1" w:rsidRPr="001A0905">
        <w:t xml:space="preserve"> operate: </w:t>
      </w:r>
      <w:r w:rsidR="00941F47" w:rsidRPr="001A0905">
        <w:t>hydro, solar</w:t>
      </w:r>
      <w:r w:rsidR="009D1102" w:rsidRPr="001A0905">
        <w:t>, wind, tidal, wave, geothermal, nuclear</w:t>
      </w:r>
      <w:r w:rsidR="009C537C" w:rsidRPr="001A0905">
        <w:t>, biomass</w:t>
      </w:r>
      <w:r w:rsidR="00407903" w:rsidRPr="001A0905">
        <w:t xml:space="preserve"> </w:t>
      </w:r>
      <w:r w:rsidR="006B2087">
        <w:t xml:space="preserve">or biomass-derived fuels, hydrogen or hydrogen-derived fuels, </w:t>
      </w:r>
      <w:r w:rsidR="00EA475D">
        <w:t xml:space="preserve">and </w:t>
      </w:r>
      <w:r w:rsidR="00A034D4" w:rsidRPr="001A0905">
        <w:t xml:space="preserve">any type of storage power </w:t>
      </w:r>
      <w:r w:rsidR="000F73E6">
        <w:t>units</w:t>
      </w:r>
      <w:r w:rsidR="00A034D4" w:rsidRPr="001A0905">
        <w:t>.</w:t>
      </w:r>
    </w:p>
    <w:p w14:paraId="11743140" w14:textId="77777777" w:rsidR="00FB7670" w:rsidRDefault="00BF14D1">
      <w:pPr>
        <w:pStyle w:val="SDMHead5"/>
      </w:pPr>
      <w:bookmarkStart w:id="507" w:name="_Toc497298259"/>
      <w:bookmarkStart w:id="508" w:name="_Toc497399028"/>
      <w:bookmarkStart w:id="509" w:name="_Toc516136280"/>
      <w:bookmarkStart w:id="510" w:name="_Ref215683234"/>
      <w:bookmarkStart w:id="511" w:name="_Ref215683683"/>
      <w:bookmarkStart w:id="512" w:name="_Ref221037618"/>
      <w:bookmarkStart w:id="513" w:name="_Ref221037800"/>
      <w:r w:rsidRPr="000310AC">
        <w:t xml:space="preserve">Method </w:t>
      </w:r>
      <w:r w:rsidR="00C75A26">
        <w:t>(</w:t>
      </w:r>
      <w:r w:rsidRPr="000310AC">
        <w:t>d)</w:t>
      </w:r>
      <w:r w:rsidR="00C75A26">
        <w:t>:</w:t>
      </w:r>
      <w:r w:rsidRPr="000310AC">
        <w:t xml:space="preserve"> </w:t>
      </w:r>
      <w:r w:rsidR="00FB7670" w:rsidRPr="000C3025">
        <w:t>Average OM</w:t>
      </w:r>
      <w:bookmarkEnd w:id="507"/>
      <w:bookmarkEnd w:id="508"/>
      <w:bookmarkEnd w:id="509"/>
      <w:bookmarkEnd w:id="510"/>
      <w:bookmarkEnd w:id="511"/>
      <w:bookmarkEnd w:id="512"/>
      <w:bookmarkEnd w:id="513"/>
    </w:p>
    <w:p w14:paraId="31922284" w14:textId="692504FE" w:rsidR="00852318" w:rsidRPr="00A60D2C" w:rsidRDefault="00500075">
      <w:pPr>
        <w:pStyle w:val="SDMPara"/>
      </w:pPr>
      <w:r w:rsidRPr="00A60D2C">
        <w:t xml:space="preserve">The average </w:t>
      </w:r>
      <w:r w:rsidR="00B603D2" w:rsidRPr="00A60D2C">
        <w:t>OM emission factor (</w:t>
      </w:r>
      <w:r w:rsidR="00B603D2" w:rsidRPr="00A60D2C">
        <w:rPr>
          <w:i/>
          <w:iCs/>
        </w:rPr>
        <w:t>EF</w:t>
      </w:r>
      <w:r w:rsidR="00A60D2C">
        <w:rPr>
          <w:i/>
          <w:iCs/>
          <w:vertAlign w:val="subscript"/>
        </w:rPr>
        <w:t>OM</w:t>
      </w:r>
      <w:r w:rsidR="00B603D2" w:rsidRPr="00A60D2C">
        <w:rPr>
          <w:i/>
          <w:iCs/>
          <w:vertAlign w:val="subscript"/>
        </w:rPr>
        <w:t>,</w:t>
      </w:r>
      <w:r w:rsidR="003C0811">
        <w:rPr>
          <w:i/>
          <w:iCs/>
          <w:vertAlign w:val="subscript"/>
        </w:rPr>
        <w:t>av</w:t>
      </w:r>
      <w:r w:rsidR="008E19B0">
        <w:rPr>
          <w:i/>
          <w:iCs/>
          <w:vertAlign w:val="subscript"/>
        </w:rPr>
        <w:t>g</w:t>
      </w:r>
      <w:r w:rsidR="00B603D2" w:rsidRPr="00A60D2C">
        <w:rPr>
          <w:i/>
          <w:iCs/>
          <w:vertAlign w:val="subscript"/>
        </w:rPr>
        <w:t>,</w:t>
      </w:r>
      <w:r w:rsidR="001B0452">
        <w:rPr>
          <w:i/>
          <w:iCs/>
          <w:vertAlign w:val="subscript"/>
        </w:rPr>
        <w:t>y</w:t>
      </w:r>
      <w:r w:rsidR="00B603D2" w:rsidRPr="00A60D2C">
        <w:t xml:space="preserve">) </w:t>
      </w:r>
      <w:r w:rsidR="009E3DCA">
        <w:t>shall be</w:t>
      </w:r>
      <w:r w:rsidR="009E3DCA" w:rsidRPr="00A60D2C">
        <w:t xml:space="preserve"> </w:t>
      </w:r>
      <w:r w:rsidR="00B603D2" w:rsidRPr="00A60D2C">
        <w:t xml:space="preserve">determined as the generation-weighted average </w:t>
      </w:r>
      <w:r w:rsidR="00B603D2" w:rsidRPr="00203912">
        <w:rPr>
          <w:lang w:val="en-US"/>
        </w:rPr>
        <w:t>CO</w:t>
      </w:r>
      <w:r w:rsidR="00B603D2" w:rsidRPr="00203912">
        <w:rPr>
          <w:vertAlign w:val="subscript"/>
          <w:lang w:val="en-US"/>
        </w:rPr>
        <w:t>2</w:t>
      </w:r>
      <w:r w:rsidR="00B603D2" w:rsidRPr="00A60D2C">
        <w:t xml:space="preserve"> emission factor per unit of net electricity generation from all power units in the electricity system</w:t>
      </w:r>
      <w:r w:rsidR="001D5322" w:rsidRPr="00A60D2C">
        <w:t>.</w:t>
      </w:r>
    </w:p>
    <w:p w14:paraId="4E42F99E" w14:textId="008CC135" w:rsidR="00B0355D" w:rsidRDefault="00780F0A" w:rsidP="00C72647">
      <w:pPr>
        <w:pStyle w:val="SDMPara"/>
        <w:keepNext/>
      </w:pPr>
      <w:bookmarkStart w:id="514" w:name="_Ref216176376"/>
      <w:r w:rsidRPr="00A60D2C">
        <w:t xml:space="preserve">The average </w:t>
      </w:r>
      <w:r w:rsidR="003638E3" w:rsidRPr="00A60D2C">
        <w:t xml:space="preserve">OM method </w:t>
      </w:r>
      <w:r w:rsidR="77F144C8" w:rsidRPr="00A60D2C">
        <w:t xml:space="preserve">shall </w:t>
      </w:r>
      <w:r w:rsidRPr="00A60D2C">
        <w:t xml:space="preserve">be applied </w:t>
      </w:r>
      <w:r w:rsidR="00815C7F">
        <w:t xml:space="preserve">only </w:t>
      </w:r>
      <w:r w:rsidRPr="00A60D2C">
        <w:t xml:space="preserve">where the necessary data </w:t>
      </w:r>
      <w:r w:rsidR="00AE6CDD">
        <w:t>are</w:t>
      </w:r>
      <w:r w:rsidR="00AE6CDD" w:rsidRPr="00A60D2C">
        <w:t xml:space="preserve"> </w:t>
      </w:r>
      <w:r w:rsidRPr="00A60D2C">
        <w:t xml:space="preserve">available. Moreover, it </w:t>
      </w:r>
      <w:r w:rsidR="007D60B7">
        <w:t>shall</w:t>
      </w:r>
      <w:r w:rsidRPr="00A60D2C">
        <w:t xml:space="preserve"> be applied</w:t>
      </w:r>
      <w:r w:rsidR="00AE6CDD">
        <w:t xml:space="preserve"> only</w:t>
      </w:r>
      <w:r w:rsidR="00B0355D">
        <w:t>:</w:t>
      </w:r>
      <w:bookmarkEnd w:id="514"/>
    </w:p>
    <w:p w14:paraId="7A6F102A" w14:textId="49161233" w:rsidR="007D60B7" w:rsidRDefault="00B0355D">
      <w:pPr>
        <w:pStyle w:val="SDMSubPara1"/>
      </w:pPr>
      <w:bookmarkStart w:id="515" w:name="_Ref220953245"/>
      <w:r>
        <w:t>T</w:t>
      </w:r>
      <w:r w:rsidR="00780F0A" w:rsidRPr="00A60D2C">
        <w:t xml:space="preserve">o </w:t>
      </w:r>
      <w:r w:rsidR="007D60B7" w:rsidRPr="007D60B7">
        <w:t>non-intermittent electricity generation sources and electricity consumption sources not depending on intermittent generation</w:t>
      </w:r>
      <w:r>
        <w:t>; and</w:t>
      </w:r>
      <w:bookmarkEnd w:id="515"/>
    </w:p>
    <w:p w14:paraId="761FEECD" w14:textId="2BD7EE34" w:rsidR="00780F0A" w:rsidRPr="00A60D2C" w:rsidRDefault="00B0355D">
      <w:pPr>
        <w:pStyle w:val="SDMSubPara1"/>
      </w:pPr>
      <w:r>
        <w:t>W</w:t>
      </w:r>
      <w:r w:rsidR="00017C3D" w:rsidRPr="00A60D2C">
        <w:t xml:space="preserve">here </w:t>
      </w:r>
      <w:r w:rsidR="00AE6CDD" w:rsidRPr="00AC147D">
        <w:rPr>
          <w:b/>
        </w:rPr>
        <w:t>case</w:t>
      </w:r>
      <w:r w:rsidR="00204D05">
        <w:rPr>
          <w:b/>
        </w:rPr>
        <w:t> </w:t>
      </w:r>
      <w:r w:rsidR="00017C3D" w:rsidRPr="00AC147D">
        <w:rPr>
          <w:b/>
        </w:rPr>
        <w:t>2</w:t>
      </w:r>
      <w:r w:rsidR="00017C3D" w:rsidRPr="00A60D2C">
        <w:t xml:space="preserve"> applies.</w:t>
      </w:r>
    </w:p>
    <w:p w14:paraId="5EDEA8AF" w14:textId="38CF6A9A" w:rsidR="091E33C7" w:rsidRDefault="00FB7670">
      <w:pPr>
        <w:pStyle w:val="SDMPara"/>
        <w:rPr>
          <w:rFonts w:eastAsia="Arial"/>
        </w:rPr>
      </w:pPr>
      <w:bookmarkStart w:id="516" w:name="_Ref220953222"/>
      <w:r>
        <w:t>The average OM emission factor (</w:t>
      </w:r>
      <w:r w:rsidRPr="22B3CC27">
        <w:rPr>
          <w:i/>
          <w:iCs/>
        </w:rPr>
        <w:t>EF</w:t>
      </w:r>
      <w:r w:rsidR="00170F0E">
        <w:rPr>
          <w:i/>
          <w:iCs/>
          <w:vertAlign w:val="subscript"/>
        </w:rPr>
        <w:t>O</w:t>
      </w:r>
      <w:r w:rsidRPr="22B3CC27">
        <w:rPr>
          <w:i/>
          <w:iCs/>
          <w:vertAlign w:val="subscript"/>
        </w:rPr>
        <w:t>M</w:t>
      </w:r>
      <w:r w:rsidR="00FD27F5">
        <w:rPr>
          <w:i/>
          <w:iCs/>
          <w:vertAlign w:val="subscript"/>
        </w:rPr>
        <w:t>,</w:t>
      </w:r>
      <w:r w:rsidRPr="22B3CC27">
        <w:rPr>
          <w:i/>
          <w:iCs/>
          <w:vertAlign w:val="subscript"/>
        </w:rPr>
        <w:t>av</w:t>
      </w:r>
      <w:r w:rsidR="008E19B0">
        <w:rPr>
          <w:i/>
          <w:iCs/>
          <w:vertAlign w:val="subscript"/>
        </w:rPr>
        <w:t>g</w:t>
      </w:r>
      <w:r w:rsidRPr="22B3CC27">
        <w:rPr>
          <w:i/>
          <w:iCs/>
          <w:vertAlign w:val="subscript"/>
        </w:rPr>
        <w:t>,</w:t>
      </w:r>
      <w:r w:rsidR="00C057A2">
        <w:rPr>
          <w:i/>
          <w:iCs/>
          <w:vertAlign w:val="subscript"/>
        </w:rPr>
        <w:t>y</w:t>
      </w:r>
      <w:r>
        <w:t xml:space="preserve">) </w:t>
      </w:r>
      <w:r w:rsidR="00500075">
        <w:t>shall be</w:t>
      </w:r>
      <w:r>
        <w:t xml:space="preserve"> calculated as the </w:t>
      </w:r>
      <w:r w:rsidR="005C48E7">
        <w:t xml:space="preserve">generation-weighted </w:t>
      </w:r>
      <w:r>
        <w:t xml:space="preserve">average emission </w:t>
      </w:r>
      <w:r w:rsidR="005C48E7">
        <w:t>factor</w:t>
      </w:r>
      <w:r>
        <w:t xml:space="preserve"> of all power </w:t>
      </w:r>
      <w:r w:rsidR="000F73E6">
        <w:t>units</w:t>
      </w:r>
      <w:r>
        <w:t xml:space="preserve"> serving the </w:t>
      </w:r>
      <w:r w:rsidR="005C48E7">
        <w:t>electricity</w:t>
      </w:r>
      <w:r w:rsidR="00500075">
        <w:t xml:space="preserve"> system</w:t>
      </w:r>
      <w:r>
        <w:t xml:space="preserve">, using the </w:t>
      </w:r>
      <w:r w:rsidR="00976F62">
        <w:t xml:space="preserve">same approaches as for the </w:t>
      </w:r>
      <w:r w:rsidR="00AE6CFB">
        <w:t>simple OM</w:t>
      </w:r>
      <w:r w:rsidR="000F7949">
        <w:t xml:space="preserve"> emission factor</w:t>
      </w:r>
      <w:r>
        <w:t xml:space="preserve">, but also including </w:t>
      </w:r>
      <w:r w:rsidR="00FE2633">
        <w:t xml:space="preserve">power units designated as </w:t>
      </w:r>
      <w:r>
        <w:t>must-run in all equations.</w:t>
      </w:r>
      <w:r w:rsidR="00C07BF1" w:rsidRPr="00C07BF1">
        <w:t xml:space="preserve"> </w:t>
      </w:r>
      <w:r w:rsidR="00B06AC2">
        <w:t>The emission factor shall be determined for each calendar year </w:t>
      </w:r>
      <w:r w:rsidR="00B06AC2" w:rsidRPr="00B06AC2">
        <w:rPr>
          <w:i/>
          <w:iCs/>
        </w:rPr>
        <w:t>y</w:t>
      </w:r>
      <w:r w:rsidR="00B06AC2">
        <w:t xml:space="preserve"> of the crediting period. </w:t>
      </w:r>
      <w:r w:rsidR="00C07BF1">
        <w:t>As for the simple OM</w:t>
      </w:r>
      <w:r w:rsidR="002E391E">
        <w:t xml:space="preserve"> emission factor</w:t>
      </w:r>
      <w:r w:rsidR="00C07BF1">
        <w:t xml:space="preserve">, </w:t>
      </w:r>
      <w:r w:rsidR="00C44E1F">
        <w:t xml:space="preserve">either </w:t>
      </w:r>
      <w:r w:rsidR="00012ED5">
        <w:t>the ex</w:t>
      </w:r>
      <w:r w:rsidR="006D3BEE">
        <w:t> </w:t>
      </w:r>
      <w:r w:rsidR="00012ED5">
        <w:t xml:space="preserve">ante </w:t>
      </w:r>
      <w:r w:rsidR="00C44E1F">
        <w:t xml:space="preserve">option </w:t>
      </w:r>
      <w:r w:rsidR="00012ED5">
        <w:t>or the ex</w:t>
      </w:r>
      <w:r w:rsidR="006D3BEE">
        <w:t> </w:t>
      </w:r>
      <w:r w:rsidR="00012ED5">
        <w:t>post option may be used</w:t>
      </w:r>
      <w:r w:rsidR="00935140">
        <w:t xml:space="preserve">, and </w:t>
      </w:r>
      <w:r w:rsidR="007B080E" w:rsidRPr="00AC147D">
        <w:rPr>
          <w:b/>
        </w:rPr>
        <w:t>approach</w:t>
      </w:r>
      <w:r w:rsidR="00204D05">
        <w:rPr>
          <w:b/>
        </w:rPr>
        <w:t> </w:t>
      </w:r>
      <w:r w:rsidR="00C07BF1" w:rsidRPr="00AC147D">
        <w:rPr>
          <w:b/>
        </w:rPr>
        <w:t>B</w:t>
      </w:r>
      <w:r w:rsidR="00C07BF1">
        <w:t xml:space="preserve"> shall be used </w:t>
      </w:r>
      <w:r w:rsidR="007B080E">
        <w:t xml:space="preserve">only where </w:t>
      </w:r>
      <w:r w:rsidR="00C07BF1">
        <w:t xml:space="preserve">the necessary data for </w:t>
      </w:r>
      <w:r w:rsidR="008C600D" w:rsidRPr="00AC147D">
        <w:rPr>
          <w:b/>
        </w:rPr>
        <w:t>approach</w:t>
      </w:r>
      <w:r w:rsidR="00204D05">
        <w:rPr>
          <w:b/>
        </w:rPr>
        <w:t> </w:t>
      </w:r>
      <w:r w:rsidR="00C07BF1" w:rsidRPr="00AC147D">
        <w:rPr>
          <w:b/>
        </w:rPr>
        <w:t>A</w:t>
      </w:r>
      <w:r w:rsidR="00C07BF1">
        <w:t xml:space="preserve"> </w:t>
      </w:r>
      <w:r w:rsidR="008C600D">
        <w:t xml:space="preserve">are </w:t>
      </w:r>
      <w:r w:rsidR="00C07BF1">
        <w:t>not available.</w:t>
      </w:r>
      <w:r w:rsidR="00BE3712">
        <w:t xml:space="preserve"> </w:t>
      </w:r>
      <w:r w:rsidR="009F595C">
        <w:t xml:space="preserve">To account for data vintage, the </w:t>
      </w:r>
      <w:r w:rsidR="00731982">
        <w:t>respective</w:t>
      </w:r>
      <w:r w:rsidR="009F595C">
        <w:t xml:space="preserve"> value </w:t>
      </w:r>
      <w:r w:rsidR="00EC6084">
        <w:t>for F</w:t>
      </w:r>
      <w:r w:rsidR="00EC6084" w:rsidRPr="00833619">
        <w:rPr>
          <w:vertAlign w:val="subscript"/>
        </w:rPr>
        <w:t>OM,av</w:t>
      </w:r>
      <w:r w:rsidR="006F59A9">
        <w:rPr>
          <w:vertAlign w:val="subscript"/>
        </w:rPr>
        <w:t>g</w:t>
      </w:r>
      <w:r w:rsidR="00731982">
        <w:t xml:space="preserve"> in </w:t>
      </w:r>
      <w:r w:rsidR="1EAED4A9">
        <w:t>a</w:t>
      </w:r>
      <w:r w:rsidR="00731982">
        <w:t xml:space="preserve">ppendix 2 shall be used instead of the </w:t>
      </w:r>
      <w:r w:rsidR="001F673B">
        <w:t>value of F</w:t>
      </w:r>
      <w:r w:rsidR="001F673B" w:rsidRPr="00833619">
        <w:rPr>
          <w:vertAlign w:val="subscript"/>
        </w:rPr>
        <w:t>OM,simple</w:t>
      </w:r>
      <w:r w:rsidR="001F673B">
        <w:t xml:space="preserve">. </w:t>
      </w:r>
      <w:r w:rsidR="00B06AC2">
        <w:t>The</w:t>
      </w:r>
      <w:r w:rsidR="00B06AC2" w:rsidDel="008C600D">
        <w:t xml:space="preserve"> </w:t>
      </w:r>
      <w:r w:rsidR="008C600D">
        <w:t xml:space="preserve">relevant </w:t>
      </w:r>
      <w:r w:rsidR="00B06AC2">
        <w:t>provisions in section </w:t>
      </w:r>
      <w:r>
        <w:fldChar w:fldCharType="begin"/>
      </w:r>
      <w:r>
        <w:instrText>REF _Ref215683293 \r</w:instrText>
      </w:r>
      <w:r>
        <w:fldChar w:fldCharType="separate"/>
      </w:r>
      <w:r w:rsidR="00D811A8">
        <w:rPr>
          <w:cs/>
        </w:rPr>
        <w:t>‎</w:t>
      </w:r>
      <w:r w:rsidR="00D811A8">
        <w:t>5.7.1.2.2</w:t>
      </w:r>
      <w:r>
        <w:fldChar w:fldCharType="end"/>
      </w:r>
      <w:r w:rsidR="00B06AC2">
        <w:t xml:space="preserve"> </w:t>
      </w:r>
      <w:r w:rsidR="002043DB">
        <w:t xml:space="preserve">shall </w:t>
      </w:r>
      <w:r w:rsidR="00B06AC2">
        <w:t>apply.</w:t>
      </w:r>
      <w:bookmarkEnd w:id="516"/>
    </w:p>
    <w:p w14:paraId="1EFA26BB" w14:textId="7A3F094A" w:rsidR="00C01CD8" w:rsidRPr="000211CE" w:rsidRDefault="00447206">
      <w:pPr>
        <w:pStyle w:val="SDMHead4"/>
      </w:pPr>
      <w:bookmarkStart w:id="517" w:name="_Ref221038996"/>
      <w:r w:rsidRPr="000211CE">
        <w:rPr>
          <w:lang w:eastAsia="zh-CN"/>
        </w:rPr>
        <w:t>Sub</w:t>
      </w:r>
      <w:r w:rsidR="000211CE" w:rsidRPr="000211CE">
        <w:rPr>
          <w:lang w:eastAsia="zh-CN"/>
        </w:rPr>
        <w:t>-</w:t>
      </w:r>
      <w:r w:rsidRPr="000211CE">
        <w:rPr>
          <w:lang w:eastAsia="zh-CN"/>
        </w:rPr>
        <w:t>step</w:t>
      </w:r>
      <w:r w:rsidR="00204D05">
        <w:rPr>
          <w:lang w:eastAsia="zh-CN"/>
        </w:rPr>
        <w:t> </w:t>
      </w:r>
      <w:r w:rsidRPr="000211CE">
        <w:rPr>
          <w:lang w:eastAsia="zh-CN"/>
        </w:rPr>
        <w:t xml:space="preserve">b: </w:t>
      </w:r>
      <w:r w:rsidR="004A2B78" w:rsidRPr="000211CE">
        <w:rPr>
          <w:lang w:eastAsia="zh-CN"/>
        </w:rPr>
        <w:t>Determination of</w:t>
      </w:r>
      <w:r w:rsidRPr="000211CE">
        <w:rPr>
          <w:lang w:eastAsia="zh-CN"/>
        </w:rPr>
        <w:t xml:space="preserve"> the BM emission factor </w:t>
      </w:r>
      <w:r w:rsidR="002C7E86" w:rsidRPr="000211CE">
        <w:rPr>
          <w:lang w:eastAsia="zh-CN"/>
        </w:rPr>
        <w:t>(</w:t>
      </w:r>
      <w:r w:rsidRPr="000211CE">
        <w:t>EF</w:t>
      </w:r>
      <w:r w:rsidR="009B7BE3" w:rsidRPr="000211CE">
        <w:rPr>
          <w:vertAlign w:val="subscript"/>
        </w:rPr>
        <w:t>B</w:t>
      </w:r>
      <w:r w:rsidRPr="000211CE">
        <w:rPr>
          <w:vertAlign w:val="subscript"/>
        </w:rPr>
        <w:t>M,y</w:t>
      </w:r>
      <w:r w:rsidR="002C7E86" w:rsidRPr="000211CE">
        <w:t>)</w:t>
      </w:r>
      <w:bookmarkEnd w:id="517"/>
    </w:p>
    <w:p w14:paraId="7DAC8FA6" w14:textId="717C1CCB" w:rsidR="00580C86" w:rsidRDefault="00712339">
      <w:pPr>
        <w:pStyle w:val="SDMPara"/>
        <w:rPr>
          <w:rFonts w:eastAsia="Arial"/>
        </w:rPr>
      </w:pPr>
      <w:r w:rsidRPr="004C6630">
        <w:t>The</w:t>
      </w:r>
      <w:r w:rsidRPr="006D16DB">
        <w:rPr>
          <w:rFonts w:eastAsia="Arial"/>
        </w:rPr>
        <w:t xml:space="preserve"> BM</w:t>
      </w:r>
      <w:r w:rsidR="0091791D" w:rsidRPr="006D16DB">
        <w:rPr>
          <w:rFonts w:eastAsia="Arial"/>
        </w:rPr>
        <w:t xml:space="preserve"> emission factor </w:t>
      </w:r>
      <w:r w:rsidR="002C7E86">
        <w:rPr>
          <w:lang w:eastAsia="zh-CN"/>
        </w:rPr>
        <w:t>(</w:t>
      </w:r>
      <w:r w:rsidR="002C7E86" w:rsidRPr="00B83228">
        <w:rPr>
          <w:i/>
          <w:iCs/>
        </w:rPr>
        <w:t>EF</w:t>
      </w:r>
      <w:r w:rsidR="002C7E86" w:rsidRPr="00B83228">
        <w:rPr>
          <w:i/>
          <w:iCs/>
          <w:vertAlign w:val="subscript"/>
        </w:rPr>
        <w:t>BM,y</w:t>
      </w:r>
      <w:r w:rsidR="002C7E86">
        <w:t xml:space="preserve">) </w:t>
      </w:r>
      <w:r w:rsidR="00CF6A2F">
        <w:rPr>
          <w:rFonts w:eastAsia="Arial"/>
        </w:rPr>
        <w:t>shall be</w:t>
      </w:r>
      <w:r w:rsidR="00CF6A2F" w:rsidRPr="006D16DB">
        <w:rPr>
          <w:rFonts w:eastAsia="Arial"/>
        </w:rPr>
        <w:t xml:space="preserve"> </w:t>
      </w:r>
      <w:r w:rsidR="0091791D" w:rsidRPr="006D16DB">
        <w:rPr>
          <w:rFonts w:eastAsia="Arial"/>
        </w:rPr>
        <w:t xml:space="preserve">determined based on the </w:t>
      </w:r>
      <w:r w:rsidR="00C82B3A">
        <w:rPr>
          <w:rFonts w:eastAsia="Arial"/>
        </w:rPr>
        <w:t xml:space="preserve">generation-weighted </w:t>
      </w:r>
      <w:r w:rsidR="0091791D" w:rsidRPr="006D16DB">
        <w:rPr>
          <w:rFonts w:eastAsia="Arial"/>
        </w:rPr>
        <w:t xml:space="preserve">average emissions intensity of </w:t>
      </w:r>
      <w:r w:rsidR="001A5315" w:rsidRPr="006D16DB">
        <w:rPr>
          <w:rFonts w:eastAsia="Arial"/>
        </w:rPr>
        <w:t xml:space="preserve">new </w:t>
      </w:r>
      <w:r w:rsidR="0091791D" w:rsidRPr="006D16DB">
        <w:rPr>
          <w:rFonts w:eastAsia="Arial"/>
        </w:rPr>
        <w:t xml:space="preserve">power </w:t>
      </w:r>
      <w:r w:rsidR="00F801F7">
        <w:rPr>
          <w:rFonts w:eastAsia="Arial"/>
        </w:rPr>
        <w:t>units</w:t>
      </w:r>
      <w:r w:rsidR="0091791D" w:rsidRPr="006D16DB">
        <w:rPr>
          <w:rFonts w:eastAsia="Arial"/>
        </w:rPr>
        <w:t xml:space="preserve"> that start</w:t>
      </w:r>
      <w:r w:rsidR="00056F9E" w:rsidRPr="006D16DB">
        <w:rPr>
          <w:rFonts w:eastAsia="Arial"/>
        </w:rPr>
        <w:t>ed</w:t>
      </w:r>
      <w:r w:rsidR="0091791D" w:rsidRPr="006D16DB">
        <w:rPr>
          <w:rFonts w:eastAsia="Arial"/>
        </w:rPr>
        <w:t xml:space="preserve"> </w:t>
      </w:r>
      <w:r w:rsidR="00A009B4" w:rsidRPr="006D16DB">
        <w:rPr>
          <w:rFonts w:eastAsia="Arial"/>
        </w:rPr>
        <w:t>supplying electricity to the electricity system</w:t>
      </w:r>
      <w:r w:rsidR="005D2B3D" w:rsidRPr="006D16DB">
        <w:rPr>
          <w:rFonts w:eastAsia="Arial"/>
        </w:rPr>
        <w:t xml:space="preserve"> </w:t>
      </w:r>
      <w:r w:rsidR="00524E6E">
        <w:rPr>
          <w:rFonts w:eastAsia="Arial"/>
        </w:rPr>
        <w:t>during</w:t>
      </w:r>
      <w:r w:rsidR="00524E6E" w:rsidRPr="006D16DB">
        <w:rPr>
          <w:rFonts w:eastAsia="Arial"/>
        </w:rPr>
        <w:t xml:space="preserve"> </w:t>
      </w:r>
      <w:r w:rsidR="001342D8" w:rsidRPr="006D16DB">
        <w:rPr>
          <w:rFonts w:eastAsia="Arial"/>
        </w:rPr>
        <w:t>a reference period.</w:t>
      </w:r>
      <w:r w:rsidR="006D16DB" w:rsidRPr="006D16DB">
        <w:rPr>
          <w:rFonts w:eastAsia="Arial"/>
        </w:rPr>
        <w:t xml:space="preserve"> </w:t>
      </w:r>
      <w:r w:rsidR="009856ED" w:rsidRPr="006D16DB">
        <w:rPr>
          <w:rFonts w:eastAsia="Arial"/>
        </w:rPr>
        <w:t xml:space="preserve">Where the </w:t>
      </w:r>
      <w:r w:rsidR="00E446A5" w:rsidRPr="006D16DB">
        <w:rPr>
          <w:rFonts w:eastAsia="Arial"/>
        </w:rPr>
        <w:t xml:space="preserve">necessary </w:t>
      </w:r>
      <w:r w:rsidR="009856ED" w:rsidRPr="006D16DB">
        <w:rPr>
          <w:rFonts w:eastAsia="Arial"/>
        </w:rPr>
        <w:t xml:space="preserve">data </w:t>
      </w:r>
      <w:r w:rsidR="00AB759E">
        <w:rPr>
          <w:rFonts w:eastAsia="Arial"/>
        </w:rPr>
        <w:t>are</w:t>
      </w:r>
      <w:r w:rsidR="00AB759E" w:rsidRPr="006D16DB">
        <w:rPr>
          <w:rFonts w:eastAsia="Arial"/>
        </w:rPr>
        <w:t xml:space="preserve"> </w:t>
      </w:r>
      <w:r w:rsidR="009856ED" w:rsidRPr="006D16DB">
        <w:rPr>
          <w:rFonts w:eastAsia="Arial"/>
        </w:rPr>
        <w:t xml:space="preserve">available, the reference period </w:t>
      </w:r>
      <w:r w:rsidR="002319F0">
        <w:rPr>
          <w:rFonts w:eastAsia="Arial"/>
        </w:rPr>
        <w:t>shall</w:t>
      </w:r>
      <w:r w:rsidR="002319F0" w:rsidRPr="006D16DB">
        <w:rPr>
          <w:rFonts w:eastAsia="Arial"/>
        </w:rPr>
        <w:t xml:space="preserve"> </w:t>
      </w:r>
      <w:r w:rsidR="009856ED" w:rsidRPr="006D16DB">
        <w:rPr>
          <w:rFonts w:eastAsia="Arial"/>
        </w:rPr>
        <w:t xml:space="preserve">reflect the </w:t>
      </w:r>
      <w:r w:rsidR="00441FE5" w:rsidRPr="006D16DB">
        <w:rPr>
          <w:rFonts w:eastAsia="Arial"/>
        </w:rPr>
        <w:t>period</w:t>
      </w:r>
      <w:r w:rsidR="009856ED" w:rsidRPr="006D16DB">
        <w:rPr>
          <w:rFonts w:eastAsia="Arial"/>
        </w:rPr>
        <w:t xml:space="preserve"> </w:t>
      </w:r>
      <w:r w:rsidR="00AB759E">
        <w:rPr>
          <w:rFonts w:eastAsia="Arial"/>
        </w:rPr>
        <w:t>in which</w:t>
      </w:r>
      <w:r w:rsidR="00AB759E" w:rsidRPr="006D16DB">
        <w:rPr>
          <w:rFonts w:eastAsia="Arial"/>
        </w:rPr>
        <w:t xml:space="preserve"> </w:t>
      </w:r>
      <w:r w:rsidR="009856ED" w:rsidRPr="006D16DB">
        <w:rPr>
          <w:rFonts w:eastAsia="Arial"/>
        </w:rPr>
        <w:t xml:space="preserve">the Article 6.4 </w:t>
      </w:r>
      <w:r w:rsidR="004B28BD" w:rsidRPr="006D16DB">
        <w:rPr>
          <w:rFonts w:eastAsia="Arial"/>
        </w:rPr>
        <w:t>activity starts operation</w:t>
      </w:r>
      <w:r w:rsidR="00B624AB">
        <w:rPr>
          <w:rFonts w:eastAsia="Arial"/>
        </w:rPr>
        <w:t xml:space="preserve"> </w:t>
      </w:r>
      <w:r w:rsidR="00DE193A">
        <w:rPr>
          <w:rFonts w:eastAsia="Arial"/>
        </w:rPr>
        <w:t>(</w:t>
      </w:r>
      <w:r w:rsidR="009965B0" w:rsidRPr="006D16DB">
        <w:rPr>
          <w:rFonts w:eastAsia="Arial"/>
        </w:rPr>
        <w:t xml:space="preserve">hereinafter referred to as </w:t>
      </w:r>
      <w:r w:rsidR="00DE193A">
        <w:rPr>
          <w:rFonts w:eastAsia="Arial"/>
        </w:rPr>
        <w:t xml:space="preserve">the </w:t>
      </w:r>
      <w:r w:rsidR="009965B0" w:rsidRPr="006D16DB">
        <w:rPr>
          <w:rFonts w:eastAsia="Arial"/>
        </w:rPr>
        <w:t>“</w:t>
      </w:r>
      <w:r w:rsidR="00B40C20" w:rsidRPr="00AC147D">
        <w:rPr>
          <w:rFonts w:eastAsia="Arial"/>
          <w:b/>
        </w:rPr>
        <w:t>con</w:t>
      </w:r>
      <w:r w:rsidR="009965B0" w:rsidRPr="00AC147D">
        <w:rPr>
          <w:rFonts w:eastAsia="Arial"/>
          <w:b/>
        </w:rPr>
        <w:t>current</w:t>
      </w:r>
      <w:r w:rsidR="00DE193A" w:rsidRPr="00AC147D">
        <w:rPr>
          <w:rFonts w:eastAsia="Arial"/>
          <w:b/>
        </w:rPr>
        <w:t xml:space="preserve"> reference period</w:t>
      </w:r>
      <w:r w:rsidR="009965B0" w:rsidRPr="006D16DB">
        <w:rPr>
          <w:rFonts w:eastAsia="Arial"/>
        </w:rPr>
        <w:t>”</w:t>
      </w:r>
      <w:r w:rsidR="00136B30">
        <w:rPr>
          <w:rFonts w:eastAsia="Arial"/>
        </w:rPr>
        <w:t>)</w:t>
      </w:r>
      <w:r w:rsidR="004B28BD" w:rsidRPr="006D16DB">
        <w:rPr>
          <w:rFonts w:eastAsia="Arial"/>
        </w:rPr>
        <w:t xml:space="preserve">. Where </w:t>
      </w:r>
      <w:r w:rsidR="00DE7CB3" w:rsidRPr="006D16DB">
        <w:rPr>
          <w:rFonts w:eastAsia="Arial"/>
        </w:rPr>
        <w:t>the relevant</w:t>
      </w:r>
      <w:r w:rsidR="004B28BD" w:rsidRPr="006D16DB">
        <w:rPr>
          <w:rFonts w:eastAsia="Arial"/>
        </w:rPr>
        <w:t xml:space="preserve"> data </w:t>
      </w:r>
      <w:r w:rsidR="00136B30">
        <w:rPr>
          <w:rFonts w:eastAsia="Arial"/>
        </w:rPr>
        <w:t>are</w:t>
      </w:r>
      <w:r w:rsidR="00136B30" w:rsidRPr="006D16DB">
        <w:rPr>
          <w:rFonts w:eastAsia="Arial"/>
        </w:rPr>
        <w:t xml:space="preserve"> </w:t>
      </w:r>
      <w:r w:rsidR="004B28BD" w:rsidRPr="006D16DB">
        <w:rPr>
          <w:rFonts w:eastAsia="Arial"/>
        </w:rPr>
        <w:t>not available</w:t>
      </w:r>
      <w:r w:rsidR="00280FA7" w:rsidRPr="006D16DB">
        <w:rPr>
          <w:rFonts w:eastAsia="Arial"/>
        </w:rPr>
        <w:t xml:space="preserve"> at the time of calculating the BM</w:t>
      </w:r>
      <w:r w:rsidR="770AF34A" w:rsidRPr="7B81D54F">
        <w:rPr>
          <w:rFonts w:eastAsia="Arial"/>
        </w:rPr>
        <w:t xml:space="preserve"> emission factor</w:t>
      </w:r>
      <w:r w:rsidR="004B28BD" w:rsidRPr="006D16DB">
        <w:rPr>
          <w:rFonts w:eastAsia="Arial"/>
        </w:rPr>
        <w:t xml:space="preserve">, </w:t>
      </w:r>
      <w:r w:rsidR="00DE7CB3" w:rsidRPr="006D16DB">
        <w:rPr>
          <w:rFonts w:eastAsia="Arial"/>
        </w:rPr>
        <w:t xml:space="preserve">a </w:t>
      </w:r>
      <w:r w:rsidR="009965B0" w:rsidRPr="006D16DB">
        <w:rPr>
          <w:rFonts w:eastAsia="Arial"/>
        </w:rPr>
        <w:t>“</w:t>
      </w:r>
      <w:r w:rsidR="00DE7CB3" w:rsidRPr="00AC147D">
        <w:rPr>
          <w:rFonts w:eastAsia="Arial"/>
          <w:b/>
        </w:rPr>
        <w:t>historical reference period</w:t>
      </w:r>
      <w:r w:rsidR="00136B30">
        <w:rPr>
          <w:rFonts w:eastAsia="Arial"/>
        </w:rPr>
        <w:t>”</w:t>
      </w:r>
      <w:r w:rsidR="00DE7CB3" w:rsidRPr="006D16DB">
        <w:rPr>
          <w:rFonts w:eastAsia="Arial"/>
        </w:rPr>
        <w:t xml:space="preserve"> may be used</w:t>
      </w:r>
      <w:r w:rsidR="00E013A5" w:rsidRPr="006D16DB">
        <w:rPr>
          <w:rFonts w:eastAsia="Arial"/>
        </w:rPr>
        <w:t xml:space="preserve">. In the case of </w:t>
      </w:r>
      <w:r w:rsidR="00136B30">
        <w:rPr>
          <w:rFonts w:eastAsia="Arial"/>
        </w:rPr>
        <w:t xml:space="preserve">a </w:t>
      </w:r>
      <w:r w:rsidR="00E013A5" w:rsidRPr="006D16DB">
        <w:rPr>
          <w:rFonts w:eastAsia="Arial"/>
        </w:rPr>
        <w:t xml:space="preserve">historical reference period, the average emissions intensity of </w:t>
      </w:r>
      <w:r w:rsidR="00B66A47" w:rsidRPr="006D16DB">
        <w:rPr>
          <w:rFonts w:eastAsia="Arial"/>
        </w:rPr>
        <w:t xml:space="preserve">new power </w:t>
      </w:r>
      <w:r w:rsidR="00F801F7">
        <w:rPr>
          <w:rFonts w:eastAsia="Arial"/>
        </w:rPr>
        <w:t>units</w:t>
      </w:r>
      <w:r w:rsidR="00B66A47" w:rsidRPr="006D16DB">
        <w:rPr>
          <w:rFonts w:eastAsia="Arial"/>
        </w:rPr>
        <w:t xml:space="preserve"> </w:t>
      </w:r>
      <w:r w:rsidR="007C0513">
        <w:rPr>
          <w:rFonts w:eastAsia="Arial"/>
        </w:rPr>
        <w:t xml:space="preserve">shall be </w:t>
      </w:r>
      <w:r w:rsidR="00B66A47" w:rsidRPr="006D16DB">
        <w:rPr>
          <w:rFonts w:eastAsia="Arial"/>
        </w:rPr>
        <w:t>adjusted to account for data vintage, noting that</w:t>
      </w:r>
      <w:r w:rsidR="007C0513">
        <w:rPr>
          <w:rFonts w:eastAsia="Arial"/>
        </w:rPr>
        <w:t>,</w:t>
      </w:r>
      <w:r w:rsidR="00B66A47" w:rsidRPr="006D16DB">
        <w:rPr>
          <w:rFonts w:eastAsia="Arial"/>
        </w:rPr>
        <w:t xml:space="preserve"> </w:t>
      </w:r>
      <w:r w:rsidR="004515A3" w:rsidRPr="006D16DB">
        <w:rPr>
          <w:rFonts w:eastAsia="Arial"/>
        </w:rPr>
        <w:t>in many electricity systems</w:t>
      </w:r>
      <w:r w:rsidR="00ED7C94">
        <w:rPr>
          <w:rFonts w:eastAsia="Arial"/>
        </w:rPr>
        <w:t>,</w:t>
      </w:r>
      <w:r w:rsidR="004515A3" w:rsidRPr="006D16DB">
        <w:rPr>
          <w:rFonts w:eastAsia="Arial"/>
        </w:rPr>
        <w:t xml:space="preserve"> the </w:t>
      </w:r>
      <w:r w:rsidR="00057C7B" w:rsidRPr="006D16DB">
        <w:rPr>
          <w:rFonts w:eastAsia="Arial"/>
        </w:rPr>
        <w:t xml:space="preserve">average emissions intensity of new power </w:t>
      </w:r>
      <w:r w:rsidR="00F801F7">
        <w:rPr>
          <w:rFonts w:eastAsia="Arial"/>
        </w:rPr>
        <w:t>units</w:t>
      </w:r>
      <w:r w:rsidR="00057C7B" w:rsidRPr="006D16DB">
        <w:rPr>
          <w:rFonts w:eastAsia="Arial"/>
        </w:rPr>
        <w:t xml:space="preserve"> </w:t>
      </w:r>
      <w:r w:rsidR="00057C7B" w:rsidRPr="7B81D54F">
        <w:rPr>
          <w:rFonts w:eastAsia="Arial"/>
        </w:rPr>
        <w:t>declin</w:t>
      </w:r>
      <w:r w:rsidR="32071B8B" w:rsidRPr="7B81D54F">
        <w:rPr>
          <w:rFonts w:eastAsia="Arial"/>
        </w:rPr>
        <w:t>es</w:t>
      </w:r>
      <w:r w:rsidR="00057C7B" w:rsidRPr="006D16DB">
        <w:rPr>
          <w:rFonts w:eastAsia="Arial"/>
        </w:rPr>
        <w:t xml:space="preserve"> over time </w:t>
      </w:r>
      <w:r w:rsidR="000043AB">
        <w:rPr>
          <w:rFonts w:eastAsia="Arial"/>
        </w:rPr>
        <w:t>due to</w:t>
      </w:r>
      <w:r w:rsidR="00057C7B" w:rsidRPr="006D16DB">
        <w:rPr>
          <w:rFonts w:eastAsia="Arial"/>
        </w:rPr>
        <w:t xml:space="preserve"> an increasing share of renewable energy power </w:t>
      </w:r>
      <w:r w:rsidR="006715D9">
        <w:rPr>
          <w:rFonts w:eastAsia="Arial"/>
        </w:rPr>
        <w:t>units</w:t>
      </w:r>
      <w:r w:rsidR="0068491E">
        <w:rPr>
          <w:rFonts w:eastAsia="Arial"/>
        </w:rPr>
        <w:t>,</w:t>
      </w:r>
      <w:r w:rsidR="00436D5C" w:rsidRPr="00436D5C">
        <w:rPr>
          <w:rFonts w:eastAsia="Arial"/>
        </w:rPr>
        <w:t xml:space="preserve"> the use of more efficient power </w:t>
      </w:r>
      <w:r w:rsidR="006715D9">
        <w:rPr>
          <w:rFonts w:eastAsia="Arial"/>
        </w:rPr>
        <w:t>units</w:t>
      </w:r>
      <w:r w:rsidR="00ED7C94">
        <w:rPr>
          <w:rFonts w:eastAsia="Arial"/>
        </w:rPr>
        <w:t>,</w:t>
      </w:r>
      <w:r w:rsidR="00436D5C" w:rsidRPr="00436D5C">
        <w:rPr>
          <w:rFonts w:eastAsia="Arial"/>
        </w:rPr>
        <w:t xml:space="preserve"> and the use of less GHG</w:t>
      </w:r>
      <w:r w:rsidR="0068491E">
        <w:rPr>
          <w:rFonts w:eastAsia="Arial"/>
        </w:rPr>
        <w:t>-</w:t>
      </w:r>
      <w:r w:rsidR="00436D5C" w:rsidRPr="00436D5C">
        <w:rPr>
          <w:rFonts w:eastAsia="Arial"/>
        </w:rPr>
        <w:t>intensive fuels.</w:t>
      </w:r>
    </w:p>
    <w:p w14:paraId="600FCA97" w14:textId="6F08BACF" w:rsidR="00A87164" w:rsidRPr="0021043D" w:rsidRDefault="002C5422" w:rsidP="00C72647">
      <w:pPr>
        <w:pStyle w:val="SDMPara"/>
        <w:keepNext/>
        <w:rPr>
          <w:rFonts w:eastAsia="Arial"/>
        </w:rPr>
      </w:pPr>
      <w:r w:rsidRPr="0021043D">
        <w:rPr>
          <w:rFonts w:eastAsia="Arial"/>
        </w:rPr>
        <w:t xml:space="preserve">Activity participants shall </w:t>
      </w:r>
      <w:r w:rsidR="00BA2CCC" w:rsidRPr="0021043D">
        <w:rPr>
          <w:rFonts w:eastAsia="Arial"/>
        </w:rPr>
        <w:t>include</w:t>
      </w:r>
      <w:r w:rsidRPr="0021043D">
        <w:rPr>
          <w:rFonts w:eastAsia="Arial"/>
        </w:rPr>
        <w:t xml:space="preserve"> the following power units </w:t>
      </w:r>
      <w:r w:rsidR="00821622" w:rsidRPr="0021043D">
        <w:rPr>
          <w:rFonts w:eastAsia="Arial"/>
          <w:i/>
        </w:rPr>
        <w:t>p</w:t>
      </w:r>
      <w:r w:rsidRPr="0021043D">
        <w:rPr>
          <w:rFonts w:eastAsia="Arial"/>
        </w:rPr>
        <w:t xml:space="preserve"> in </w:t>
      </w:r>
      <w:r w:rsidR="00616FEF" w:rsidRPr="0021043D">
        <w:rPr>
          <w:rFonts w:eastAsia="Arial"/>
        </w:rPr>
        <w:t>the calculation of</w:t>
      </w:r>
      <w:r w:rsidRPr="0021043D">
        <w:rPr>
          <w:rFonts w:eastAsia="Arial"/>
        </w:rPr>
        <w:t xml:space="preserve"> the BM emission factor:</w:t>
      </w:r>
    </w:p>
    <w:p w14:paraId="58DBE349" w14:textId="40A2DDA8" w:rsidR="002C5422" w:rsidRPr="0021043D" w:rsidRDefault="002C5422">
      <w:pPr>
        <w:pStyle w:val="SDMSubPara1"/>
        <w:rPr>
          <w:rFonts w:eastAsia="Arial"/>
        </w:rPr>
      </w:pPr>
      <w:r w:rsidRPr="0021043D">
        <w:rPr>
          <w:rFonts w:eastAsia="Arial"/>
        </w:rPr>
        <w:t>Where</w:t>
      </w:r>
      <w:r w:rsidRPr="0021043D" w:rsidDel="00D44C39">
        <w:rPr>
          <w:rFonts w:eastAsia="Arial"/>
        </w:rPr>
        <w:t xml:space="preserve"> </w:t>
      </w:r>
      <w:r w:rsidR="00D44C39" w:rsidRPr="0021043D">
        <w:rPr>
          <w:rFonts w:eastAsia="Arial"/>
          <w:b/>
        </w:rPr>
        <w:t>case</w:t>
      </w:r>
      <w:r w:rsidR="00204D05">
        <w:rPr>
          <w:rFonts w:eastAsia="Arial"/>
          <w:b/>
        </w:rPr>
        <w:t> </w:t>
      </w:r>
      <w:r w:rsidRPr="0021043D">
        <w:rPr>
          <w:rFonts w:eastAsia="Arial"/>
          <w:b/>
        </w:rPr>
        <w:t>1</w:t>
      </w:r>
      <w:r w:rsidRPr="0021043D">
        <w:rPr>
          <w:rFonts w:eastAsia="Arial"/>
        </w:rPr>
        <w:t xml:space="preserve"> applies</w:t>
      </w:r>
      <w:r w:rsidR="00011BBD" w:rsidRPr="0021043D">
        <w:rPr>
          <w:rFonts w:eastAsia="Arial"/>
        </w:rPr>
        <w:t xml:space="preserve"> and</w:t>
      </w:r>
      <w:r w:rsidRPr="0021043D">
        <w:rPr>
          <w:rFonts w:eastAsia="Arial"/>
        </w:rPr>
        <w:t xml:space="preserve"> the </w:t>
      </w:r>
      <w:r w:rsidR="008D4B92" w:rsidRPr="0021043D">
        <w:rPr>
          <w:rFonts w:eastAsia="Arial"/>
        </w:rPr>
        <w:t xml:space="preserve">electricity generation </w:t>
      </w:r>
      <w:r w:rsidR="0001624C" w:rsidRPr="0021043D">
        <w:rPr>
          <w:rFonts w:eastAsia="Arial"/>
        </w:rPr>
        <w:t xml:space="preserve">source is </w:t>
      </w:r>
      <w:r w:rsidR="0001624C" w:rsidRPr="0021043D" w:rsidDel="00D44C39">
        <w:rPr>
          <w:rFonts w:eastAsia="Arial"/>
        </w:rPr>
        <w:t>intermittent</w:t>
      </w:r>
      <w:r w:rsidR="00D44C39" w:rsidRPr="0021043D">
        <w:rPr>
          <w:rFonts w:eastAsia="Arial"/>
        </w:rPr>
        <w:t>,</w:t>
      </w:r>
      <w:r w:rsidR="0001624C" w:rsidRPr="0021043D">
        <w:rPr>
          <w:rFonts w:eastAsia="Arial"/>
        </w:rPr>
        <w:t xml:space="preserve"> </w:t>
      </w:r>
      <w:r w:rsidR="008D4B92" w:rsidRPr="0021043D">
        <w:rPr>
          <w:rFonts w:eastAsia="Arial"/>
        </w:rPr>
        <w:t xml:space="preserve">or </w:t>
      </w:r>
      <w:r w:rsidR="0001624C" w:rsidRPr="0021043D">
        <w:rPr>
          <w:rFonts w:eastAsia="Arial"/>
        </w:rPr>
        <w:t xml:space="preserve">the </w:t>
      </w:r>
      <w:r w:rsidR="003D530B" w:rsidRPr="0021043D">
        <w:rPr>
          <w:rFonts w:eastAsia="Arial"/>
        </w:rPr>
        <w:t xml:space="preserve">electricity </w:t>
      </w:r>
      <w:r w:rsidR="008D4B92" w:rsidRPr="0021043D">
        <w:rPr>
          <w:rFonts w:eastAsia="Arial"/>
        </w:rPr>
        <w:t xml:space="preserve">consumption </w:t>
      </w:r>
      <w:r w:rsidR="00A37D2C" w:rsidRPr="0021043D">
        <w:rPr>
          <w:rFonts w:eastAsia="Arial"/>
        </w:rPr>
        <w:t>source</w:t>
      </w:r>
      <w:r w:rsidR="008D4B92" w:rsidRPr="0021043D">
        <w:rPr>
          <w:rFonts w:eastAsia="Arial"/>
        </w:rPr>
        <w:t xml:space="preserve"> </w:t>
      </w:r>
      <w:r w:rsidR="003D530B" w:rsidRPr="0021043D">
        <w:rPr>
          <w:rFonts w:eastAsia="Arial"/>
        </w:rPr>
        <w:t>depends</w:t>
      </w:r>
      <w:r w:rsidR="0001624C" w:rsidRPr="0021043D">
        <w:rPr>
          <w:rFonts w:eastAsia="Arial"/>
        </w:rPr>
        <w:t xml:space="preserve"> on intermittent generation</w:t>
      </w:r>
      <w:r w:rsidR="003D530B" w:rsidRPr="0021043D">
        <w:rPr>
          <w:rFonts w:eastAsia="Arial"/>
        </w:rPr>
        <w:t xml:space="preserve">, </w:t>
      </w:r>
      <w:r w:rsidR="00616FEF" w:rsidRPr="0021043D">
        <w:rPr>
          <w:rFonts w:eastAsia="Arial"/>
        </w:rPr>
        <w:t>include</w:t>
      </w:r>
      <w:r w:rsidR="00646525" w:rsidRPr="0021043D">
        <w:rPr>
          <w:rFonts w:eastAsia="Arial"/>
        </w:rPr>
        <w:t xml:space="preserve"> </w:t>
      </w:r>
      <w:r w:rsidR="00011BBD" w:rsidRPr="0021043D">
        <w:rPr>
          <w:rFonts w:eastAsia="Arial"/>
        </w:rPr>
        <w:t>only</w:t>
      </w:r>
      <w:r w:rsidR="00646525" w:rsidRPr="0021043D">
        <w:rPr>
          <w:rFonts w:eastAsia="Arial"/>
        </w:rPr>
        <w:t xml:space="preserve"> </w:t>
      </w:r>
      <w:r w:rsidR="00B343F7" w:rsidRPr="0021043D">
        <w:rPr>
          <w:rFonts w:eastAsia="Arial"/>
        </w:rPr>
        <w:t xml:space="preserve">non-intermittent </w:t>
      </w:r>
      <w:r w:rsidR="00ED4615" w:rsidRPr="0021043D">
        <w:rPr>
          <w:rFonts w:eastAsia="Arial"/>
        </w:rPr>
        <w:t>electricity generation sources</w:t>
      </w:r>
      <w:r w:rsidR="00FE61D8" w:rsidRPr="0021043D">
        <w:rPr>
          <w:rFonts w:eastAsia="Arial"/>
        </w:rPr>
        <w:t>;</w:t>
      </w:r>
      <w:r w:rsidR="00BA2CCC" w:rsidRPr="0021043D">
        <w:rPr>
          <w:rFonts w:eastAsia="Arial"/>
        </w:rPr>
        <w:t xml:space="preserve"> </w:t>
      </w:r>
      <w:r w:rsidR="00D26582" w:rsidRPr="0021043D">
        <w:rPr>
          <w:rFonts w:eastAsia="Arial"/>
        </w:rPr>
        <w:t>or</w:t>
      </w:r>
    </w:p>
    <w:p w14:paraId="06AB5EF6" w14:textId="3CF39800" w:rsidR="00BA2CCC" w:rsidRPr="00D178A8" w:rsidRDefault="00BA2CCC">
      <w:pPr>
        <w:pStyle w:val="SDMSubPara1"/>
        <w:rPr>
          <w:rFonts w:eastAsia="Arial"/>
        </w:rPr>
      </w:pPr>
      <w:r w:rsidRPr="0021043D">
        <w:rPr>
          <w:rFonts w:eastAsia="Arial"/>
        </w:rPr>
        <w:t>In all other situations</w:t>
      </w:r>
      <w:r w:rsidR="00FE61D8" w:rsidRPr="0021043D">
        <w:rPr>
          <w:rFonts w:eastAsia="Arial"/>
        </w:rPr>
        <w:t xml:space="preserve">, </w:t>
      </w:r>
      <w:r w:rsidRPr="0021043D">
        <w:rPr>
          <w:rFonts w:eastAsia="Arial"/>
        </w:rPr>
        <w:t>include all power units</w:t>
      </w:r>
      <w:r w:rsidR="00011BBD" w:rsidRPr="0021043D">
        <w:rPr>
          <w:rFonts w:eastAsia="Arial"/>
        </w:rPr>
        <w:t>.</w:t>
      </w:r>
    </w:p>
    <w:p w14:paraId="7766A502" w14:textId="6D2CEBD4" w:rsidR="00D27A0A" w:rsidRDefault="00B82182" w:rsidP="00C72647">
      <w:pPr>
        <w:pStyle w:val="SDMPara"/>
        <w:keepNext/>
        <w:rPr>
          <w:rFonts w:eastAsia="Arial"/>
        </w:rPr>
      </w:pPr>
      <w:bookmarkStart w:id="518" w:name="_Ref216178663"/>
      <w:r>
        <w:rPr>
          <w:rFonts w:eastAsia="Arial"/>
        </w:rPr>
        <w:t>A</w:t>
      </w:r>
      <w:r w:rsidR="00B244F6" w:rsidRPr="000C7E52">
        <w:rPr>
          <w:rFonts w:eastAsia="Arial"/>
        </w:rPr>
        <w:t>ctivity participants</w:t>
      </w:r>
      <w:r w:rsidR="000C7E52" w:rsidRPr="000C7E52">
        <w:rPr>
          <w:rFonts w:eastAsia="Arial"/>
        </w:rPr>
        <w:t xml:space="preserve"> shall determine </w:t>
      </w:r>
      <w:r w:rsidR="00425BFE">
        <w:rPr>
          <w:rFonts w:eastAsia="Arial"/>
        </w:rPr>
        <w:t xml:space="preserve">the reference period </w:t>
      </w:r>
      <w:r w:rsidR="00FE61D8">
        <w:rPr>
          <w:rFonts w:eastAsia="Arial"/>
        </w:rPr>
        <w:t>for calculating</w:t>
      </w:r>
      <w:r w:rsidR="00425BFE">
        <w:rPr>
          <w:rFonts w:eastAsia="Arial"/>
        </w:rPr>
        <w:t xml:space="preserve"> </w:t>
      </w:r>
      <w:r w:rsidR="000C7E52" w:rsidRPr="000C7E52">
        <w:rPr>
          <w:rFonts w:eastAsia="Arial"/>
        </w:rPr>
        <w:t>the BM emission factor</w:t>
      </w:r>
      <w:r w:rsidR="00425BFE">
        <w:rPr>
          <w:rFonts w:eastAsia="Arial"/>
        </w:rPr>
        <w:t xml:space="preserve"> as follows</w:t>
      </w:r>
      <w:r w:rsidR="000C7E52" w:rsidRPr="000C7E52">
        <w:rPr>
          <w:rFonts w:eastAsia="Arial"/>
        </w:rPr>
        <w:t>:</w:t>
      </w:r>
      <w:bookmarkEnd w:id="518"/>
    </w:p>
    <w:p w14:paraId="37D52CEC" w14:textId="0F7FF1AA" w:rsidR="004E3382" w:rsidRDefault="004E3382">
      <w:pPr>
        <w:pStyle w:val="SDMSubPara1"/>
        <w:rPr>
          <w:rFonts w:eastAsia="Arial"/>
        </w:rPr>
      </w:pPr>
      <w:r>
        <w:rPr>
          <w:rFonts w:eastAsia="Arial"/>
        </w:rPr>
        <w:t>Determine the calendar year in which the Article 6.4 activity start</w:t>
      </w:r>
      <w:r w:rsidR="00933A9A">
        <w:rPr>
          <w:rFonts w:hint="eastAsia"/>
          <w:lang w:eastAsia="ja-JP"/>
        </w:rPr>
        <w:t>ed</w:t>
      </w:r>
      <w:r>
        <w:rPr>
          <w:rFonts w:eastAsia="Arial"/>
        </w:rPr>
        <w:t xml:space="preserve"> operation, hereinafter referred to as year</w:t>
      </w:r>
      <w:r w:rsidR="00D5077E">
        <w:rPr>
          <w:rFonts w:eastAsia="Arial"/>
        </w:rPr>
        <w:t> </w:t>
      </w:r>
      <w:r w:rsidRPr="00CF4A50">
        <w:rPr>
          <w:rFonts w:eastAsia="Arial"/>
          <w:i/>
          <w:iCs/>
        </w:rPr>
        <w:t>x</w:t>
      </w:r>
      <w:r w:rsidR="00D5077E">
        <w:rPr>
          <w:rFonts w:eastAsia="Arial"/>
        </w:rPr>
        <w:t>;</w:t>
      </w:r>
    </w:p>
    <w:p w14:paraId="342B17C6" w14:textId="77777777" w:rsidR="00924518" w:rsidRDefault="00BA42BB">
      <w:pPr>
        <w:pStyle w:val="SDMSubPara1"/>
        <w:rPr>
          <w:rFonts w:eastAsia="Arial"/>
        </w:rPr>
      </w:pPr>
      <w:r>
        <w:rPr>
          <w:rFonts w:eastAsia="Arial"/>
        </w:rPr>
        <w:t xml:space="preserve">Determine </w:t>
      </w:r>
      <w:r w:rsidR="00AF7B08">
        <w:rPr>
          <w:rFonts w:eastAsia="Arial"/>
        </w:rPr>
        <w:t>the most recent calendar year for which data</w:t>
      </w:r>
      <w:r w:rsidR="006F093F">
        <w:rPr>
          <w:rFonts w:eastAsia="Arial"/>
        </w:rPr>
        <w:t xml:space="preserve"> </w:t>
      </w:r>
      <w:r w:rsidR="004726B9">
        <w:rPr>
          <w:rFonts w:eastAsia="Arial"/>
        </w:rPr>
        <w:t xml:space="preserve">are </w:t>
      </w:r>
      <w:r w:rsidR="006F093F">
        <w:rPr>
          <w:rFonts w:eastAsia="Arial"/>
        </w:rPr>
        <w:t>available</w:t>
      </w:r>
      <w:r w:rsidR="00AF7B08">
        <w:rPr>
          <w:rFonts w:eastAsia="Arial"/>
        </w:rPr>
        <w:t xml:space="preserve"> on </w:t>
      </w:r>
      <w:r w:rsidR="00B42EF1">
        <w:rPr>
          <w:rFonts w:eastAsia="Arial"/>
        </w:rPr>
        <w:t xml:space="preserve">new power units </w:t>
      </w:r>
      <w:r w:rsidR="006F093F">
        <w:rPr>
          <w:rFonts w:eastAsia="Arial"/>
        </w:rPr>
        <w:t xml:space="preserve">that </w:t>
      </w:r>
      <w:r w:rsidR="00B42EF1">
        <w:rPr>
          <w:rFonts w:eastAsia="Arial"/>
        </w:rPr>
        <w:t>start</w:t>
      </w:r>
      <w:r w:rsidR="006F093F">
        <w:rPr>
          <w:rFonts w:eastAsia="Arial"/>
        </w:rPr>
        <w:t xml:space="preserve">ed </w:t>
      </w:r>
      <w:r w:rsidR="004726B9">
        <w:rPr>
          <w:rFonts w:eastAsia="Arial"/>
        </w:rPr>
        <w:t>supplying</w:t>
      </w:r>
      <w:r w:rsidR="006F093F">
        <w:rPr>
          <w:rFonts w:eastAsia="Arial"/>
        </w:rPr>
        <w:t xml:space="preserve"> electricity to </w:t>
      </w:r>
      <w:r w:rsidR="00B42EF1">
        <w:rPr>
          <w:rFonts w:eastAsia="Arial"/>
        </w:rPr>
        <w:t>the electricity system</w:t>
      </w:r>
      <w:r w:rsidR="00240EF5">
        <w:rPr>
          <w:rFonts w:eastAsia="Arial"/>
        </w:rPr>
        <w:t>, hereinafter referred to as year</w:t>
      </w:r>
      <w:r w:rsidR="00D5077E">
        <w:rPr>
          <w:rFonts w:eastAsia="Arial"/>
        </w:rPr>
        <w:t> </w:t>
      </w:r>
      <w:r w:rsidR="00240EF5" w:rsidRPr="00CF4A50">
        <w:rPr>
          <w:rFonts w:eastAsia="Arial"/>
          <w:i/>
          <w:iCs/>
        </w:rPr>
        <w:t>z</w:t>
      </w:r>
      <w:r w:rsidR="00D5077E">
        <w:rPr>
          <w:rFonts w:eastAsia="Arial"/>
        </w:rPr>
        <w:t>;</w:t>
      </w:r>
    </w:p>
    <w:p w14:paraId="2D1CFD90" w14:textId="59267A35" w:rsidR="00AA4FB8" w:rsidRDefault="00AA4FB8" w:rsidP="00C72647">
      <w:pPr>
        <w:pStyle w:val="SDMSubPara1"/>
        <w:keepNext/>
        <w:rPr>
          <w:rFonts w:eastAsia="Arial"/>
        </w:rPr>
      </w:pPr>
      <w:r>
        <w:rPr>
          <w:rFonts w:eastAsia="Arial"/>
        </w:rPr>
        <w:t>Determine an initial three</w:t>
      </w:r>
      <w:r w:rsidR="00311774">
        <w:rPr>
          <w:rFonts w:eastAsia="Arial"/>
        </w:rPr>
        <w:t>-</w:t>
      </w:r>
      <w:r>
        <w:rPr>
          <w:rFonts w:eastAsia="Arial"/>
        </w:rPr>
        <w:t xml:space="preserve">year </w:t>
      </w:r>
      <w:r w:rsidR="00311774">
        <w:rPr>
          <w:rFonts w:eastAsia="Arial"/>
        </w:rPr>
        <w:t xml:space="preserve">reference </w:t>
      </w:r>
      <w:r>
        <w:rPr>
          <w:rFonts w:eastAsia="Arial"/>
        </w:rPr>
        <w:t xml:space="preserve">period, either as </w:t>
      </w:r>
      <w:r w:rsidR="004726B9">
        <w:rPr>
          <w:rFonts w:eastAsia="Arial"/>
        </w:rPr>
        <w:t xml:space="preserve">a </w:t>
      </w:r>
      <w:r w:rsidR="00B40C20">
        <w:rPr>
          <w:rFonts w:eastAsia="Arial"/>
        </w:rPr>
        <w:t>con</w:t>
      </w:r>
      <w:r>
        <w:rPr>
          <w:rFonts w:eastAsia="Arial"/>
        </w:rPr>
        <w:t>current or historical reference period, as follows:</w:t>
      </w:r>
    </w:p>
    <w:p w14:paraId="4C384338" w14:textId="64A91B9C" w:rsidR="00AA4FB8" w:rsidRPr="00F77076" w:rsidRDefault="00B40C20">
      <w:pPr>
        <w:pStyle w:val="SDMSubPara2"/>
        <w:rPr>
          <w:rFonts w:eastAsia="Arial"/>
        </w:rPr>
      </w:pPr>
      <w:r w:rsidRPr="00AC147D">
        <w:rPr>
          <w:rFonts w:eastAsia="Arial"/>
          <w:b/>
        </w:rPr>
        <w:t>Conc</w:t>
      </w:r>
      <w:r w:rsidR="00AA4FB8" w:rsidRPr="00AC147D">
        <w:rPr>
          <w:rFonts w:eastAsia="Arial"/>
          <w:b/>
        </w:rPr>
        <w:t>urrent reference period</w:t>
      </w:r>
      <w:r w:rsidR="00AA4FB8" w:rsidRPr="00F77076">
        <w:rPr>
          <w:rFonts w:eastAsia="Arial"/>
        </w:rPr>
        <w:t xml:space="preserve">: </w:t>
      </w:r>
      <w:r w:rsidR="004D5EE3">
        <w:rPr>
          <w:rFonts w:eastAsia="Arial"/>
        </w:rPr>
        <w:t>w</w:t>
      </w:r>
      <w:r w:rsidR="004D5EE3" w:rsidRPr="00F77076">
        <w:rPr>
          <w:rFonts w:eastAsia="Arial"/>
        </w:rPr>
        <w:t xml:space="preserve">here </w:t>
      </w:r>
      <w:r w:rsidR="00AA4FB8" w:rsidRPr="00F77076">
        <w:rPr>
          <w:rFonts w:eastAsia="Arial"/>
          <w:i/>
          <w:iCs/>
        </w:rPr>
        <w:t>z</w:t>
      </w:r>
      <w:r w:rsidR="00AA4FB8" w:rsidRPr="00F77076">
        <w:rPr>
          <w:rFonts w:eastAsia="Arial"/>
        </w:rPr>
        <w:t> </w:t>
      </w:r>
      <w:r w:rsidR="005024F3" w:rsidRPr="00F77076">
        <w:rPr>
          <w:rFonts w:eastAsia="Arial"/>
        </w:rPr>
        <w:t>≥</w:t>
      </w:r>
      <w:r w:rsidR="00AA4FB8" w:rsidRPr="00F77076">
        <w:rPr>
          <w:rFonts w:eastAsia="Arial"/>
        </w:rPr>
        <w:t> </w:t>
      </w:r>
      <w:r w:rsidR="00AA4FB8" w:rsidRPr="00F77076">
        <w:rPr>
          <w:rFonts w:eastAsia="Arial"/>
          <w:i/>
          <w:iCs/>
        </w:rPr>
        <w:t>x</w:t>
      </w:r>
      <w:r w:rsidR="00AA4FB8" w:rsidRPr="00F77076">
        <w:rPr>
          <w:rFonts w:eastAsia="Arial"/>
        </w:rPr>
        <w:t>+1, determine the initial reference period as the three-year period covering the calendar year before</w:t>
      </w:r>
      <w:r w:rsidR="00A66907">
        <w:rPr>
          <w:rFonts w:eastAsia="Arial"/>
        </w:rPr>
        <w:t>,</w:t>
      </w:r>
      <w:r w:rsidR="00412BF4">
        <w:rPr>
          <w:rFonts w:eastAsia="Arial"/>
        </w:rPr>
        <w:t xml:space="preserve"> during,</w:t>
      </w:r>
      <w:r w:rsidR="00AA4FB8" w:rsidRPr="00F77076">
        <w:rPr>
          <w:rFonts w:eastAsia="Arial"/>
        </w:rPr>
        <w:t xml:space="preserve"> and after </w:t>
      </w:r>
      <w:r w:rsidR="00AA4FB8" w:rsidRPr="00F77076" w:rsidDel="00412BF4">
        <w:rPr>
          <w:rFonts w:eastAsia="Arial"/>
        </w:rPr>
        <w:t xml:space="preserve">the </w:t>
      </w:r>
      <w:r w:rsidR="00AA4FB8" w:rsidRPr="00F77076">
        <w:rPr>
          <w:rFonts w:eastAsia="Arial"/>
        </w:rPr>
        <w:t>start of operation of the Article 6.4 activity (i.e.</w:t>
      </w:r>
      <w:r w:rsidR="6F5A519E" w:rsidRPr="00F77076">
        <w:rPr>
          <w:rFonts w:eastAsia="Arial"/>
        </w:rPr>
        <w:t>,</w:t>
      </w:r>
      <w:r w:rsidR="00AA4FB8" w:rsidRPr="00F77076">
        <w:rPr>
          <w:rFonts w:eastAsia="Arial"/>
        </w:rPr>
        <w:t xml:space="preserve"> the period covering the calendar years </w:t>
      </w:r>
      <w:r w:rsidR="00AA4FB8" w:rsidRPr="00F77076">
        <w:rPr>
          <w:rFonts w:eastAsia="Arial"/>
          <w:i/>
          <w:iCs/>
        </w:rPr>
        <w:t>x</w:t>
      </w:r>
      <w:r w:rsidR="00AA4FB8" w:rsidRPr="00F77076">
        <w:rPr>
          <w:rFonts w:eastAsia="Arial"/>
        </w:rPr>
        <w:t xml:space="preserve">-1, </w:t>
      </w:r>
      <w:r w:rsidR="00AA4FB8" w:rsidRPr="00F77076">
        <w:rPr>
          <w:rFonts w:eastAsia="Arial"/>
          <w:i/>
          <w:iCs/>
        </w:rPr>
        <w:t>x</w:t>
      </w:r>
      <w:r w:rsidR="00AA4FB8" w:rsidRPr="00F77076">
        <w:rPr>
          <w:rFonts w:eastAsia="Arial"/>
        </w:rPr>
        <w:t xml:space="preserve"> and </w:t>
      </w:r>
      <w:r w:rsidR="00AA4FB8" w:rsidRPr="00F77076">
        <w:rPr>
          <w:rFonts w:eastAsia="Arial"/>
          <w:i/>
          <w:iCs/>
        </w:rPr>
        <w:t>x</w:t>
      </w:r>
      <w:r w:rsidR="00AA4FB8" w:rsidRPr="00F77076">
        <w:rPr>
          <w:rFonts w:eastAsia="Arial"/>
        </w:rPr>
        <w:t>+1)</w:t>
      </w:r>
      <w:r w:rsidR="00D5077E" w:rsidRPr="00F77076">
        <w:rPr>
          <w:rFonts w:eastAsia="Arial"/>
        </w:rPr>
        <w:t>;</w:t>
      </w:r>
      <w:r w:rsidR="00EF55FE">
        <w:rPr>
          <w:rFonts w:eastAsia="Arial"/>
        </w:rPr>
        <w:t xml:space="preserve"> or</w:t>
      </w:r>
    </w:p>
    <w:p w14:paraId="2577A73E" w14:textId="431E44DB" w:rsidR="00AA4FB8" w:rsidRPr="00AA4FB8" w:rsidRDefault="00AA4FB8">
      <w:pPr>
        <w:pStyle w:val="SDMSubPara2"/>
        <w:rPr>
          <w:rFonts w:eastAsia="Arial"/>
        </w:rPr>
      </w:pPr>
      <w:r w:rsidRPr="00AC147D">
        <w:rPr>
          <w:rFonts w:eastAsia="Arial"/>
          <w:b/>
        </w:rPr>
        <w:t>Historical refe</w:t>
      </w:r>
      <w:r w:rsidR="00311774" w:rsidRPr="00AC147D">
        <w:rPr>
          <w:rFonts w:eastAsia="Arial"/>
          <w:b/>
        </w:rPr>
        <w:t>re</w:t>
      </w:r>
      <w:r w:rsidRPr="00AC147D">
        <w:rPr>
          <w:rFonts w:eastAsia="Arial"/>
          <w:b/>
        </w:rPr>
        <w:t>nce period</w:t>
      </w:r>
      <w:r>
        <w:rPr>
          <w:rFonts w:eastAsia="Arial"/>
        </w:rPr>
        <w:t xml:space="preserve">: </w:t>
      </w:r>
      <w:r w:rsidR="004D5EE3">
        <w:rPr>
          <w:rFonts w:eastAsia="Arial"/>
        </w:rPr>
        <w:t>w</w:t>
      </w:r>
      <w:r w:rsidR="004D5EE3" w:rsidRPr="00AA4FB8">
        <w:rPr>
          <w:rFonts w:eastAsia="Arial"/>
        </w:rPr>
        <w:t xml:space="preserve">here </w:t>
      </w:r>
      <w:r w:rsidRPr="00F03D73">
        <w:rPr>
          <w:rFonts w:eastAsia="Arial"/>
          <w:i/>
          <w:iCs/>
        </w:rPr>
        <w:t>z</w:t>
      </w:r>
      <w:r w:rsidRPr="00AA4FB8">
        <w:rPr>
          <w:rFonts w:eastAsia="Arial"/>
        </w:rPr>
        <w:t> &lt; </w:t>
      </w:r>
      <w:r w:rsidRPr="00F03D73">
        <w:rPr>
          <w:rFonts w:eastAsia="Arial"/>
          <w:i/>
          <w:iCs/>
        </w:rPr>
        <w:t>x</w:t>
      </w:r>
      <w:r w:rsidRPr="00AA4FB8">
        <w:rPr>
          <w:rFonts w:eastAsia="Arial"/>
        </w:rPr>
        <w:t xml:space="preserve">+1, determine the initial reference period as the </w:t>
      </w:r>
      <w:r w:rsidR="00010B5E">
        <w:rPr>
          <w:rFonts w:eastAsia="Arial"/>
        </w:rPr>
        <w:t>most recent</w:t>
      </w:r>
      <w:r w:rsidR="00010B5E" w:rsidRPr="00AA4FB8">
        <w:rPr>
          <w:rFonts w:eastAsia="Arial"/>
        </w:rPr>
        <w:t xml:space="preserve"> </w:t>
      </w:r>
      <w:r w:rsidRPr="00AA4FB8">
        <w:rPr>
          <w:rFonts w:eastAsia="Arial"/>
        </w:rPr>
        <w:t xml:space="preserve">three-year period for which data </w:t>
      </w:r>
      <w:r w:rsidR="00010B5E">
        <w:rPr>
          <w:rFonts w:eastAsia="Arial"/>
        </w:rPr>
        <w:t>are</w:t>
      </w:r>
      <w:r w:rsidR="00010B5E" w:rsidRPr="00AA4FB8">
        <w:rPr>
          <w:rFonts w:eastAsia="Arial"/>
        </w:rPr>
        <w:t xml:space="preserve"> </w:t>
      </w:r>
      <w:r w:rsidRPr="00AA4FB8">
        <w:rPr>
          <w:rFonts w:eastAsia="Arial"/>
        </w:rPr>
        <w:t>available (i.e</w:t>
      </w:r>
      <w:r w:rsidRPr="2029FBA0">
        <w:rPr>
          <w:rFonts w:eastAsia="Arial"/>
        </w:rPr>
        <w:t>.</w:t>
      </w:r>
      <w:r w:rsidR="36FDB849" w:rsidRPr="2029FBA0">
        <w:rPr>
          <w:rFonts w:eastAsia="Arial"/>
        </w:rPr>
        <w:t>,</w:t>
      </w:r>
      <w:r w:rsidRPr="00AA4FB8">
        <w:rPr>
          <w:rFonts w:eastAsia="Arial"/>
        </w:rPr>
        <w:t xml:space="preserve"> the period covering the calendar years </w:t>
      </w:r>
      <w:r w:rsidRPr="00F03D73">
        <w:rPr>
          <w:rFonts w:eastAsia="Arial"/>
          <w:i/>
          <w:iCs/>
        </w:rPr>
        <w:t>z</w:t>
      </w:r>
      <w:r w:rsidRPr="00AA4FB8">
        <w:rPr>
          <w:rFonts w:eastAsia="Arial"/>
        </w:rPr>
        <w:t xml:space="preserve">-2, </w:t>
      </w:r>
      <w:r w:rsidRPr="00F03D73">
        <w:rPr>
          <w:rFonts w:eastAsia="Arial"/>
          <w:i/>
          <w:iCs/>
        </w:rPr>
        <w:t>z</w:t>
      </w:r>
      <w:r w:rsidRPr="00AA4FB8">
        <w:rPr>
          <w:rFonts w:eastAsia="Arial"/>
        </w:rPr>
        <w:t xml:space="preserve">-1 and </w:t>
      </w:r>
      <w:r w:rsidRPr="00F03D73">
        <w:rPr>
          <w:rFonts w:eastAsia="Arial"/>
          <w:i/>
          <w:iCs/>
        </w:rPr>
        <w:t>z</w:t>
      </w:r>
      <w:r w:rsidRPr="00AA4FB8">
        <w:rPr>
          <w:rFonts w:eastAsia="Arial"/>
        </w:rPr>
        <w:t>)</w:t>
      </w:r>
      <w:r w:rsidR="00EF55FE">
        <w:rPr>
          <w:rFonts w:eastAsia="Arial"/>
        </w:rPr>
        <w:t>;</w:t>
      </w:r>
    </w:p>
    <w:p w14:paraId="7A57BE93" w14:textId="6E2F0267" w:rsidR="00506027" w:rsidRPr="00001658" w:rsidRDefault="00506027">
      <w:pPr>
        <w:pStyle w:val="SDMSubPara1"/>
        <w:rPr>
          <w:rFonts w:eastAsia="Arial"/>
        </w:rPr>
      </w:pPr>
      <w:r w:rsidRPr="00001658">
        <w:rPr>
          <w:rFonts w:eastAsia="Arial"/>
        </w:rPr>
        <w:t xml:space="preserve">Identify the </w:t>
      </w:r>
      <w:r w:rsidR="00286A6B">
        <w:rPr>
          <w:rFonts w:eastAsia="Arial"/>
        </w:rPr>
        <w:t xml:space="preserve">total </w:t>
      </w:r>
      <w:r w:rsidR="00EF55FE">
        <w:rPr>
          <w:rFonts w:eastAsia="Arial"/>
        </w:rPr>
        <w:t xml:space="preserve">installed </w:t>
      </w:r>
      <w:r w:rsidRPr="00001658">
        <w:rPr>
          <w:rFonts w:eastAsia="Arial"/>
        </w:rPr>
        <w:t xml:space="preserve">capacity of all power </w:t>
      </w:r>
      <w:r w:rsidR="00F801F7">
        <w:rPr>
          <w:rFonts w:eastAsia="Arial"/>
        </w:rPr>
        <w:t>units</w:t>
      </w:r>
      <w:r w:rsidRPr="00001658">
        <w:rPr>
          <w:rFonts w:eastAsia="Arial"/>
        </w:rPr>
        <w:t xml:space="preserve"> in the electricity system </w:t>
      </w:r>
      <w:r w:rsidR="00D04179">
        <w:rPr>
          <w:rFonts w:eastAsia="Arial"/>
        </w:rPr>
        <w:t>(</w:t>
      </w:r>
      <w:r w:rsidR="00A26334">
        <w:rPr>
          <w:rFonts w:eastAsia="Arial"/>
        </w:rPr>
        <w:t>MW</w:t>
      </w:r>
      <w:r w:rsidR="00D04179">
        <w:rPr>
          <w:rFonts w:eastAsia="Arial"/>
        </w:rPr>
        <w:t>)</w:t>
      </w:r>
      <w:r w:rsidR="00A26334">
        <w:rPr>
          <w:rFonts w:eastAsia="Arial"/>
        </w:rPr>
        <w:t xml:space="preserve"> </w:t>
      </w:r>
      <w:r w:rsidRPr="00001658">
        <w:rPr>
          <w:rFonts w:eastAsia="Arial"/>
        </w:rPr>
        <w:t xml:space="preserve">at the end of the </w:t>
      </w:r>
      <w:r w:rsidR="008570F4">
        <w:rPr>
          <w:rFonts w:eastAsia="Arial"/>
        </w:rPr>
        <w:t xml:space="preserve">initial </w:t>
      </w:r>
      <w:r w:rsidRPr="00001658">
        <w:rPr>
          <w:rFonts w:eastAsia="Arial"/>
        </w:rPr>
        <w:t>reference perio</w:t>
      </w:r>
      <w:r w:rsidR="00FF54B7" w:rsidRPr="00001658">
        <w:rPr>
          <w:rFonts w:eastAsia="Arial"/>
        </w:rPr>
        <w:t>d, hereinafter referred to as P</w:t>
      </w:r>
      <w:r w:rsidR="00AF45E6" w:rsidRPr="00001658">
        <w:rPr>
          <w:rFonts w:eastAsia="Arial"/>
          <w:vertAlign w:val="subscript"/>
        </w:rPr>
        <w:t>EL,total</w:t>
      </w:r>
      <w:r w:rsidR="00D5077E">
        <w:rPr>
          <w:rFonts w:eastAsia="Arial"/>
        </w:rPr>
        <w:t>;</w:t>
      </w:r>
    </w:p>
    <w:p w14:paraId="1337116E" w14:textId="47C4F901" w:rsidR="00540AD2" w:rsidRPr="008570F4" w:rsidRDefault="0004696D">
      <w:pPr>
        <w:pStyle w:val="SDMSubPara1"/>
        <w:rPr>
          <w:rFonts w:eastAsia="Arial"/>
        </w:rPr>
      </w:pPr>
      <w:r w:rsidRPr="008570F4">
        <w:rPr>
          <w:rFonts w:eastAsia="Arial"/>
        </w:rPr>
        <w:t xml:space="preserve">Identify all power </w:t>
      </w:r>
      <w:r w:rsidR="00F801F7">
        <w:rPr>
          <w:rFonts w:eastAsia="Arial"/>
        </w:rPr>
        <w:t>units</w:t>
      </w:r>
      <w:r w:rsidR="00803F5F">
        <w:rPr>
          <w:rFonts w:eastAsia="Arial"/>
        </w:rPr>
        <w:t> </w:t>
      </w:r>
      <w:r w:rsidR="00E05367">
        <w:rPr>
          <w:rFonts w:eastAsia="Arial"/>
          <w:i/>
          <w:iCs/>
        </w:rPr>
        <w:t>p</w:t>
      </w:r>
      <w:r w:rsidR="00540AD2" w:rsidRPr="008570F4">
        <w:rPr>
          <w:rFonts w:eastAsia="Arial"/>
        </w:rPr>
        <w:t xml:space="preserve"> that started </w:t>
      </w:r>
      <w:r w:rsidR="00F801F7">
        <w:rPr>
          <w:rFonts w:eastAsia="Arial"/>
        </w:rPr>
        <w:t>supply</w:t>
      </w:r>
      <w:r w:rsidR="000B11F4">
        <w:rPr>
          <w:rFonts w:eastAsia="Arial"/>
        </w:rPr>
        <w:t>ing</w:t>
      </w:r>
      <w:r w:rsidR="00F801F7">
        <w:rPr>
          <w:rFonts w:eastAsia="Arial"/>
        </w:rPr>
        <w:t xml:space="preserve"> electricity to the electricity system </w:t>
      </w:r>
      <w:r w:rsidR="00FE588B">
        <w:rPr>
          <w:rFonts w:eastAsia="Arial"/>
        </w:rPr>
        <w:t>during</w:t>
      </w:r>
      <w:r w:rsidR="00FE588B" w:rsidRPr="008570F4">
        <w:rPr>
          <w:rFonts w:eastAsia="Arial"/>
        </w:rPr>
        <w:t xml:space="preserve"> </w:t>
      </w:r>
      <w:r w:rsidR="00540AD2" w:rsidRPr="008570F4">
        <w:rPr>
          <w:rFonts w:eastAsia="Arial"/>
        </w:rPr>
        <w:t xml:space="preserve">the </w:t>
      </w:r>
      <w:r w:rsidR="008570F4">
        <w:rPr>
          <w:rFonts w:eastAsia="Arial"/>
        </w:rPr>
        <w:t xml:space="preserve">initial </w:t>
      </w:r>
      <w:r w:rsidR="00540AD2" w:rsidRPr="008570F4">
        <w:rPr>
          <w:rFonts w:eastAsia="Arial"/>
        </w:rPr>
        <w:t>reference perio</w:t>
      </w:r>
      <w:r w:rsidR="00BE2046">
        <w:rPr>
          <w:rFonts w:eastAsia="Arial"/>
        </w:rPr>
        <w:t>d</w:t>
      </w:r>
      <w:r w:rsidR="00473F4A" w:rsidRPr="008570F4">
        <w:rPr>
          <w:rFonts w:eastAsia="Arial"/>
        </w:rPr>
        <w:t xml:space="preserve"> and </w:t>
      </w:r>
      <w:r w:rsidR="001B76AB" w:rsidRPr="008570F4">
        <w:rPr>
          <w:rFonts w:eastAsia="Arial"/>
        </w:rPr>
        <w:t>determine the</w:t>
      </w:r>
      <w:r w:rsidR="00FE588B">
        <w:rPr>
          <w:rFonts w:eastAsia="Arial"/>
        </w:rPr>
        <w:t>ir</w:t>
      </w:r>
      <w:r w:rsidR="001B76AB" w:rsidRPr="008570F4">
        <w:rPr>
          <w:rFonts w:eastAsia="Arial"/>
        </w:rPr>
        <w:t xml:space="preserve"> total </w:t>
      </w:r>
      <w:r w:rsidR="00BF13E5">
        <w:rPr>
          <w:rFonts w:eastAsia="Arial"/>
        </w:rPr>
        <w:t>installed</w:t>
      </w:r>
      <w:r w:rsidR="00280ECC" w:rsidRPr="008570F4">
        <w:rPr>
          <w:rFonts w:eastAsia="Arial"/>
        </w:rPr>
        <w:t xml:space="preserve"> capacity </w:t>
      </w:r>
      <w:r w:rsidR="002C28DF">
        <w:rPr>
          <w:rFonts w:eastAsia="Arial"/>
        </w:rPr>
        <w:t>(</w:t>
      </w:r>
      <w:r w:rsidR="00280ECC" w:rsidRPr="008570F4">
        <w:rPr>
          <w:rFonts w:eastAsia="Arial"/>
        </w:rPr>
        <w:t>MW</w:t>
      </w:r>
      <w:r w:rsidR="002C28DF">
        <w:rPr>
          <w:rFonts w:eastAsia="Arial"/>
        </w:rPr>
        <w:t>)</w:t>
      </w:r>
      <w:r w:rsidR="00280ECC" w:rsidRPr="008570F4">
        <w:rPr>
          <w:rFonts w:eastAsia="Arial"/>
        </w:rPr>
        <w:t>, hereinafter referred to as P</w:t>
      </w:r>
      <w:r w:rsidR="00280ECC" w:rsidRPr="008570F4">
        <w:rPr>
          <w:rFonts w:eastAsia="Arial"/>
          <w:vertAlign w:val="subscript"/>
        </w:rPr>
        <w:t>EL</w:t>
      </w:r>
      <w:r w:rsidR="00AF45E6" w:rsidRPr="008570F4">
        <w:rPr>
          <w:rFonts w:eastAsia="Arial"/>
          <w:vertAlign w:val="subscript"/>
        </w:rPr>
        <w:t>,refperiod</w:t>
      </w:r>
      <w:r w:rsidR="00D5077E">
        <w:rPr>
          <w:rFonts w:eastAsia="Arial"/>
        </w:rPr>
        <w:t>;</w:t>
      </w:r>
      <w:r w:rsidR="00BB47D4">
        <w:rPr>
          <w:rFonts w:eastAsia="Arial"/>
        </w:rPr>
        <w:t xml:space="preserve"> and</w:t>
      </w:r>
    </w:p>
    <w:p w14:paraId="42A45E89" w14:textId="34BE5ED2" w:rsidR="00707097" w:rsidRDefault="002C28DF" w:rsidP="00C72647">
      <w:pPr>
        <w:pStyle w:val="SDMSubPara1"/>
        <w:keepNext/>
        <w:rPr>
          <w:rFonts w:eastAsia="Arial"/>
        </w:rPr>
      </w:pPr>
      <w:r>
        <w:rPr>
          <w:rFonts w:eastAsia="Arial"/>
        </w:rPr>
        <w:t>Where</w:t>
      </w:r>
      <w:r w:rsidRPr="008570F4">
        <w:rPr>
          <w:rFonts w:eastAsia="Arial"/>
        </w:rPr>
        <w:t xml:space="preserve"> </w:t>
      </w:r>
      <w:r w:rsidR="004D68B3" w:rsidRPr="008570F4">
        <w:rPr>
          <w:rFonts w:eastAsia="Arial"/>
        </w:rPr>
        <w:t>at least five power</w:t>
      </w:r>
      <w:r w:rsidR="00362EAF" w:rsidRPr="008570F4">
        <w:rPr>
          <w:rFonts w:eastAsia="Arial"/>
        </w:rPr>
        <w:t xml:space="preserve"> </w:t>
      </w:r>
      <w:r w:rsidR="00F801F7">
        <w:rPr>
          <w:rFonts w:eastAsia="Arial"/>
        </w:rPr>
        <w:t>units</w:t>
      </w:r>
      <w:r w:rsidR="00362EAF" w:rsidRPr="008570F4">
        <w:rPr>
          <w:rFonts w:eastAsia="Arial"/>
        </w:rPr>
        <w:t xml:space="preserve"> have been </w:t>
      </w:r>
      <w:r w:rsidR="001501A5" w:rsidRPr="008570F4">
        <w:rPr>
          <w:rFonts w:eastAsia="Arial"/>
        </w:rPr>
        <w:t>identified</w:t>
      </w:r>
      <w:r w:rsidR="00890FBE" w:rsidRPr="008570F4">
        <w:rPr>
          <w:rFonts w:eastAsia="Arial"/>
        </w:rPr>
        <w:t xml:space="preserve"> </w:t>
      </w:r>
      <w:r w:rsidR="00F84AAC">
        <w:rPr>
          <w:rFonts w:eastAsia="Arial"/>
        </w:rPr>
        <w:t>under</w:t>
      </w:r>
      <w:r w:rsidR="00F84AAC" w:rsidRPr="008570F4">
        <w:rPr>
          <w:rFonts w:eastAsia="Arial"/>
        </w:rPr>
        <w:t xml:space="preserve"> </w:t>
      </w:r>
      <w:r w:rsidR="00137F7C" w:rsidRPr="008570F4">
        <w:rPr>
          <w:rFonts w:eastAsia="Arial"/>
        </w:rPr>
        <w:t>sub-paragraph (</w:t>
      </w:r>
      <w:r w:rsidR="00BE2046" w:rsidRPr="00217CEC">
        <w:rPr>
          <w:rFonts w:eastAsia="Arial"/>
        </w:rPr>
        <w:t>e</w:t>
      </w:r>
      <w:r w:rsidR="00137F7C" w:rsidRPr="00217CEC">
        <w:rPr>
          <w:rFonts w:eastAsia="Arial"/>
        </w:rPr>
        <w:t>)</w:t>
      </w:r>
      <w:r w:rsidR="00137F7C" w:rsidRPr="008570F4">
        <w:rPr>
          <w:rFonts w:eastAsia="Arial"/>
        </w:rPr>
        <w:t xml:space="preserve"> </w:t>
      </w:r>
      <w:r w:rsidR="00BE2046">
        <w:rPr>
          <w:rFonts w:eastAsia="Arial"/>
        </w:rPr>
        <w:t xml:space="preserve">above </w:t>
      </w:r>
      <w:r w:rsidR="00890FBE" w:rsidRPr="008570F4">
        <w:rPr>
          <w:rFonts w:eastAsia="Arial"/>
        </w:rPr>
        <w:t xml:space="preserve">and </w:t>
      </w:r>
      <w:r w:rsidR="001501A5" w:rsidRPr="008570F4">
        <w:rPr>
          <w:rFonts w:eastAsia="Arial"/>
        </w:rPr>
        <w:t>P</w:t>
      </w:r>
      <w:r w:rsidR="001501A5" w:rsidRPr="008570F4">
        <w:rPr>
          <w:rFonts w:eastAsia="Arial"/>
          <w:vertAlign w:val="subscript"/>
        </w:rPr>
        <w:t>EL</w:t>
      </w:r>
      <w:r w:rsidR="00642FE2">
        <w:rPr>
          <w:rFonts w:eastAsia="Arial"/>
          <w:vertAlign w:val="subscript"/>
        </w:rPr>
        <w:t>,</w:t>
      </w:r>
      <w:r w:rsidR="00642FE2" w:rsidRPr="001A00C0">
        <w:rPr>
          <w:rFonts w:eastAsia="Arial"/>
          <w:vertAlign w:val="subscript"/>
        </w:rPr>
        <w:t>refperiod</w:t>
      </w:r>
      <w:r w:rsidR="00D33A68" w:rsidRPr="001A00C0">
        <w:rPr>
          <w:rFonts w:eastAsia="Arial"/>
        </w:rPr>
        <w:t> </w:t>
      </w:r>
      <w:r w:rsidR="0021528F" w:rsidRPr="001A00C0">
        <w:rPr>
          <w:rFonts w:eastAsia="Arial"/>
        </w:rPr>
        <w:t>≥</w:t>
      </w:r>
      <w:r w:rsidR="00D33A68" w:rsidRPr="001A00C0">
        <w:rPr>
          <w:rFonts w:eastAsia="Arial"/>
        </w:rPr>
        <w:t> </w:t>
      </w:r>
      <w:r w:rsidR="00781522" w:rsidRPr="00D178A8">
        <w:rPr>
          <w:rFonts w:eastAsia="Arial"/>
        </w:rPr>
        <w:t>0.05</w:t>
      </w:r>
      <w:r w:rsidR="00D33A68" w:rsidRPr="001A00C0">
        <w:rPr>
          <w:rFonts w:eastAsia="Arial"/>
        </w:rPr>
        <w:t> </w:t>
      </w:r>
      <w:r w:rsidR="005D097C" w:rsidRPr="001A00C0">
        <w:rPr>
          <w:rFonts w:eastAsia="Arial"/>
        </w:rPr>
        <w:t>×</w:t>
      </w:r>
      <w:r w:rsidR="00D33A68">
        <w:rPr>
          <w:rFonts w:eastAsia="Arial"/>
        </w:rPr>
        <w:t> </w:t>
      </w:r>
      <w:r w:rsidR="00781522" w:rsidRPr="008570F4">
        <w:rPr>
          <w:rFonts w:eastAsia="Arial"/>
        </w:rPr>
        <w:t>P</w:t>
      </w:r>
      <w:r w:rsidR="00781522" w:rsidRPr="008570F4">
        <w:rPr>
          <w:rFonts w:eastAsia="Arial"/>
          <w:vertAlign w:val="subscript"/>
        </w:rPr>
        <w:t>EL,total</w:t>
      </w:r>
      <w:r w:rsidR="0036412A" w:rsidRPr="008570F4">
        <w:rPr>
          <w:rFonts w:eastAsia="Arial"/>
        </w:rPr>
        <w:t xml:space="preserve">, </w:t>
      </w:r>
      <w:r w:rsidR="008C7677" w:rsidRPr="008570F4">
        <w:rPr>
          <w:rFonts w:eastAsia="Arial"/>
        </w:rPr>
        <w:t xml:space="preserve">use </w:t>
      </w:r>
      <w:r w:rsidR="0036412A" w:rsidRPr="008570F4">
        <w:rPr>
          <w:rFonts w:eastAsia="Arial"/>
        </w:rPr>
        <w:t xml:space="preserve">the </w:t>
      </w:r>
      <w:r w:rsidR="00CB5EFE">
        <w:rPr>
          <w:rFonts w:eastAsia="Arial"/>
        </w:rPr>
        <w:t xml:space="preserve">initial </w:t>
      </w:r>
      <w:r w:rsidR="0036412A" w:rsidRPr="008570F4">
        <w:rPr>
          <w:rFonts w:eastAsia="Arial"/>
        </w:rPr>
        <w:t xml:space="preserve">three-year period </w:t>
      </w:r>
      <w:r w:rsidR="008C7677" w:rsidRPr="008570F4">
        <w:rPr>
          <w:rFonts w:eastAsia="Arial"/>
        </w:rPr>
        <w:t xml:space="preserve">determined </w:t>
      </w:r>
      <w:r w:rsidR="00663FD0">
        <w:rPr>
          <w:rFonts w:eastAsia="Arial"/>
        </w:rPr>
        <w:t>under</w:t>
      </w:r>
      <w:r w:rsidR="00663FD0" w:rsidRPr="008570F4">
        <w:rPr>
          <w:rFonts w:eastAsia="Arial"/>
        </w:rPr>
        <w:t xml:space="preserve"> </w:t>
      </w:r>
      <w:r w:rsidR="008C7677" w:rsidRPr="008570F4">
        <w:rPr>
          <w:rFonts w:eastAsia="Arial"/>
        </w:rPr>
        <w:t>sub-paragraph (</w:t>
      </w:r>
      <w:r w:rsidR="00CB5EFE">
        <w:rPr>
          <w:rFonts w:eastAsia="Arial"/>
        </w:rPr>
        <w:t>c</w:t>
      </w:r>
      <w:r w:rsidR="008C7677" w:rsidRPr="008570F4">
        <w:rPr>
          <w:rFonts w:eastAsia="Arial"/>
        </w:rPr>
        <w:t xml:space="preserve">) </w:t>
      </w:r>
      <w:r w:rsidR="00E00113" w:rsidRPr="008570F4">
        <w:rPr>
          <w:rFonts w:eastAsia="Arial"/>
        </w:rPr>
        <w:t>as the reference period</w:t>
      </w:r>
      <w:r w:rsidR="00EA73F4" w:rsidRPr="008570F4">
        <w:rPr>
          <w:rFonts w:eastAsia="Arial"/>
        </w:rPr>
        <w:t xml:space="preserve">. </w:t>
      </w:r>
      <w:r w:rsidR="00E00113" w:rsidRPr="008570F4">
        <w:rPr>
          <w:rFonts w:eastAsia="Arial"/>
        </w:rPr>
        <w:t xml:space="preserve">Otherwise, </w:t>
      </w:r>
      <w:r w:rsidR="00663FD0">
        <w:rPr>
          <w:rFonts w:eastAsia="Arial"/>
        </w:rPr>
        <w:t>determine</w:t>
      </w:r>
      <w:r w:rsidR="00663FD0" w:rsidRPr="008570F4">
        <w:rPr>
          <w:rFonts w:eastAsia="Arial"/>
        </w:rPr>
        <w:t xml:space="preserve"> </w:t>
      </w:r>
      <w:r w:rsidR="00DA053E" w:rsidRPr="008570F4">
        <w:rPr>
          <w:rFonts w:eastAsia="Arial"/>
        </w:rPr>
        <w:t>a five-year reference period</w:t>
      </w:r>
      <w:r w:rsidR="00707097">
        <w:rPr>
          <w:rFonts w:eastAsia="Arial"/>
        </w:rPr>
        <w:t xml:space="preserve">, either as </w:t>
      </w:r>
      <w:r w:rsidR="00663FD0">
        <w:rPr>
          <w:rFonts w:eastAsia="Arial"/>
        </w:rPr>
        <w:t xml:space="preserve">a </w:t>
      </w:r>
      <w:r w:rsidR="00B40C20">
        <w:rPr>
          <w:rFonts w:eastAsia="Arial"/>
        </w:rPr>
        <w:t>con</w:t>
      </w:r>
      <w:r w:rsidR="00707097">
        <w:rPr>
          <w:rFonts w:eastAsia="Arial"/>
        </w:rPr>
        <w:t xml:space="preserve">current or historical </w:t>
      </w:r>
      <w:r w:rsidR="0077740B">
        <w:rPr>
          <w:rFonts w:eastAsia="Arial"/>
        </w:rPr>
        <w:t xml:space="preserve">reference </w:t>
      </w:r>
      <w:r w:rsidR="00707097">
        <w:rPr>
          <w:rFonts w:eastAsia="Arial"/>
        </w:rPr>
        <w:t>period,</w:t>
      </w:r>
      <w:r w:rsidR="009E0BC9">
        <w:rPr>
          <w:rFonts w:eastAsia="Arial"/>
        </w:rPr>
        <w:t xml:space="preserve"> as follow</w:t>
      </w:r>
      <w:r w:rsidR="00707097">
        <w:rPr>
          <w:rFonts w:eastAsia="Arial"/>
        </w:rPr>
        <w:t>s:</w:t>
      </w:r>
    </w:p>
    <w:p w14:paraId="36CB82BD" w14:textId="6FFCA4E0" w:rsidR="00707097" w:rsidRDefault="00B40C20">
      <w:pPr>
        <w:pStyle w:val="SDMSubPara2"/>
        <w:rPr>
          <w:rFonts w:eastAsia="Arial"/>
        </w:rPr>
      </w:pPr>
      <w:r w:rsidRPr="00857B89">
        <w:rPr>
          <w:rFonts w:eastAsia="Arial"/>
          <w:b/>
          <w:bCs/>
        </w:rPr>
        <w:t>Conc</w:t>
      </w:r>
      <w:r w:rsidR="00707097" w:rsidRPr="00857B89">
        <w:rPr>
          <w:rFonts w:eastAsia="Arial"/>
          <w:b/>
          <w:bCs/>
        </w:rPr>
        <w:t xml:space="preserve">urrent reference </w:t>
      </w:r>
      <w:r w:rsidR="00707097" w:rsidRPr="00AC147D">
        <w:rPr>
          <w:rFonts w:eastAsia="Arial"/>
          <w:b/>
        </w:rPr>
        <w:t>period</w:t>
      </w:r>
      <w:r w:rsidR="00707097" w:rsidRPr="00707097">
        <w:rPr>
          <w:rFonts w:eastAsia="Arial"/>
        </w:rPr>
        <w:t xml:space="preserve">: </w:t>
      </w:r>
      <w:r w:rsidR="004D5EE3">
        <w:rPr>
          <w:rFonts w:eastAsia="Arial"/>
        </w:rPr>
        <w:t>w</w:t>
      </w:r>
      <w:r w:rsidR="004D5EE3" w:rsidRPr="00707097">
        <w:rPr>
          <w:rFonts w:eastAsia="Arial"/>
        </w:rPr>
        <w:t xml:space="preserve">here </w:t>
      </w:r>
      <w:r w:rsidR="00220FC7" w:rsidRPr="00DA0713">
        <w:rPr>
          <w:rFonts w:eastAsia="Arial"/>
          <w:i/>
          <w:iCs/>
        </w:rPr>
        <w:t>z</w:t>
      </w:r>
      <w:r w:rsidR="00707097">
        <w:rPr>
          <w:rFonts w:eastAsia="Arial"/>
        </w:rPr>
        <w:t> </w:t>
      </w:r>
      <w:r w:rsidR="005024F3">
        <w:rPr>
          <w:rFonts w:eastAsia="Arial"/>
        </w:rPr>
        <w:t>≥</w:t>
      </w:r>
      <w:r w:rsidR="00707097">
        <w:rPr>
          <w:rFonts w:eastAsia="Arial"/>
        </w:rPr>
        <w:t> </w:t>
      </w:r>
      <w:r w:rsidR="00220FC7" w:rsidRPr="00DA0713">
        <w:rPr>
          <w:rFonts w:eastAsia="Arial"/>
          <w:i/>
          <w:iCs/>
        </w:rPr>
        <w:t>x</w:t>
      </w:r>
      <w:r w:rsidR="00220FC7" w:rsidRPr="00707097">
        <w:rPr>
          <w:rFonts w:eastAsia="Arial"/>
        </w:rPr>
        <w:t xml:space="preserve">+2, </w:t>
      </w:r>
      <w:r w:rsidR="00DA0713" w:rsidRPr="00AA4FB8">
        <w:rPr>
          <w:rFonts w:eastAsia="Arial"/>
        </w:rPr>
        <w:t xml:space="preserve">determine the reference period as the </w:t>
      </w:r>
      <w:r w:rsidR="00DA0713">
        <w:rPr>
          <w:rFonts w:eastAsia="Arial"/>
        </w:rPr>
        <w:t>five</w:t>
      </w:r>
      <w:r w:rsidR="00DA0713" w:rsidRPr="00AA4FB8">
        <w:rPr>
          <w:rFonts w:eastAsia="Arial"/>
        </w:rPr>
        <w:t xml:space="preserve">-year period covering </w:t>
      </w:r>
      <w:r w:rsidR="002025D4" w:rsidRPr="00707097">
        <w:rPr>
          <w:rFonts w:eastAsia="Arial"/>
        </w:rPr>
        <w:t>the two calendar years before</w:t>
      </w:r>
      <w:r w:rsidR="0052758C">
        <w:rPr>
          <w:rFonts w:eastAsia="Arial"/>
        </w:rPr>
        <w:t xml:space="preserve"> </w:t>
      </w:r>
      <w:r w:rsidR="0052758C" w:rsidRPr="00707097">
        <w:rPr>
          <w:rFonts w:eastAsia="Arial"/>
        </w:rPr>
        <w:t>the start of operation of the Article 6.4 activity</w:t>
      </w:r>
      <w:r w:rsidR="00CD6ADA">
        <w:rPr>
          <w:rFonts w:eastAsia="Arial"/>
        </w:rPr>
        <w:t xml:space="preserve">, </w:t>
      </w:r>
      <w:r w:rsidR="00807B69">
        <w:rPr>
          <w:rFonts w:eastAsia="Arial"/>
        </w:rPr>
        <w:t>the calendar year</w:t>
      </w:r>
      <w:r w:rsidR="00CD6ADA">
        <w:rPr>
          <w:rFonts w:eastAsia="Arial"/>
        </w:rPr>
        <w:t xml:space="preserve"> during</w:t>
      </w:r>
      <w:r w:rsidR="00807B69">
        <w:rPr>
          <w:rFonts w:eastAsia="Arial"/>
        </w:rPr>
        <w:t xml:space="preserve"> </w:t>
      </w:r>
      <w:r w:rsidR="00807B69" w:rsidRPr="00707097">
        <w:rPr>
          <w:rFonts w:eastAsia="Arial"/>
        </w:rPr>
        <w:t>start of operation of the Article 6.4 activity</w:t>
      </w:r>
      <w:r w:rsidR="00CA1FEE">
        <w:rPr>
          <w:rFonts w:eastAsia="Arial"/>
        </w:rPr>
        <w:t>,</w:t>
      </w:r>
      <w:r w:rsidR="002025D4" w:rsidRPr="00707097">
        <w:rPr>
          <w:rFonts w:eastAsia="Arial"/>
        </w:rPr>
        <w:t xml:space="preserve"> and </w:t>
      </w:r>
      <w:r w:rsidR="00807B69">
        <w:rPr>
          <w:rFonts w:eastAsia="Arial"/>
        </w:rPr>
        <w:t xml:space="preserve">the two calendar years </w:t>
      </w:r>
      <w:r w:rsidR="002025D4" w:rsidRPr="00707097">
        <w:rPr>
          <w:rFonts w:eastAsia="Arial"/>
        </w:rPr>
        <w:t>after the start of operation of the Article 6.4 activity (i.e</w:t>
      </w:r>
      <w:r w:rsidR="002025D4" w:rsidRPr="2029FBA0">
        <w:rPr>
          <w:rFonts w:eastAsia="Arial"/>
        </w:rPr>
        <w:t>.</w:t>
      </w:r>
      <w:r w:rsidR="7273E974" w:rsidRPr="2029FBA0">
        <w:rPr>
          <w:rFonts w:eastAsia="Arial"/>
        </w:rPr>
        <w:t>,</w:t>
      </w:r>
      <w:r w:rsidR="002025D4" w:rsidRPr="00707097">
        <w:rPr>
          <w:rFonts w:eastAsia="Arial"/>
        </w:rPr>
        <w:t xml:space="preserve"> </w:t>
      </w:r>
      <w:r w:rsidR="006F4FF0" w:rsidRPr="00707097">
        <w:rPr>
          <w:rFonts w:eastAsia="Arial"/>
        </w:rPr>
        <w:t xml:space="preserve">calendar years </w:t>
      </w:r>
      <w:r w:rsidR="006F4FF0" w:rsidRPr="00DA0713">
        <w:rPr>
          <w:rFonts w:eastAsia="Arial"/>
          <w:i/>
          <w:iCs/>
        </w:rPr>
        <w:t>x</w:t>
      </w:r>
      <w:r w:rsidR="006F4FF0" w:rsidRPr="00707097">
        <w:rPr>
          <w:rFonts w:eastAsia="Arial"/>
        </w:rPr>
        <w:t xml:space="preserve">-2, </w:t>
      </w:r>
      <w:r w:rsidR="006F4FF0" w:rsidRPr="00DA0713">
        <w:rPr>
          <w:rFonts w:eastAsia="Arial"/>
          <w:i/>
          <w:iCs/>
        </w:rPr>
        <w:t>x</w:t>
      </w:r>
      <w:r w:rsidR="006F4FF0" w:rsidRPr="00707097">
        <w:rPr>
          <w:rFonts w:eastAsia="Arial"/>
        </w:rPr>
        <w:t xml:space="preserve">-1, </w:t>
      </w:r>
      <w:r w:rsidR="006F4FF0" w:rsidRPr="00DA0713">
        <w:rPr>
          <w:rFonts w:eastAsia="Arial"/>
          <w:i/>
          <w:iCs/>
        </w:rPr>
        <w:t>x</w:t>
      </w:r>
      <w:r w:rsidR="006F4FF0" w:rsidRPr="00707097">
        <w:rPr>
          <w:rFonts w:eastAsia="Arial"/>
        </w:rPr>
        <w:t xml:space="preserve">, </w:t>
      </w:r>
      <w:r w:rsidR="006F4FF0" w:rsidRPr="00DA0713">
        <w:rPr>
          <w:rFonts w:eastAsia="Arial"/>
          <w:i/>
          <w:iCs/>
        </w:rPr>
        <w:t>x</w:t>
      </w:r>
      <w:r w:rsidR="006F4FF0" w:rsidRPr="00707097">
        <w:rPr>
          <w:rFonts w:eastAsia="Arial"/>
        </w:rPr>
        <w:t>+1</w:t>
      </w:r>
      <w:r w:rsidR="00CA1FEE">
        <w:rPr>
          <w:rFonts w:eastAsia="Arial"/>
        </w:rPr>
        <w:t>,</w:t>
      </w:r>
      <w:r w:rsidR="00DA0713">
        <w:rPr>
          <w:rFonts w:eastAsia="Arial"/>
        </w:rPr>
        <w:t xml:space="preserve"> and </w:t>
      </w:r>
      <w:r w:rsidR="006F4FF0" w:rsidRPr="00DA0713">
        <w:rPr>
          <w:rFonts w:eastAsia="Arial"/>
          <w:i/>
          <w:iCs/>
        </w:rPr>
        <w:t>x</w:t>
      </w:r>
      <w:r w:rsidR="006F4FF0" w:rsidRPr="00707097">
        <w:rPr>
          <w:rFonts w:eastAsia="Arial"/>
        </w:rPr>
        <w:t>+2)</w:t>
      </w:r>
      <w:r w:rsidR="00D5077E">
        <w:rPr>
          <w:rFonts w:eastAsia="Arial"/>
        </w:rPr>
        <w:t>;</w:t>
      </w:r>
      <w:r w:rsidR="00663FD0">
        <w:rPr>
          <w:rFonts w:eastAsia="Arial"/>
        </w:rPr>
        <w:t xml:space="preserve"> </w:t>
      </w:r>
      <w:r w:rsidR="00CD6ADA">
        <w:rPr>
          <w:rFonts w:eastAsia="Arial"/>
        </w:rPr>
        <w:t>or</w:t>
      </w:r>
    </w:p>
    <w:p w14:paraId="386365C0" w14:textId="79C3AEDC" w:rsidR="00E00113" w:rsidRPr="00707097" w:rsidRDefault="00707097">
      <w:pPr>
        <w:pStyle w:val="SDMSubPara2"/>
        <w:rPr>
          <w:rFonts w:eastAsia="Arial"/>
        </w:rPr>
      </w:pPr>
      <w:r w:rsidRPr="006C2154">
        <w:rPr>
          <w:rFonts w:eastAsia="Arial"/>
          <w:b/>
        </w:rPr>
        <w:t>Historical reference period</w:t>
      </w:r>
      <w:r>
        <w:rPr>
          <w:rFonts w:eastAsia="Arial"/>
        </w:rPr>
        <w:t xml:space="preserve">: </w:t>
      </w:r>
      <w:r w:rsidR="004D5EE3">
        <w:rPr>
          <w:rFonts w:eastAsia="Arial"/>
        </w:rPr>
        <w:t>w</w:t>
      </w:r>
      <w:r w:rsidR="004D5EE3" w:rsidRPr="00707097">
        <w:rPr>
          <w:rFonts w:eastAsia="Arial"/>
        </w:rPr>
        <w:t xml:space="preserve">here </w:t>
      </w:r>
      <w:r w:rsidR="00DA0713" w:rsidRPr="00DA0713">
        <w:rPr>
          <w:rFonts w:eastAsia="Arial"/>
          <w:i/>
          <w:iCs/>
        </w:rPr>
        <w:t>z</w:t>
      </w:r>
      <w:r w:rsidR="00DA0713">
        <w:rPr>
          <w:rFonts w:eastAsia="Arial"/>
        </w:rPr>
        <w:t> </w:t>
      </w:r>
      <w:r w:rsidR="00E110F6">
        <w:rPr>
          <w:rFonts w:eastAsia="Arial"/>
        </w:rPr>
        <w:t>&lt;</w:t>
      </w:r>
      <w:r w:rsidR="00DA0713">
        <w:rPr>
          <w:rFonts w:eastAsia="Arial"/>
        </w:rPr>
        <w:t> </w:t>
      </w:r>
      <w:r w:rsidR="00DA0713" w:rsidRPr="00DA0713">
        <w:rPr>
          <w:rFonts w:eastAsia="Arial"/>
          <w:i/>
          <w:iCs/>
        </w:rPr>
        <w:t>x</w:t>
      </w:r>
      <w:r w:rsidR="00DA0713" w:rsidRPr="00707097">
        <w:rPr>
          <w:rFonts w:eastAsia="Arial"/>
        </w:rPr>
        <w:t xml:space="preserve">+2, </w:t>
      </w:r>
      <w:r w:rsidR="00DA0713" w:rsidRPr="00AA4FB8">
        <w:rPr>
          <w:rFonts w:eastAsia="Arial"/>
        </w:rPr>
        <w:t xml:space="preserve">determine the reference period as </w:t>
      </w:r>
      <w:r w:rsidR="006F4FF0" w:rsidRPr="00707097">
        <w:rPr>
          <w:rFonts w:eastAsia="Arial"/>
        </w:rPr>
        <w:t xml:space="preserve">the </w:t>
      </w:r>
      <w:r w:rsidR="00CA1FEE">
        <w:rPr>
          <w:rFonts w:eastAsia="Arial"/>
        </w:rPr>
        <w:t>most recent</w:t>
      </w:r>
      <w:r w:rsidR="00CA1FEE" w:rsidRPr="00707097">
        <w:rPr>
          <w:rFonts w:eastAsia="Arial"/>
        </w:rPr>
        <w:t xml:space="preserve"> </w:t>
      </w:r>
      <w:r w:rsidR="006F4FF0" w:rsidRPr="00707097">
        <w:rPr>
          <w:rFonts w:eastAsia="Arial"/>
        </w:rPr>
        <w:t xml:space="preserve">five-year period for which data </w:t>
      </w:r>
      <w:r w:rsidR="00CA1FEE">
        <w:rPr>
          <w:rFonts w:eastAsia="Arial"/>
        </w:rPr>
        <w:t>are</w:t>
      </w:r>
      <w:r w:rsidR="00CA1FEE" w:rsidRPr="00707097">
        <w:rPr>
          <w:rFonts w:eastAsia="Arial"/>
        </w:rPr>
        <w:t xml:space="preserve"> </w:t>
      </w:r>
      <w:r w:rsidR="006F4FF0" w:rsidRPr="00707097">
        <w:rPr>
          <w:rFonts w:eastAsia="Arial"/>
        </w:rPr>
        <w:t>available (i.e</w:t>
      </w:r>
      <w:r w:rsidR="006F4FF0" w:rsidRPr="2029FBA0">
        <w:rPr>
          <w:rFonts w:eastAsia="Arial"/>
        </w:rPr>
        <w:t>.</w:t>
      </w:r>
      <w:r w:rsidR="6553C5E8" w:rsidRPr="2029FBA0">
        <w:rPr>
          <w:rFonts w:eastAsia="Arial"/>
        </w:rPr>
        <w:t>,</w:t>
      </w:r>
      <w:r w:rsidR="006F4FF0" w:rsidRPr="00707097">
        <w:rPr>
          <w:rFonts w:eastAsia="Arial"/>
        </w:rPr>
        <w:t xml:space="preserve"> </w:t>
      </w:r>
      <w:r w:rsidR="006F4FF0" w:rsidRPr="00707097" w:rsidDel="00CA1FEE">
        <w:rPr>
          <w:rFonts w:eastAsia="Arial"/>
        </w:rPr>
        <w:t xml:space="preserve">the </w:t>
      </w:r>
      <w:r w:rsidR="006F4FF0" w:rsidRPr="00707097">
        <w:rPr>
          <w:rFonts w:eastAsia="Arial"/>
        </w:rPr>
        <w:t xml:space="preserve">calendar years </w:t>
      </w:r>
      <w:r w:rsidR="000F5AE4" w:rsidRPr="00E110F6">
        <w:rPr>
          <w:rFonts w:eastAsia="Arial"/>
          <w:i/>
          <w:iCs/>
        </w:rPr>
        <w:t>z</w:t>
      </w:r>
      <w:r w:rsidR="000F5AE4" w:rsidRPr="00707097">
        <w:rPr>
          <w:rFonts w:eastAsia="Arial"/>
        </w:rPr>
        <w:t xml:space="preserve">-4, </w:t>
      </w:r>
      <w:r w:rsidR="000F5AE4" w:rsidRPr="00E110F6">
        <w:rPr>
          <w:rFonts w:eastAsia="Arial"/>
          <w:i/>
          <w:iCs/>
        </w:rPr>
        <w:t>z</w:t>
      </w:r>
      <w:r w:rsidR="000F5AE4" w:rsidRPr="00707097">
        <w:rPr>
          <w:rFonts w:eastAsia="Arial"/>
        </w:rPr>
        <w:t xml:space="preserve">-3, </w:t>
      </w:r>
      <w:r w:rsidR="006F4FF0" w:rsidRPr="00E110F6">
        <w:rPr>
          <w:rFonts w:eastAsia="Arial"/>
          <w:i/>
          <w:iCs/>
        </w:rPr>
        <w:t>z</w:t>
      </w:r>
      <w:r w:rsidR="006F4FF0" w:rsidRPr="00707097">
        <w:rPr>
          <w:rFonts w:eastAsia="Arial"/>
        </w:rPr>
        <w:t xml:space="preserve">-2, </w:t>
      </w:r>
      <w:r w:rsidR="006F4FF0" w:rsidRPr="00E110F6">
        <w:rPr>
          <w:rFonts w:eastAsia="Arial"/>
          <w:i/>
          <w:iCs/>
        </w:rPr>
        <w:t>z</w:t>
      </w:r>
      <w:r w:rsidR="006F4FF0" w:rsidRPr="00707097">
        <w:rPr>
          <w:rFonts w:eastAsia="Arial"/>
        </w:rPr>
        <w:t>-1</w:t>
      </w:r>
      <w:r w:rsidR="00CA1FEE">
        <w:rPr>
          <w:rFonts w:eastAsia="Arial"/>
        </w:rPr>
        <w:t>,</w:t>
      </w:r>
      <w:r w:rsidR="006F4FF0" w:rsidRPr="00707097">
        <w:rPr>
          <w:rFonts w:eastAsia="Arial"/>
        </w:rPr>
        <w:t xml:space="preserve"> and </w:t>
      </w:r>
      <w:r w:rsidR="006F4FF0" w:rsidRPr="00E110F6">
        <w:rPr>
          <w:rFonts w:eastAsia="Arial"/>
          <w:i/>
          <w:iCs/>
        </w:rPr>
        <w:t>z</w:t>
      </w:r>
      <w:r w:rsidR="006F4FF0" w:rsidRPr="00707097">
        <w:rPr>
          <w:rFonts w:eastAsia="Arial"/>
        </w:rPr>
        <w:t>).</w:t>
      </w:r>
    </w:p>
    <w:p w14:paraId="58434F77" w14:textId="358D2916" w:rsidR="00B33851" w:rsidRPr="0038644B" w:rsidRDefault="00035748" w:rsidP="00C72647">
      <w:pPr>
        <w:pStyle w:val="SDMPara"/>
        <w:keepNext/>
      </w:pPr>
      <w:r>
        <w:t>Activity participants shall determine t</w:t>
      </w:r>
      <w:r w:rsidR="00B33851" w:rsidRPr="0038644B">
        <w:t xml:space="preserve">he </w:t>
      </w:r>
      <w:r>
        <w:t>BM</w:t>
      </w:r>
      <w:r w:rsidR="00B33851" w:rsidRPr="0038644B">
        <w:t xml:space="preserve"> emission factor </w:t>
      </w:r>
      <w:r>
        <w:t>as</w:t>
      </w:r>
      <w:r w:rsidRPr="0038644B">
        <w:t xml:space="preserve"> </w:t>
      </w:r>
      <w:r w:rsidR="00B33851" w:rsidRPr="0038644B">
        <w:t>the generation-weighted average emission factor (t </w:t>
      </w:r>
      <w:r w:rsidR="00B33851">
        <w:t>CO</w:t>
      </w:r>
      <w:r w:rsidR="00B33851" w:rsidRPr="00FE67D5">
        <w:rPr>
          <w:vertAlign w:val="subscript"/>
        </w:rPr>
        <w:t>2</w:t>
      </w:r>
      <w:r w:rsidR="00B33851" w:rsidRPr="0038644B">
        <w:t>/MWh) of all power units</w:t>
      </w:r>
      <w:r w:rsidR="009C0775">
        <w:t> </w:t>
      </w:r>
      <w:r w:rsidR="002175A8">
        <w:rPr>
          <w:i/>
        </w:rPr>
        <w:t>p</w:t>
      </w:r>
      <w:r w:rsidR="00B33851" w:rsidRPr="0038644B">
        <w:t xml:space="preserve"> during the </w:t>
      </w:r>
      <w:r>
        <w:t>period</w:t>
      </w:r>
      <w:r w:rsidR="00B33851" w:rsidRPr="0077016A">
        <w:t> </w:t>
      </w:r>
      <w:r w:rsidRPr="00EB74AF">
        <w:rPr>
          <w:i/>
          <w:iCs/>
        </w:rPr>
        <w:t>t</w:t>
      </w:r>
      <w:r w:rsidR="00B33851" w:rsidRPr="0038644B">
        <w:t>, calculated as follows:</w:t>
      </w:r>
    </w:p>
    <w:p w14:paraId="294C6478" w14:textId="4A524CA2" w:rsidR="00E92E8F" w:rsidRPr="00242E95" w:rsidRDefault="00E92E8F" w:rsidP="00C72647">
      <w:pPr>
        <w:pStyle w:val="SDMSubPara1"/>
        <w:keepNext/>
        <w:rPr>
          <w:rFonts w:eastAsia="Arial"/>
        </w:rPr>
      </w:pPr>
      <w:r w:rsidRPr="00135EA4">
        <w:rPr>
          <w:rFonts w:eastAsia="Arial"/>
          <w:b/>
          <w:bCs/>
        </w:rPr>
        <w:t>For a concurrent reference period</w:t>
      </w:r>
      <w:r w:rsidRPr="00242E95">
        <w:rPr>
          <w:rFonts w:eastAsia="Arial"/>
        </w:rPr>
        <w:t>:</w:t>
      </w:r>
    </w:p>
    <w:tbl>
      <w:tblPr>
        <w:tblStyle w:val="SDMMethTableEquation"/>
        <w:tblW w:w="8046" w:type="dxa"/>
        <w:tblInd w:w="1310" w:type="dxa"/>
        <w:tblLook w:val="0600" w:firstRow="0" w:lastRow="0" w:firstColumn="0" w:lastColumn="0" w:noHBand="1" w:noVBand="1"/>
      </w:tblPr>
      <w:tblGrid>
        <w:gridCol w:w="6203"/>
        <w:gridCol w:w="1843"/>
      </w:tblGrid>
      <w:tr w:rsidR="00B33851" w:rsidRPr="0038644B" w14:paraId="67A93C83" w14:textId="77777777" w:rsidTr="00FE4A06">
        <w:tc>
          <w:tcPr>
            <w:tcW w:w="6203" w:type="dxa"/>
          </w:tcPr>
          <w:bookmarkStart w:id="519" w:name="_Hlk216277955"/>
          <w:p w14:paraId="72B71A12" w14:textId="2DEA7EF9" w:rsidR="00B33851" w:rsidRPr="00204D05" w:rsidRDefault="00000000" w:rsidP="0045644E">
            <w:pPr>
              <w:pStyle w:val="SDMMethEquation"/>
            </w:pPr>
            <m:oMathPara>
              <m:oMathParaPr>
                <m:jc m:val="left"/>
              </m:oMathParaPr>
              <m:oMath>
                <m:sSub>
                  <m:sSubPr>
                    <m:ctrlPr>
                      <w:rPr>
                        <w:rFonts w:ascii="Cambria Math" w:hAnsi="Cambria Math"/>
                        <w:i/>
                      </w:rPr>
                    </m:ctrlPr>
                  </m:sSubPr>
                  <m:e>
                    <m:r>
                      <w:rPr>
                        <w:rFonts w:ascii="Cambria Math" w:hAnsi="Cambria Math"/>
                      </w:rPr>
                      <m:t>EF</m:t>
                    </m:r>
                  </m:e>
                  <m:sub>
                    <m:r>
                      <w:rPr>
                        <w:rFonts w:ascii="Cambria Math" w:hAnsi="Cambria Math"/>
                      </w:rPr>
                      <m:t>BM,y</m:t>
                    </m:r>
                  </m:sub>
                </m:sSub>
                <m:r>
                  <w:rPr>
                    <w:rFonts w:ascii="Cambria Math" w:hAnsi="Cambria Math"/>
                  </w:rPr>
                  <m:t>=</m:t>
                </m:r>
                <m:f>
                  <m:fPr>
                    <m:ctrlPr>
                      <w:rPr>
                        <w:rFonts w:ascii="Cambria Math" w:hAnsi="Cambria Math"/>
                        <w:i/>
                      </w:rPr>
                    </m:ctrlPr>
                  </m:fPr>
                  <m:num>
                    <m:nary>
                      <m:naryPr>
                        <m:chr m:val="∑"/>
                        <m:limLoc m:val="undOvr"/>
                        <m:supHide m:val="1"/>
                        <m:ctrlPr>
                          <w:rPr>
                            <w:rFonts w:ascii="Cambria Math" w:hAnsi="Cambria Math"/>
                            <w:i/>
                          </w:rPr>
                        </m:ctrlPr>
                      </m:naryPr>
                      <m:sub>
                        <m:r>
                          <w:rPr>
                            <w:rFonts w:ascii="Cambria Math" w:hAnsi="Cambria Math"/>
                          </w:rPr>
                          <m:t>p</m:t>
                        </m:r>
                      </m:sub>
                      <m:sup/>
                      <m:e>
                        <m:sSub>
                          <m:sSubPr>
                            <m:ctrlPr>
                              <w:rPr>
                                <w:rFonts w:ascii="Cambria Math" w:hAnsi="Cambria Math"/>
                                <w:i/>
                              </w:rPr>
                            </m:ctrlPr>
                          </m:sSubPr>
                          <m:e>
                            <m:r>
                              <w:rPr>
                                <w:rFonts w:ascii="Cambria Math" w:hAnsi="Cambria Math"/>
                              </w:rPr>
                              <m:t>EG</m:t>
                            </m:r>
                          </m:e>
                          <m:sub>
                            <m:r>
                              <w:rPr>
                                <w:rFonts w:ascii="Cambria Math" w:hAnsi="Cambria Math"/>
                              </w:rPr>
                              <m:t>p,t</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EL,p,t</m:t>
                            </m:r>
                          </m:sub>
                        </m:sSub>
                      </m:e>
                    </m:nary>
                  </m:num>
                  <m:den>
                    <m:nary>
                      <m:naryPr>
                        <m:chr m:val="∑"/>
                        <m:limLoc m:val="undOvr"/>
                        <m:supHide m:val="1"/>
                        <m:ctrlPr>
                          <w:rPr>
                            <w:rFonts w:ascii="Cambria Math" w:hAnsi="Cambria Math"/>
                            <w:i/>
                          </w:rPr>
                        </m:ctrlPr>
                      </m:naryPr>
                      <m:sub>
                        <m:r>
                          <w:rPr>
                            <w:rFonts w:ascii="Cambria Math" w:hAnsi="Cambria Math"/>
                          </w:rPr>
                          <m:t>p</m:t>
                        </m:r>
                      </m:sub>
                      <m:sup/>
                      <m:e>
                        <m:sSub>
                          <m:sSubPr>
                            <m:ctrlPr>
                              <w:rPr>
                                <w:rFonts w:ascii="Cambria Math" w:hAnsi="Cambria Math"/>
                                <w:i/>
                              </w:rPr>
                            </m:ctrlPr>
                          </m:sSubPr>
                          <m:e>
                            <m:r>
                              <w:rPr>
                                <w:rFonts w:ascii="Cambria Math" w:hAnsi="Cambria Math"/>
                              </w:rPr>
                              <m:t>EG</m:t>
                            </m:r>
                          </m:e>
                          <m:sub>
                            <m:r>
                              <w:rPr>
                                <w:rFonts w:ascii="Cambria Math" w:hAnsi="Cambria Math"/>
                              </w:rPr>
                              <m:t>p,t</m:t>
                            </m:r>
                          </m:sub>
                        </m:sSub>
                      </m:e>
                    </m:nary>
                  </m:den>
                </m:f>
              </m:oMath>
            </m:oMathPara>
          </w:p>
        </w:tc>
        <w:tc>
          <w:tcPr>
            <w:tcW w:w="1843" w:type="dxa"/>
          </w:tcPr>
          <w:p w14:paraId="75701381" w14:textId="77777777" w:rsidR="00B33851" w:rsidRPr="0038644B" w:rsidRDefault="00B33851">
            <w:pPr>
              <w:pStyle w:val="SDMMethEquationNr"/>
              <w:numPr>
                <w:ilvl w:val="0"/>
                <w:numId w:val="6"/>
              </w:numPr>
            </w:pPr>
          </w:p>
        </w:tc>
      </w:tr>
    </w:tbl>
    <w:bookmarkEnd w:id="519"/>
    <w:p w14:paraId="62836925" w14:textId="767D7BBD" w:rsidR="0019487A" w:rsidRDefault="0019487A" w:rsidP="00C72647">
      <w:pPr>
        <w:pStyle w:val="SDMSubPara1"/>
        <w:keepNext/>
        <w:rPr>
          <w:rFonts w:eastAsia="Arial"/>
        </w:rPr>
      </w:pPr>
      <w:r w:rsidRPr="00135EA4">
        <w:rPr>
          <w:rFonts w:eastAsia="Arial"/>
          <w:b/>
          <w:bCs/>
        </w:rPr>
        <w:t>For a historical reference period</w:t>
      </w:r>
      <w:r w:rsidRPr="00242E95">
        <w:rPr>
          <w:rFonts w:eastAsia="Arial"/>
        </w:rPr>
        <w:t>:</w:t>
      </w:r>
    </w:p>
    <w:tbl>
      <w:tblPr>
        <w:tblStyle w:val="SDMMethTableEquation"/>
        <w:tblW w:w="8046" w:type="dxa"/>
        <w:tblInd w:w="1310" w:type="dxa"/>
        <w:tblLook w:val="0600" w:firstRow="0" w:lastRow="0" w:firstColumn="0" w:lastColumn="0" w:noHBand="1" w:noVBand="1"/>
      </w:tblPr>
      <w:tblGrid>
        <w:gridCol w:w="6203"/>
        <w:gridCol w:w="1843"/>
      </w:tblGrid>
      <w:tr w:rsidR="009C0775" w:rsidRPr="0038644B" w14:paraId="44D80AB9" w14:textId="77777777" w:rsidTr="009A00FD">
        <w:tc>
          <w:tcPr>
            <w:tcW w:w="6203" w:type="dxa"/>
          </w:tcPr>
          <w:p w14:paraId="7D264407" w14:textId="07CE0AB0" w:rsidR="009C0775" w:rsidRPr="0045644E" w:rsidRDefault="00000000" w:rsidP="000151E6">
            <w:pPr>
              <w:pStyle w:val="SDMMethEquation"/>
              <w:jc w:val="left"/>
            </w:pPr>
            <m:oMathPara>
              <m:oMathParaPr>
                <m:jc m:val="left"/>
              </m:oMathParaPr>
              <m:oMath>
                <m:sSub>
                  <m:sSubPr>
                    <m:ctrlPr>
                      <w:rPr>
                        <w:rFonts w:ascii="Cambria Math" w:hAnsi="Cambria Math"/>
                        <w:i/>
                      </w:rPr>
                    </m:ctrlPr>
                  </m:sSubPr>
                  <m:e>
                    <m:r>
                      <w:rPr>
                        <w:rFonts w:ascii="Cambria Math" w:hAnsi="Cambria Math"/>
                      </w:rPr>
                      <m:t>EF</m:t>
                    </m:r>
                  </m:e>
                  <m:sub>
                    <m:r>
                      <w:rPr>
                        <w:rFonts w:ascii="Cambria Math" w:hAnsi="Cambria Math"/>
                      </w:rPr>
                      <m:t>BM,y</m:t>
                    </m:r>
                  </m:sub>
                </m:sSub>
                <m:r>
                  <w:rPr>
                    <w:rFonts w:ascii="Cambria Math" w:hAnsi="Cambria Math"/>
                  </w:rPr>
                  <m:t>=</m:t>
                </m:r>
                <m:f>
                  <m:fPr>
                    <m:ctrlPr>
                      <w:rPr>
                        <w:rFonts w:ascii="Cambria Math" w:hAnsi="Cambria Math"/>
                        <w:i/>
                      </w:rPr>
                    </m:ctrlPr>
                  </m:fPr>
                  <m:num>
                    <m:nary>
                      <m:naryPr>
                        <m:chr m:val="∑"/>
                        <m:limLoc m:val="undOvr"/>
                        <m:supHide m:val="1"/>
                        <m:ctrlPr>
                          <w:rPr>
                            <w:rFonts w:ascii="Cambria Math" w:hAnsi="Cambria Math"/>
                            <w:i/>
                          </w:rPr>
                        </m:ctrlPr>
                      </m:naryPr>
                      <m:sub>
                        <m:r>
                          <w:rPr>
                            <w:rFonts w:ascii="Cambria Math" w:hAnsi="Cambria Math"/>
                          </w:rPr>
                          <m:t>p</m:t>
                        </m:r>
                      </m:sub>
                      <m:sup/>
                      <m:e>
                        <m:sSub>
                          <m:sSubPr>
                            <m:ctrlPr>
                              <w:rPr>
                                <w:rFonts w:ascii="Cambria Math" w:hAnsi="Cambria Math"/>
                                <w:i/>
                              </w:rPr>
                            </m:ctrlPr>
                          </m:sSubPr>
                          <m:e>
                            <m:r>
                              <w:rPr>
                                <w:rFonts w:ascii="Cambria Math" w:hAnsi="Cambria Math"/>
                              </w:rPr>
                              <m:t>EG</m:t>
                            </m:r>
                          </m:e>
                          <m:sub>
                            <m:r>
                              <w:rPr>
                                <w:rFonts w:ascii="Cambria Math" w:hAnsi="Cambria Math"/>
                              </w:rPr>
                              <m:t>p,t</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EL,p,t</m:t>
                            </m:r>
                          </m:sub>
                        </m:sSub>
                      </m:e>
                    </m:nary>
                  </m:num>
                  <m:den>
                    <m:nary>
                      <m:naryPr>
                        <m:chr m:val="∑"/>
                        <m:limLoc m:val="undOvr"/>
                        <m:supHide m:val="1"/>
                        <m:ctrlPr>
                          <w:rPr>
                            <w:rFonts w:ascii="Cambria Math" w:hAnsi="Cambria Math"/>
                            <w:i/>
                          </w:rPr>
                        </m:ctrlPr>
                      </m:naryPr>
                      <m:sub>
                        <m:r>
                          <w:rPr>
                            <w:rFonts w:ascii="Cambria Math" w:hAnsi="Cambria Math"/>
                          </w:rPr>
                          <m:t>p</m:t>
                        </m:r>
                      </m:sub>
                      <m:sup/>
                      <m:e>
                        <m:sSub>
                          <m:sSubPr>
                            <m:ctrlPr>
                              <w:rPr>
                                <w:rFonts w:ascii="Cambria Math" w:hAnsi="Cambria Math"/>
                                <w:i/>
                              </w:rPr>
                            </m:ctrlPr>
                          </m:sSubPr>
                          <m:e>
                            <m:r>
                              <w:rPr>
                                <w:rFonts w:ascii="Cambria Math" w:hAnsi="Cambria Math"/>
                              </w:rPr>
                              <m:t>EG</m:t>
                            </m:r>
                          </m:e>
                          <m:sub>
                            <m:r>
                              <w:rPr>
                                <w:rFonts w:ascii="Cambria Math" w:hAnsi="Cambria Math"/>
                              </w:rPr>
                              <m:t>p,t</m:t>
                            </m:r>
                          </m:sub>
                        </m:sSub>
                      </m:e>
                    </m:nary>
                  </m:den>
                </m:f>
                <m:r>
                  <w:rPr>
                    <w:rFonts w:ascii="Cambria Math" w:hAnsi="Cambria Math"/>
                  </w:rPr>
                  <m:t>×</m:t>
                </m:r>
                <m:d>
                  <m:dPr>
                    <m:begChr m:val="["/>
                    <m:endChr m:val="]"/>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F</m:t>
                        </m:r>
                      </m:e>
                      <m:sub>
                        <m:r>
                          <w:rPr>
                            <w:rFonts w:ascii="Cambria Math" w:hAnsi="Cambria Math"/>
                          </w:rPr>
                          <m:t xml:space="preserve">BM </m:t>
                        </m:r>
                      </m:sub>
                    </m:sSub>
                    <m:r>
                      <w:rPr>
                        <w:rFonts w:ascii="Cambria Math" w:hAnsi="Cambria Math"/>
                      </w:rPr>
                      <m:t>×</m:t>
                    </m:r>
                    <m:d>
                      <m:dPr>
                        <m:ctrlPr>
                          <w:rPr>
                            <w:rFonts w:ascii="Cambria Math" w:hAnsi="Cambria Math"/>
                            <w:i/>
                          </w:rPr>
                        </m:ctrlPr>
                      </m:dPr>
                      <m:e>
                        <m:r>
                          <w:rPr>
                            <w:rFonts w:ascii="Cambria Math" w:hAnsi="Cambria Math"/>
                          </w:rPr>
                          <m:t>x-r</m:t>
                        </m:r>
                      </m:e>
                    </m:d>
                  </m:e>
                </m:d>
              </m:oMath>
            </m:oMathPara>
          </w:p>
        </w:tc>
        <w:tc>
          <w:tcPr>
            <w:tcW w:w="1843" w:type="dxa"/>
          </w:tcPr>
          <w:p w14:paraId="400CC46B" w14:textId="77777777" w:rsidR="009C0775" w:rsidRPr="0038644B" w:rsidRDefault="009C0775">
            <w:pPr>
              <w:pStyle w:val="SDMMethEquationNr"/>
              <w:numPr>
                <w:ilvl w:val="0"/>
                <w:numId w:val="6"/>
              </w:numPr>
            </w:pPr>
          </w:p>
        </w:tc>
      </w:tr>
    </w:tbl>
    <w:p w14:paraId="637BFB0A" w14:textId="77777777" w:rsidR="00B33851" w:rsidRPr="0038644B" w:rsidRDefault="00B33851" w:rsidP="00C72647">
      <w:pPr>
        <w:pStyle w:val="SDMMethCaptionEquationParametersTable"/>
      </w:pPr>
      <w:r w:rsidRPr="0038644B">
        <w:t>Where:</w:t>
      </w:r>
    </w:p>
    <w:tbl>
      <w:tblPr>
        <w:tblStyle w:val="SDMMethTableEquationParameters"/>
        <w:tblW w:w="8046" w:type="dxa"/>
        <w:tblInd w:w="601" w:type="dxa"/>
        <w:tblLook w:val="04A0" w:firstRow="1" w:lastRow="0" w:firstColumn="1" w:lastColumn="0" w:noHBand="0" w:noVBand="1"/>
      </w:tblPr>
      <w:tblGrid>
        <w:gridCol w:w="1701"/>
        <w:gridCol w:w="345"/>
        <w:gridCol w:w="6000"/>
      </w:tblGrid>
      <w:tr w:rsidR="00B33851" w:rsidRPr="007967A9" w14:paraId="134E277F" w14:textId="77777777" w:rsidTr="007967A9">
        <w:tc>
          <w:tcPr>
            <w:tcW w:w="1701" w:type="dxa"/>
            <w:vAlign w:val="top"/>
          </w:tcPr>
          <w:p w14:paraId="265A8BFF" w14:textId="570832D0" w:rsidR="00B33851" w:rsidRPr="007967A9" w:rsidRDefault="00000000" w:rsidP="007967A9">
            <w:pPr>
              <w:pStyle w:val="SDMTableBoxParaNotNumbered"/>
              <w:rPr>
                <w:rFonts w:cs="Arial"/>
                <w:i/>
              </w:rPr>
            </w:pPr>
            <m:oMathPara>
              <m:oMathParaPr>
                <m:jc m:val="left"/>
              </m:oMathParaPr>
              <m:oMath>
                <m:sSub>
                  <m:sSubPr>
                    <m:ctrlPr>
                      <w:rPr>
                        <w:rFonts w:ascii="Cambria Math" w:hAnsi="Cambria Math" w:cs="Arial"/>
                        <w:i/>
                      </w:rPr>
                    </m:ctrlPr>
                  </m:sSubPr>
                  <m:e>
                    <m:r>
                      <w:rPr>
                        <w:rFonts w:ascii="Cambria Math" w:hAnsi="Cambria Math" w:cs="Arial"/>
                      </w:rPr>
                      <m:t>EF</m:t>
                    </m:r>
                  </m:e>
                  <m:sub>
                    <m:r>
                      <w:rPr>
                        <w:rFonts w:ascii="Cambria Math" w:hAnsi="Cambria Math" w:cs="Arial"/>
                      </w:rPr>
                      <m:t>BM,y</m:t>
                    </m:r>
                  </m:sub>
                </m:sSub>
              </m:oMath>
            </m:oMathPara>
          </w:p>
        </w:tc>
        <w:tc>
          <w:tcPr>
            <w:tcW w:w="345" w:type="dxa"/>
            <w:vAlign w:val="top"/>
          </w:tcPr>
          <w:p w14:paraId="7AB9758C" w14:textId="77777777" w:rsidR="00B33851" w:rsidRPr="007967A9" w:rsidRDefault="00B33851" w:rsidP="007967A9">
            <w:pPr>
              <w:pStyle w:val="SDMTableBoxParaNotNumbered"/>
              <w:rPr>
                <w:rFonts w:cs="Arial"/>
              </w:rPr>
            </w:pPr>
            <w:r w:rsidRPr="007967A9">
              <w:rPr>
                <w:rFonts w:cs="Arial"/>
              </w:rPr>
              <w:t>=</w:t>
            </w:r>
          </w:p>
        </w:tc>
        <w:tc>
          <w:tcPr>
            <w:tcW w:w="6000" w:type="dxa"/>
            <w:vAlign w:val="top"/>
          </w:tcPr>
          <w:p w14:paraId="37DF79BD" w14:textId="5C71120E" w:rsidR="00B33851" w:rsidRPr="007967A9" w:rsidRDefault="00F3088B" w:rsidP="007967A9">
            <w:pPr>
              <w:pStyle w:val="SDMTableBoxParaNotNumbered"/>
              <w:rPr>
                <w:rFonts w:cs="Arial"/>
              </w:rPr>
            </w:pPr>
            <w:r w:rsidRPr="007967A9">
              <w:rPr>
                <w:rFonts w:cs="Arial"/>
              </w:rPr>
              <w:t>BM</w:t>
            </w:r>
            <w:r w:rsidR="00B33851" w:rsidRPr="007967A9">
              <w:rPr>
                <w:rFonts w:cs="Arial"/>
              </w:rPr>
              <w:t xml:space="preserve"> </w:t>
            </w:r>
            <w:r w:rsidR="37DC108B" w:rsidRPr="007967A9">
              <w:rPr>
                <w:rFonts w:cs="Arial"/>
              </w:rPr>
              <w:t>CO</w:t>
            </w:r>
            <w:r w:rsidR="37DC108B" w:rsidRPr="007967A9">
              <w:rPr>
                <w:rFonts w:cs="Arial"/>
                <w:vertAlign w:val="subscript"/>
              </w:rPr>
              <w:t>2</w:t>
            </w:r>
            <w:r w:rsidR="37DC108B" w:rsidRPr="007967A9">
              <w:rPr>
                <w:rFonts w:cs="Arial"/>
              </w:rPr>
              <w:t xml:space="preserve"> </w:t>
            </w:r>
            <w:r w:rsidR="00B33851" w:rsidRPr="007967A9">
              <w:rPr>
                <w:rFonts w:cs="Arial"/>
              </w:rPr>
              <w:t>emission factor in year </w:t>
            </w:r>
            <w:r w:rsidR="00341743" w:rsidRPr="007967A9">
              <w:rPr>
                <w:rFonts w:cs="Arial"/>
                <w:i/>
                <w:iCs/>
              </w:rPr>
              <w:t>y</w:t>
            </w:r>
            <w:r w:rsidR="00B33851" w:rsidRPr="007967A9">
              <w:rPr>
                <w:rFonts w:cs="Arial"/>
                <w:i/>
              </w:rPr>
              <w:t xml:space="preserve"> </w:t>
            </w:r>
            <w:r w:rsidR="00B33851" w:rsidRPr="007967A9">
              <w:rPr>
                <w:rFonts w:cs="Arial"/>
              </w:rPr>
              <w:t>(t</w:t>
            </w:r>
            <w:r w:rsidR="00303E0B" w:rsidRPr="007967A9">
              <w:rPr>
                <w:rFonts w:cs="Arial"/>
              </w:rPr>
              <w:t> </w:t>
            </w:r>
            <w:r w:rsidR="00B33851" w:rsidRPr="007967A9">
              <w:rPr>
                <w:rFonts w:cs="Arial"/>
              </w:rPr>
              <w:t>CO</w:t>
            </w:r>
            <w:r w:rsidR="00B33851" w:rsidRPr="007967A9">
              <w:rPr>
                <w:rFonts w:cs="Arial"/>
                <w:vertAlign w:val="subscript"/>
              </w:rPr>
              <w:t>2</w:t>
            </w:r>
            <w:r w:rsidR="00B33851" w:rsidRPr="007967A9">
              <w:rPr>
                <w:rFonts w:cs="Arial"/>
              </w:rPr>
              <w:t>/MWh)</w:t>
            </w:r>
          </w:p>
        </w:tc>
      </w:tr>
      <w:tr w:rsidR="00B33851" w:rsidRPr="007967A9" w14:paraId="54DB75B7" w14:textId="77777777" w:rsidTr="007967A9">
        <w:tc>
          <w:tcPr>
            <w:tcW w:w="1701" w:type="dxa"/>
            <w:vAlign w:val="top"/>
          </w:tcPr>
          <w:p w14:paraId="384DF2D4" w14:textId="010F00B1" w:rsidR="00B33851" w:rsidRPr="007967A9" w:rsidRDefault="00000000" w:rsidP="007967A9">
            <w:pPr>
              <w:pStyle w:val="SDMTableBoxParaNotNumbered"/>
              <w:rPr>
                <w:rFonts w:cs="Arial"/>
                <w:i/>
              </w:rPr>
            </w:pPr>
            <m:oMathPara>
              <m:oMathParaPr>
                <m:jc m:val="left"/>
              </m:oMathParaPr>
              <m:oMath>
                <m:sSub>
                  <m:sSubPr>
                    <m:ctrlPr>
                      <w:rPr>
                        <w:rFonts w:ascii="Cambria Math" w:hAnsi="Cambria Math" w:cs="Arial"/>
                        <w:i/>
                      </w:rPr>
                    </m:ctrlPr>
                  </m:sSubPr>
                  <m:e>
                    <m:r>
                      <w:rPr>
                        <w:rFonts w:ascii="Cambria Math" w:hAnsi="Cambria Math" w:cs="Arial"/>
                      </w:rPr>
                      <m:t>EG</m:t>
                    </m:r>
                  </m:e>
                  <m:sub>
                    <m:r>
                      <w:rPr>
                        <w:rFonts w:ascii="Cambria Math" w:hAnsi="Cambria Math" w:cs="Arial"/>
                      </w:rPr>
                      <m:t>p,t</m:t>
                    </m:r>
                  </m:sub>
                </m:sSub>
              </m:oMath>
            </m:oMathPara>
          </w:p>
        </w:tc>
        <w:tc>
          <w:tcPr>
            <w:tcW w:w="345" w:type="dxa"/>
            <w:vAlign w:val="top"/>
          </w:tcPr>
          <w:p w14:paraId="216971A1" w14:textId="77777777" w:rsidR="00B33851" w:rsidRPr="007967A9" w:rsidRDefault="00B33851" w:rsidP="007967A9">
            <w:pPr>
              <w:pStyle w:val="SDMTableBoxParaNotNumbered"/>
              <w:rPr>
                <w:rFonts w:cs="Arial"/>
              </w:rPr>
            </w:pPr>
            <w:r w:rsidRPr="007967A9">
              <w:rPr>
                <w:rFonts w:cs="Arial"/>
              </w:rPr>
              <w:t>=</w:t>
            </w:r>
          </w:p>
        </w:tc>
        <w:tc>
          <w:tcPr>
            <w:tcW w:w="6000" w:type="dxa"/>
            <w:vAlign w:val="top"/>
          </w:tcPr>
          <w:p w14:paraId="6538F352" w14:textId="77777777" w:rsidR="00B33851" w:rsidRPr="007967A9" w:rsidRDefault="00B33851" w:rsidP="007967A9">
            <w:pPr>
              <w:pStyle w:val="SDMTableBoxParaNotNumbered"/>
              <w:rPr>
                <w:rFonts w:cs="Arial"/>
              </w:rPr>
            </w:pPr>
            <w:r w:rsidRPr="007967A9">
              <w:rPr>
                <w:rFonts w:cs="Arial"/>
              </w:rPr>
              <w:t xml:space="preserve">Net quantity of electricity generated and delivered to the </w:t>
            </w:r>
            <w:r w:rsidR="009F2591" w:rsidRPr="007967A9">
              <w:rPr>
                <w:rFonts w:cs="Arial"/>
              </w:rPr>
              <w:t xml:space="preserve">electricity system </w:t>
            </w:r>
            <w:r w:rsidRPr="007967A9">
              <w:rPr>
                <w:rFonts w:cs="Arial"/>
              </w:rPr>
              <w:t>by power unit</w:t>
            </w:r>
            <w:r w:rsidR="00B7378F" w:rsidRPr="007967A9">
              <w:rPr>
                <w:rFonts w:cs="Arial"/>
              </w:rPr>
              <w:t> </w:t>
            </w:r>
            <w:r w:rsidR="007510C1" w:rsidRPr="007967A9">
              <w:rPr>
                <w:rFonts w:cs="Arial"/>
                <w:i/>
              </w:rPr>
              <w:t>p</w:t>
            </w:r>
            <w:r w:rsidRPr="007967A9">
              <w:rPr>
                <w:rFonts w:cs="Arial"/>
                <w:i/>
              </w:rPr>
              <w:t xml:space="preserve"> </w:t>
            </w:r>
            <w:r w:rsidRPr="007967A9">
              <w:rPr>
                <w:rFonts w:cs="Arial"/>
              </w:rPr>
              <w:t xml:space="preserve">in </w:t>
            </w:r>
            <w:r w:rsidR="00341743" w:rsidRPr="007967A9">
              <w:rPr>
                <w:rFonts w:cs="Arial"/>
              </w:rPr>
              <w:t>period </w:t>
            </w:r>
            <w:r w:rsidR="00341743" w:rsidRPr="007967A9">
              <w:rPr>
                <w:rFonts w:cs="Arial"/>
                <w:i/>
                <w:iCs/>
              </w:rPr>
              <w:t>t</w:t>
            </w:r>
            <w:r w:rsidRPr="007967A9">
              <w:rPr>
                <w:rFonts w:cs="Arial"/>
                <w:i/>
              </w:rPr>
              <w:t xml:space="preserve"> </w:t>
            </w:r>
            <w:r w:rsidRPr="007967A9">
              <w:rPr>
                <w:rFonts w:cs="Arial"/>
              </w:rPr>
              <w:t>(MWh)</w:t>
            </w:r>
          </w:p>
        </w:tc>
      </w:tr>
      <w:tr w:rsidR="00B33851" w:rsidRPr="007967A9" w14:paraId="40F9BCC1" w14:textId="77777777" w:rsidTr="007967A9">
        <w:tc>
          <w:tcPr>
            <w:tcW w:w="1701" w:type="dxa"/>
            <w:vAlign w:val="top"/>
          </w:tcPr>
          <w:p w14:paraId="023FE106" w14:textId="4EAAA46A" w:rsidR="00B33851" w:rsidRPr="007967A9" w:rsidRDefault="00000000" w:rsidP="007967A9">
            <w:pPr>
              <w:pStyle w:val="SDMTableBoxParaNotNumbered"/>
              <w:rPr>
                <w:rFonts w:cs="Arial"/>
                <w:i/>
              </w:rPr>
            </w:pPr>
            <m:oMathPara>
              <m:oMathParaPr>
                <m:jc m:val="left"/>
              </m:oMathParaPr>
              <m:oMath>
                <m:sSub>
                  <m:sSubPr>
                    <m:ctrlPr>
                      <w:rPr>
                        <w:rFonts w:ascii="Cambria Math" w:hAnsi="Cambria Math" w:cs="Arial"/>
                        <w:i/>
                      </w:rPr>
                    </m:ctrlPr>
                  </m:sSubPr>
                  <m:e>
                    <m:r>
                      <w:rPr>
                        <w:rFonts w:ascii="Cambria Math" w:hAnsi="Cambria Math" w:cs="Arial"/>
                      </w:rPr>
                      <m:t>EF</m:t>
                    </m:r>
                  </m:e>
                  <m:sub>
                    <m:r>
                      <w:rPr>
                        <w:rFonts w:ascii="Cambria Math" w:hAnsi="Cambria Math" w:cs="Arial"/>
                      </w:rPr>
                      <m:t>EL,p,t</m:t>
                    </m:r>
                  </m:sub>
                </m:sSub>
              </m:oMath>
            </m:oMathPara>
          </w:p>
        </w:tc>
        <w:tc>
          <w:tcPr>
            <w:tcW w:w="345" w:type="dxa"/>
            <w:vAlign w:val="top"/>
          </w:tcPr>
          <w:p w14:paraId="67A85A1A" w14:textId="77777777" w:rsidR="00B33851" w:rsidRPr="007967A9" w:rsidRDefault="00B33851" w:rsidP="007967A9">
            <w:pPr>
              <w:pStyle w:val="SDMTableBoxParaNotNumbered"/>
              <w:rPr>
                <w:rFonts w:cs="Arial"/>
              </w:rPr>
            </w:pPr>
            <w:r w:rsidRPr="007967A9">
              <w:rPr>
                <w:rFonts w:cs="Arial"/>
              </w:rPr>
              <w:t>=</w:t>
            </w:r>
          </w:p>
        </w:tc>
        <w:tc>
          <w:tcPr>
            <w:tcW w:w="6000" w:type="dxa"/>
            <w:vAlign w:val="top"/>
          </w:tcPr>
          <w:p w14:paraId="409576C2" w14:textId="77777777" w:rsidR="00B33851" w:rsidRPr="007967A9" w:rsidRDefault="00B33851" w:rsidP="007967A9">
            <w:pPr>
              <w:pStyle w:val="SDMTableBoxParaNotNumbered"/>
              <w:rPr>
                <w:rFonts w:cs="Arial"/>
              </w:rPr>
            </w:pPr>
            <w:r w:rsidRPr="007967A9">
              <w:rPr>
                <w:rFonts w:cs="Arial"/>
              </w:rPr>
              <w:t>CO</w:t>
            </w:r>
            <w:r w:rsidRPr="007967A9">
              <w:rPr>
                <w:rFonts w:cs="Arial"/>
                <w:vertAlign w:val="subscript"/>
              </w:rPr>
              <w:t>2</w:t>
            </w:r>
            <w:r w:rsidRPr="007967A9">
              <w:rPr>
                <w:rFonts w:cs="Arial"/>
              </w:rPr>
              <w:t xml:space="preserve"> emission factor of power unit</w:t>
            </w:r>
            <w:r w:rsidR="00B7378F" w:rsidRPr="007967A9">
              <w:rPr>
                <w:rFonts w:cs="Arial"/>
              </w:rPr>
              <w:t> </w:t>
            </w:r>
            <w:r w:rsidR="007510C1" w:rsidRPr="007967A9">
              <w:rPr>
                <w:rFonts w:cs="Arial"/>
                <w:i/>
              </w:rPr>
              <w:t>p</w:t>
            </w:r>
            <w:r w:rsidRPr="007967A9">
              <w:rPr>
                <w:rFonts w:cs="Arial"/>
              </w:rPr>
              <w:t xml:space="preserve"> in </w:t>
            </w:r>
            <w:r w:rsidR="00341743" w:rsidRPr="007967A9">
              <w:rPr>
                <w:rFonts w:cs="Arial"/>
              </w:rPr>
              <w:t>period </w:t>
            </w:r>
            <w:r w:rsidR="00341743" w:rsidRPr="007967A9">
              <w:rPr>
                <w:rFonts w:cs="Arial"/>
                <w:i/>
                <w:iCs/>
              </w:rPr>
              <w:t>t</w:t>
            </w:r>
            <w:r w:rsidRPr="007967A9">
              <w:rPr>
                <w:rFonts w:cs="Arial"/>
              </w:rPr>
              <w:t xml:space="preserve"> (t</w:t>
            </w:r>
            <w:r w:rsidR="00303E0B" w:rsidRPr="007967A9">
              <w:rPr>
                <w:rFonts w:cs="Arial"/>
              </w:rPr>
              <w:t> </w:t>
            </w:r>
            <w:r w:rsidRPr="007967A9">
              <w:rPr>
                <w:rFonts w:cs="Arial"/>
              </w:rPr>
              <w:t>CO</w:t>
            </w:r>
            <w:r w:rsidRPr="007967A9">
              <w:rPr>
                <w:rFonts w:cs="Arial"/>
                <w:vertAlign w:val="subscript"/>
              </w:rPr>
              <w:t>2</w:t>
            </w:r>
            <w:r w:rsidRPr="007967A9">
              <w:rPr>
                <w:rFonts w:cs="Arial"/>
              </w:rPr>
              <w:t>/MWh)</w:t>
            </w:r>
          </w:p>
        </w:tc>
      </w:tr>
      <w:tr w:rsidR="00B33851" w:rsidRPr="007967A9" w14:paraId="0790CC0B" w14:textId="77777777" w:rsidTr="007967A9">
        <w:tc>
          <w:tcPr>
            <w:tcW w:w="1701" w:type="dxa"/>
            <w:vAlign w:val="top"/>
          </w:tcPr>
          <w:p w14:paraId="47CB0E81" w14:textId="77777777" w:rsidR="00B33851" w:rsidRPr="007967A9" w:rsidRDefault="00E6375D" w:rsidP="007967A9">
            <w:pPr>
              <w:pStyle w:val="SDMTableBoxParaNotNumbered"/>
              <w:keepNext/>
              <w:rPr>
                <w:rFonts w:cs="Arial"/>
                <w:i/>
              </w:rPr>
            </w:pPr>
            <m:oMathPara>
              <m:oMathParaPr>
                <m:jc m:val="left"/>
              </m:oMathParaPr>
              <m:oMath>
                <m:r>
                  <w:rPr>
                    <w:rFonts w:ascii="Cambria Math" w:hAnsi="Cambria Math" w:cs="Arial"/>
                  </w:rPr>
                  <m:t>p</m:t>
                </m:r>
              </m:oMath>
            </m:oMathPara>
          </w:p>
        </w:tc>
        <w:tc>
          <w:tcPr>
            <w:tcW w:w="345" w:type="dxa"/>
            <w:vAlign w:val="top"/>
          </w:tcPr>
          <w:p w14:paraId="53F85543" w14:textId="77777777" w:rsidR="00B33851" w:rsidRPr="007967A9" w:rsidRDefault="00B33851" w:rsidP="007967A9">
            <w:pPr>
              <w:pStyle w:val="SDMTableBoxParaNotNumbered"/>
              <w:rPr>
                <w:rFonts w:cs="Arial"/>
              </w:rPr>
            </w:pPr>
            <w:r w:rsidRPr="007967A9">
              <w:rPr>
                <w:rFonts w:cs="Arial"/>
              </w:rPr>
              <w:t>=</w:t>
            </w:r>
          </w:p>
        </w:tc>
        <w:tc>
          <w:tcPr>
            <w:tcW w:w="6000" w:type="dxa"/>
            <w:vAlign w:val="top"/>
          </w:tcPr>
          <w:p w14:paraId="78EBC27A" w14:textId="44BF17AA" w:rsidR="00B33851" w:rsidRPr="007967A9" w:rsidRDefault="00B33851" w:rsidP="007967A9">
            <w:pPr>
              <w:pStyle w:val="SDMTableBoxParaNotNumbered"/>
              <w:rPr>
                <w:rFonts w:cs="Arial"/>
              </w:rPr>
            </w:pPr>
            <w:r w:rsidRPr="007967A9">
              <w:rPr>
                <w:rFonts w:cs="Arial"/>
              </w:rPr>
              <w:t xml:space="preserve">Power units included in the </w:t>
            </w:r>
            <w:r w:rsidR="009976BC" w:rsidRPr="007967A9">
              <w:rPr>
                <w:rFonts w:cs="Arial"/>
              </w:rPr>
              <w:t>BM</w:t>
            </w:r>
          </w:p>
        </w:tc>
      </w:tr>
      <w:tr w:rsidR="00641F72" w:rsidRPr="007967A9" w14:paraId="7FEA805C" w14:textId="77777777" w:rsidTr="007967A9">
        <w:tc>
          <w:tcPr>
            <w:tcW w:w="1701" w:type="dxa"/>
            <w:vAlign w:val="top"/>
          </w:tcPr>
          <w:p w14:paraId="58F07013" w14:textId="73A9EFF9" w:rsidR="00641F72" w:rsidRPr="007967A9" w:rsidRDefault="00B83228" w:rsidP="007967A9">
            <w:pPr>
              <w:pStyle w:val="SDMTableBoxParaNotNumbered"/>
              <w:rPr>
                <w:rFonts w:cs="Arial"/>
                <w:i/>
                <w:iCs/>
              </w:rPr>
            </w:pPr>
            <m:oMathPara>
              <m:oMathParaPr>
                <m:jc m:val="left"/>
              </m:oMathParaPr>
              <m:oMath>
                <m:r>
                  <w:rPr>
                    <w:rFonts w:ascii="Cambria Math" w:hAnsi="Cambria Math" w:cs="Arial"/>
                  </w:rPr>
                  <m:t>y</m:t>
                </m:r>
              </m:oMath>
            </m:oMathPara>
          </w:p>
        </w:tc>
        <w:tc>
          <w:tcPr>
            <w:tcW w:w="345" w:type="dxa"/>
            <w:vAlign w:val="top"/>
          </w:tcPr>
          <w:p w14:paraId="1B087DF1" w14:textId="77777777" w:rsidR="00641F72" w:rsidRPr="007967A9" w:rsidRDefault="00641F72" w:rsidP="007967A9">
            <w:pPr>
              <w:pStyle w:val="SDMTableBoxParaNotNumbered"/>
              <w:rPr>
                <w:rFonts w:cs="Arial"/>
              </w:rPr>
            </w:pPr>
            <w:r w:rsidRPr="007967A9">
              <w:rPr>
                <w:rFonts w:cs="Arial"/>
              </w:rPr>
              <w:t>=</w:t>
            </w:r>
          </w:p>
        </w:tc>
        <w:tc>
          <w:tcPr>
            <w:tcW w:w="6000" w:type="dxa"/>
            <w:vAlign w:val="top"/>
          </w:tcPr>
          <w:p w14:paraId="2FD455C0" w14:textId="77777777" w:rsidR="00641F72" w:rsidRPr="007967A9" w:rsidRDefault="00641F72" w:rsidP="007967A9">
            <w:pPr>
              <w:pStyle w:val="SDMTableBoxParaNotNumbered"/>
              <w:rPr>
                <w:rFonts w:cs="Arial"/>
              </w:rPr>
            </w:pPr>
            <w:r w:rsidRPr="007967A9">
              <w:rPr>
                <w:rFonts w:cs="Arial"/>
              </w:rPr>
              <w:t>Calendar year of the crediting period</w:t>
            </w:r>
            <w:r w:rsidR="00E6375D" w:rsidRPr="007967A9">
              <w:rPr>
                <w:rFonts w:cs="Arial"/>
              </w:rPr>
              <w:t xml:space="preserve"> for which emission reductions are determined</w:t>
            </w:r>
          </w:p>
        </w:tc>
      </w:tr>
      <w:tr w:rsidR="00B33851" w:rsidRPr="007967A9" w14:paraId="4947EEE9" w14:textId="77777777" w:rsidTr="007967A9">
        <w:tc>
          <w:tcPr>
            <w:tcW w:w="1701" w:type="dxa"/>
            <w:vAlign w:val="top"/>
          </w:tcPr>
          <w:p w14:paraId="624B52EA" w14:textId="77777777" w:rsidR="00B33851" w:rsidRPr="007967A9" w:rsidRDefault="00000936" w:rsidP="007967A9">
            <w:pPr>
              <w:pStyle w:val="SDMTableBoxParaNotNumbered"/>
              <w:rPr>
                <w:rFonts w:cs="Arial"/>
              </w:rPr>
            </w:pPr>
            <m:oMathPara>
              <m:oMathParaPr>
                <m:jc m:val="left"/>
              </m:oMathParaPr>
              <m:oMath>
                <m:r>
                  <w:rPr>
                    <w:rFonts w:ascii="Cambria Math" w:hAnsi="Cambria Math" w:cs="Arial"/>
                  </w:rPr>
                  <m:t>t</m:t>
                </m:r>
              </m:oMath>
            </m:oMathPara>
          </w:p>
        </w:tc>
        <w:tc>
          <w:tcPr>
            <w:tcW w:w="345" w:type="dxa"/>
            <w:vAlign w:val="top"/>
          </w:tcPr>
          <w:p w14:paraId="7EB8C0D5" w14:textId="77777777" w:rsidR="00B33851" w:rsidRPr="007967A9" w:rsidRDefault="00B33851" w:rsidP="007967A9">
            <w:pPr>
              <w:pStyle w:val="SDMTableBoxParaNotNumbered"/>
              <w:rPr>
                <w:rFonts w:cs="Arial"/>
              </w:rPr>
            </w:pPr>
            <w:r w:rsidRPr="007967A9">
              <w:rPr>
                <w:rFonts w:cs="Arial"/>
              </w:rPr>
              <w:t>=</w:t>
            </w:r>
          </w:p>
        </w:tc>
        <w:tc>
          <w:tcPr>
            <w:tcW w:w="6000" w:type="dxa"/>
            <w:vAlign w:val="top"/>
          </w:tcPr>
          <w:p w14:paraId="10CAA5D1" w14:textId="1725344B" w:rsidR="00B33851" w:rsidRPr="007967A9" w:rsidRDefault="00957F1D" w:rsidP="007967A9">
            <w:pPr>
              <w:pStyle w:val="SDMTableBoxParaNotNumbered"/>
              <w:rPr>
                <w:rFonts w:cs="Arial"/>
              </w:rPr>
            </w:pPr>
            <w:r w:rsidRPr="007967A9">
              <w:rPr>
                <w:rFonts w:cs="Arial"/>
              </w:rPr>
              <w:t xml:space="preserve">Period from the start of the reference period up to the </w:t>
            </w:r>
            <w:r w:rsidR="004418CD" w:rsidRPr="007967A9">
              <w:rPr>
                <w:rFonts w:cs="Arial"/>
              </w:rPr>
              <w:t>m</w:t>
            </w:r>
            <w:r w:rsidR="00B33851" w:rsidRPr="007967A9">
              <w:rPr>
                <w:rFonts w:cs="Arial"/>
              </w:rPr>
              <w:t xml:space="preserve">ost recent </w:t>
            </w:r>
            <w:r w:rsidR="004418CD" w:rsidRPr="007967A9">
              <w:rPr>
                <w:rFonts w:cs="Arial"/>
              </w:rPr>
              <w:t xml:space="preserve">calendar </w:t>
            </w:r>
            <w:r w:rsidR="00B33851" w:rsidRPr="007967A9">
              <w:rPr>
                <w:rFonts w:cs="Arial"/>
              </w:rPr>
              <w:t xml:space="preserve">year for which electricity generation data </w:t>
            </w:r>
            <w:r w:rsidR="009976BC" w:rsidRPr="007967A9">
              <w:rPr>
                <w:rFonts w:cs="Arial"/>
              </w:rPr>
              <w:t xml:space="preserve">are </w:t>
            </w:r>
            <w:r w:rsidR="00B33851" w:rsidRPr="007967A9">
              <w:rPr>
                <w:rFonts w:cs="Arial"/>
              </w:rPr>
              <w:t>available</w:t>
            </w:r>
            <w:r w:rsidR="00A66961" w:rsidRPr="007967A9">
              <w:rPr>
                <w:rStyle w:val="FootnoteReference"/>
                <w:rFonts w:cs="Arial"/>
              </w:rPr>
              <w:footnoteReference w:id="23"/>
            </w:r>
          </w:p>
        </w:tc>
      </w:tr>
      <w:tr w:rsidR="009571A3" w:rsidRPr="007967A9" w14:paraId="79C3C8E3" w14:textId="77777777" w:rsidTr="007967A9">
        <w:tc>
          <w:tcPr>
            <w:tcW w:w="1701" w:type="dxa"/>
            <w:vAlign w:val="top"/>
          </w:tcPr>
          <w:p w14:paraId="67A52C05" w14:textId="0E668FF8" w:rsidR="009571A3" w:rsidRPr="007967A9" w:rsidDel="00641F72" w:rsidRDefault="00000000" w:rsidP="007967A9">
            <w:pPr>
              <w:pStyle w:val="SDMTableBoxParaNotNumbered"/>
              <w:rPr>
                <w:rFonts w:cs="Arial"/>
                <w:i/>
                <w:iCs/>
              </w:rPr>
            </w:pPr>
            <m:oMathPara>
              <m:oMathParaPr>
                <m:jc m:val="left"/>
              </m:oMathParaPr>
              <m:oMath>
                <m:sSub>
                  <m:sSubPr>
                    <m:ctrlPr>
                      <w:rPr>
                        <w:rFonts w:ascii="Cambria Math" w:hAnsi="Cambria Math" w:cs="Arial"/>
                        <w:i/>
                      </w:rPr>
                    </m:ctrlPr>
                  </m:sSubPr>
                  <m:e>
                    <m:r>
                      <w:rPr>
                        <w:rFonts w:ascii="Cambria Math" w:hAnsi="Cambria Math" w:cs="Arial"/>
                      </w:rPr>
                      <m:t>F</m:t>
                    </m:r>
                  </m:e>
                  <m:sub>
                    <m:r>
                      <w:rPr>
                        <w:rFonts w:ascii="Cambria Math" w:hAnsi="Cambria Math" w:cs="Arial"/>
                      </w:rPr>
                      <m:t>BM</m:t>
                    </m:r>
                  </m:sub>
                </m:sSub>
              </m:oMath>
            </m:oMathPara>
          </w:p>
        </w:tc>
        <w:tc>
          <w:tcPr>
            <w:tcW w:w="345" w:type="dxa"/>
            <w:vAlign w:val="top"/>
          </w:tcPr>
          <w:p w14:paraId="4696B1AE" w14:textId="77777777" w:rsidR="009571A3" w:rsidRPr="007967A9" w:rsidRDefault="009571A3" w:rsidP="007967A9">
            <w:pPr>
              <w:pStyle w:val="SDMTableBoxParaNotNumbered"/>
              <w:rPr>
                <w:rFonts w:cs="Arial"/>
              </w:rPr>
            </w:pPr>
            <w:r w:rsidRPr="007967A9">
              <w:rPr>
                <w:rFonts w:cs="Arial"/>
              </w:rPr>
              <w:t>=</w:t>
            </w:r>
          </w:p>
        </w:tc>
        <w:tc>
          <w:tcPr>
            <w:tcW w:w="6000" w:type="dxa"/>
            <w:vAlign w:val="top"/>
          </w:tcPr>
          <w:p w14:paraId="1E2B2F56" w14:textId="0C24BBCD" w:rsidR="009571A3" w:rsidRPr="007967A9" w:rsidRDefault="009571A3" w:rsidP="007967A9">
            <w:pPr>
              <w:pStyle w:val="SDMTableBoxParaNotNumbered"/>
              <w:rPr>
                <w:rFonts w:cs="Arial"/>
              </w:rPr>
            </w:pPr>
            <w:r w:rsidRPr="007967A9">
              <w:rPr>
                <w:rFonts w:cs="Arial"/>
              </w:rPr>
              <w:t>Factor</w:t>
            </w:r>
            <w:r w:rsidR="004F7CEF" w:rsidRPr="007967A9">
              <w:rPr>
                <w:rFonts w:cs="Arial"/>
              </w:rPr>
              <w:t xml:space="preserve"> accounting</w:t>
            </w:r>
            <w:r w:rsidRPr="007967A9">
              <w:rPr>
                <w:rFonts w:cs="Arial"/>
              </w:rPr>
              <w:t xml:space="preserve"> for the likely annual decrease of the BM </w:t>
            </w:r>
            <w:r w:rsidR="00B56E38" w:rsidRPr="007967A9">
              <w:rPr>
                <w:rFonts w:cs="Arial"/>
              </w:rPr>
              <w:t xml:space="preserve">emission factor </w:t>
            </w:r>
            <w:r w:rsidRPr="007967A9">
              <w:rPr>
                <w:rFonts w:cs="Arial"/>
              </w:rPr>
              <w:t>over time</w:t>
            </w:r>
          </w:p>
        </w:tc>
      </w:tr>
      <w:tr w:rsidR="009571A3" w:rsidRPr="007967A9" w14:paraId="3745B333" w14:textId="77777777" w:rsidTr="007967A9">
        <w:tc>
          <w:tcPr>
            <w:tcW w:w="1701" w:type="dxa"/>
            <w:vAlign w:val="top"/>
          </w:tcPr>
          <w:p w14:paraId="66FE93B7" w14:textId="7503B55A" w:rsidR="009571A3" w:rsidRPr="007967A9" w:rsidDel="00641F72" w:rsidRDefault="00B83228" w:rsidP="007967A9">
            <w:pPr>
              <w:pStyle w:val="SDMTableBoxParaNotNumbered"/>
              <w:rPr>
                <w:rFonts w:cs="Arial"/>
                <w:i/>
                <w:iCs/>
              </w:rPr>
            </w:pPr>
            <m:oMathPara>
              <m:oMathParaPr>
                <m:jc m:val="left"/>
              </m:oMathParaPr>
              <m:oMath>
                <m:r>
                  <w:rPr>
                    <w:rFonts w:ascii="Cambria Math" w:hAnsi="Cambria Math" w:cs="Arial"/>
                  </w:rPr>
                  <m:t>x</m:t>
                </m:r>
              </m:oMath>
            </m:oMathPara>
          </w:p>
        </w:tc>
        <w:tc>
          <w:tcPr>
            <w:tcW w:w="345" w:type="dxa"/>
            <w:vAlign w:val="top"/>
          </w:tcPr>
          <w:p w14:paraId="4F75B902" w14:textId="77777777" w:rsidR="009571A3" w:rsidRPr="007967A9" w:rsidRDefault="009571A3" w:rsidP="007967A9">
            <w:pPr>
              <w:pStyle w:val="SDMTableBoxParaNotNumbered"/>
              <w:rPr>
                <w:rFonts w:cs="Arial"/>
              </w:rPr>
            </w:pPr>
            <w:r w:rsidRPr="007967A9">
              <w:rPr>
                <w:rFonts w:cs="Arial"/>
              </w:rPr>
              <w:t>=</w:t>
            </w:r>
          </w:p>
        </w:tc>
        <w:tc>
          <w:tcPr>
            <w:tcW w:w="6000" w:type="dxa"/>
            <w:vAlign w:val="top"/>
          </w:tcPr>
          <w:p w14:paraId="72476049" w14:textId="77777777" w:rsidR="009571A3" w:rsidRPr="007967A9" w:rsidRDefault="00700E78" w:rsidP="007967A9">
            <w:pPr>
              <w:pStyle w:val="SDMTableBoxParaNotNumbered"/>
              <w:rPr>
                <w:rFonts w:cs="Arial"/>
              </w:rPr>
            </w:pPr>
            <w:r w:rsidRPr="007967A9">
              <w:rPr>
                <w:rFonts w:cs="Arial"/>
              </w:rPr>
              <w:t>Calendar year in which the Article 6.4 activity starts operation</w:t>
            </w:r>
          </w:p>
        </w:tc>
      </w:tr>
      <w:tr w:rsidR="00700E78" w:rsidRPr="007967A9" w14:paraId="72AEFD8C" w14:textId="77777777" w:rsidTr="007967A9">
        <w:tc>
          <w:tcPr>
            <w:tcW w:w="1701" w:type="dxa"/>
            <w:vAlign w:val="top"/>
          </w:tcPr>
          <w:p w14:paraId="07F88DE9" w14:textId="73A89F29" w:rsidR="00700E78" w:rsidRPr="007967A9" w:rsidRDefault="00B83228" w:rsidP="007967A9">
            <w:pPr>
              <w:pStyle w:val="SDMTableBoxParaNotNumbered"/>
              <w:rPr>
                <w:rFonts w:cs="Arial"/>
                <w:i/>
                <w:iCs/>
              </w:rPr>
            </w:pPr>
            <m:oMathPara>
              <m:oMathParaPr>
                <m:jc m:val="left"/>
              </m:oMathParaPr>
              <m:oMath>
                <m:r>
                  <w:rPr>
                    <w:rFonts w:ascii="Cambria Math" w:hAnsi="Cambria Math" w:cs="Arial"/>
                  </w:rPr>
                  <m:t>r</m:t>
                </m:r>
              </m:oMath>
            </m:oMathPara>
          </w:p>
        </w:tc>
        <w:tc>
          <w:tcPr>
            <w:tcW w:w="345" w:type="dxa"/>
            <w:vAlign w:val="top"/>
          </w:tcPr>
          <w:p w14:paraId="6568EA13" w14:textId="77777777" w:rsidR="00700E78" w:rsidRPr="007967A9" w:rsidRDefault="00700E78" w:rsidP="007967A9">
            <w:pPr>
              <w:pStyle w:val="SDMTableBoxParaNotNumbered"/>
              <w:rPr>
                <w:rFonts w:cs="Arial"/>
              </w:rPr>
            </w:pPr>
            <w:r w:rsidRPr="007967A9">
              <w:rPr>
                <w:rFonts w:cs="Arial"/>
              </w:rPr>
              <w:t>=</w:t>
            </w:r>
          </w:p>
        </w:tc>
        <w:tc>
          <w:tcPr>
            <w:tcW w:w="6000" w:type="dxa"/>
            <w:vAlign w:val="top"/>
          </w:tcPr>
          <w:p w14:paraId="04E8D138" w14:textId="3C1CAA10" w:rsidR="00700E78" w:rsidRPr="007967A9" w:rsidRDefault="00700E78" w:rsidP="007967A9">
            <w:pPr>
              <w:pStyle w:val="SDMTableBoxParaNotNumbered"/>
              <w:rPr>
                <w:rFonts w:cs="Arial"/>
              </w:rPr>
            </w:pPr>
            <w:r w:rsidRPr="007967A9">
              <w:rPr>
                <w:rFonts w:cs="Arial"/>
              </w:rPr>
              <w:t>Central year within the historical reference period</w:t>
            </w:r>
            <w:r w:rsidR="005469C5" w:rsidRPr="007967A9">
              <w:rPr>
                <w:rFonts w:cs="Arial"/>
              </w:rPr>
              <w:t xml:space="preserve"> (</w:t>
            </w:r>
            <w:r w:rsidR="0023186B" w:rsidRPr="007967A9">
              <w:rPr>
                <w:rFonts w:cs="Arial"/>
              </w:rPr>
              <w:t>i.e.,</w:t>
            </w:r>
            <w:r w:rsidR="005469C5" w:rsidRPr="007967A9">
              <w:rPr>
                <w:rFonts w:cs="Arial"/>
              </w:rPr>
              <w:t xml:space="preserve"> </w:t>
            </w:r>
            <w:r w:rsidR="005469C5" w:rsidRPr="007967A9">
              <w:rPr>
                <w:rFonts w:cs="Arial"/>
                <w:i/>
                <w:iCs/>
              </w:rPr>
              <w:t>z</w:t>
            </w:r>
            <w:r w:rsidR="0023186B" w:rsidRPr="007967A9">
              <w:rPr>
                <w:rFonts w:cs="Arial"/>
              </w:rPr>
              <w:t xml:space="preserve">-1 for a three-year historical reference period and </w:t>
            </w:r>
            <w:r w:rsidR="0023186B" w:rsidRPr="007967A9">
              <w:rPr>
                <w:rFonts w:cs="Arial"/>
                <w:i/>
                <w:iCs/>
              </w:rPr>
              <w:t>z</w:t>
            </w:r>
            <w:r w:rsidR="0023186B" w:rsidRPr="007967A9">
              <w:rPr>
                <w:rFonts w:cs="Arial"/>
              </w:rPr>
              <w:t>-3 for a five-year historical reference period)</w:t>
            </w:r>
          </w:p>
        </w:tc>
      </w:tr>
      <w:tr w:rsidR="00413C78" w:rsidRPr="007967A9" w14:paraId="3F9F052E" w14:textId="77777777" w:rsidTr="007967A9">
        <w:tc>
          <w:tcPr>
            <w:tcW w:w="1701" w:type="dxa"/>
            <w:vAlign w:val="top"/>
          </w:tcPr>
          <w:p w14:paraId="03EB308C" w14:textId="64C5A4AB" w:rsidR="00413C78" w:rsidRPr="007967A9" w:rsidRDefault="00E85ABF" w:rsidP="007967A9">
            <w:pPr>
              <w:pStyle w:val="SDMTableBoxParaNotNumbered"/>
              <w:rPr>
                <w:rFonts w:cs="Arial"/>
              </w:rPr>
            </w:pPr>
            <m:oMathPara>
              <m:oMathParaPr>
                <m:jc m:val="left"/>
              </m:oMathParaPr>
              <m:oMath>
                <m:r>
                  <w:rPr>
                    <w:rFonts w:ascii="Cambria Math" w:hAnsi="Cambria Math" w:cs="Arial"/>
                  </w:rPr>
                  <m:t>z</m:t>
                </m:r>
              </m:oMath>
            </m:oMathPara>
          </w:p>
        </w:tc>
        <w:tc>
          <w:tcPr>
            <w:tcW w:w="345" w:type="dxa"/>
            <w:vAlign w:val="top"/>
          </w:tcPr>
          <w:p w14:paraId="70B224B4" w14:textId="336E0797" w:rsidR="00413C78" w:rsidRPr="007967A9" w:rsidRDefault="00E85ABF" w:rsidP="007967A9">
            <w:pPr>
              <w:pStyle w:val="SDMTableBoxParaNotNumbered"/>
              <w:rPr>
                <w:rFonts w:cs="Arial"/>
              </w:rPr>
            </w:pPr>
            <w:r w:rsidRPr="007967A9">
              <w:rPr>
                <w:rFonts w:cs="Arial"/>
              </w:rPr>
              <w:t>=</w:t>
            </w:r>
          </w:p>
        </w:tc>
        <w:tc>
          <w:tcPr>
            <w:tcW w:w="6000" w:type="dxa"/>
            <w:vAlign w:val="top"/>
          </w:tcPr>
          <w:p w14:paraId="7D36EFEB" w14:textId="073B9202" w:rsidR="00413C78" w:rsidRPr="007967A9" w:rsidRDefault="00E85ABF" w:rsidP="007967A9">
            <w:pPr>
              <w:pStyle w:val="SDMTableBoxParaNotNumbered"/>
              <w:rPr>
                <w:rFonts w:cs="Arial"/>
              </w:rPr>
            </w:pPr>
            <w:r w:rsidRPr="007967A9">
              <w:rPr>
                <w:rFonts w:eastAsia="Arial" w:cs="Arial"/>
              </w:rPr>
              <w:t>Most recent calendar year for which data are available on new power units that started supplying electricity to the electricity system</w:t>
            </w:r>
          </w:p>
        </w:tc>
      </w:tr>
    </w:tbl>
    <w:p w14:paraId="0578B484" w14:textId="6AA36905" w:rsidR="000063E7" w:rsidRDefault="005B7451">
      <w:pPr>
        <w:pStyle w:val="SDMPara"/>
      </w:pPr>
      <w:bookmarkStart w:id="520" w:name="_Ref221039187"/>
      <w:r>
        <w:t xml:space="preserve">For </w:t>
      </w:r>
      <w:r w:rsidR="00934EB4" w:rsidRPr="00135EA4">
        <w:rPr>
          <w:b/>
          <w:bCs/>
        </w:rPr>
        <w:t>case </w:t>
      </w:r>
      <w:r w:rsidRPr="00135EA4">
        <w:rPr>
          <w:b/>
          <w:bCs/>
        </w:rPr>
        <w:t>1</w:t>
      </w:r>
      <w:r>
        <w:t xml:space="preserve">, a value of zero shall </w:t>
      </w:r>
      <w:r w:rsidR="00B431B7">
        <w:t xml:space="preserve">be </w:t>
      </w:r>
      <w:r>
        <w:t>appl</w:t>
      </w:r>
      <w:r w:rsidR="00B431B7">
        <w:t>ied</w:t>
      </w:r>
      <w:r>
        <w:t xml:space="preserve"> to the parameter </w:t>
      </w:r>
      <w:r w:rsidRPr="00843AEE">
        <w:rPr>
          <w:i/>
        </w:rPr>
        <w:t>F</w:t>
      </w:r>
      <w:r w:rsidRPr="00843AEE">
        <w:rPr>
          <w:i/>
          <w:vertAlign w:val="subscript"/>
        </w:rPr>
        <w:t>BM</w:t>
      </w:r>
      <w:r>
        <w:t xml:space="preserve">, as a simplified and reasonably conservative approach. For </w:t>
      </w:r>
      <w:r w:rsidR="00B431B7" w:rsidRPr="00135EA4">
        <w:rPr>
          <w:b/>
          <w:bCs/>
        </w:rPr>
        <w:t>case </w:t>
      </w:r>
      <w:r w:rsidRPr="00135EA4">
        <w:rPr>
          <w:b/>
          <w:bCs/>
        </w:rPr>
        <w:t>2</w:t>
      </w:r>
      <w:r>
        <w:t xml:space="preserve">, </w:t>
      </w:r>
      <w:r w:rsidR="008A15A7">
        <w:t xml:space="preserve">activity participants shall use either the global value or the respective country-specific value provided in </w:t>
      </w:r>
      <w:r w:rsidR="5609A52A">
        <w:t>a</w:t>
      </w:r>
      <w:r w:rsidR="008A15A7">
        <w:t>ppendix 2.</w:t>
      </w:r>
      <w:bookmarkEnd w:id="520"/>
    </w:p>
    <w:p w14:paraId="608ADFE7" w14:textId="77777777" w:rsidR="00082BB7" w:rsidRPr="0038644B" w:rsidRDefault="00082BB7">
      <w:pPr>
        <w:pStyle w:val="SDMPara"/>
      </w:pPr>
      <w:r w:rsidRPr="22B3CC27">
        <w:rPr>
          <w:rFonts w:eastAsia="Arial"/>
        </w:rPr>
        <w:t xml:space="preserve">Power </w:t>
      </w:r>
      <w:r>
        <w:rPr>
          <w:rFonts w:eastAsia="Arial"/>
        </w:rPr>
        <w:t>units</w:t>
      </w:r>
      <w:r w:rsidR="00C81775">
        <w:rPr>
          <w:rFonts w:eastAsia="Arial"/>
        </w:rPr>
        <w:t xml:space="preserve"> </w:t>
      </w:r>
      <w:r w:rsidRPr="22B3CC27">
        <w:rPr>
          <w:rFonts w:eastAsia="Arial"/>
        </w:rPr>
        <w:t xml:space="preserve">registered as Article 6.4 projects </w:t>
      </w:r>
      <w:r>
        <w:rPr>
          <w:rFonts w:eastAsia="Arial"/>
        </w:rPr>
        <w:t xml:space="preserve">or component projects, </w:t>
      </w:r>
      <w:r w:rsidRPr="22B3CC27">
        <w:rPr>
          <w:rFonts w:eastAsia="Arial"/>
        </w:rPr>
        <w:t xml:space="preserve">or </w:t>
      </w:r>
      <w:r>
        <w:rPr>
          <w:rFonts w:eastAsia="Arial"/>
        </w:rPr>
        <w:t xml:space="preserve">registered under </w:t>
      </w:r>
      <w:r w:rsidRPr="18A1C3A6">
        <w:rPr>
          <w:rFonts w:eastAsia="Arial"/>
        </w:rPr>
        <w:t>other</w:t>
      </w:r>
      <w:r w:rsidRPr="22B3CC27">
        <w:rPr>
          <w:rFonts w:eastAsia="Arial"/>
        </w:rPr>
        <w:t xml:space="preserve"> </w:t>
      </w:r>
      <w:r>
        <w:rPr>
          <w:rFonts w:eastAsia="Arial"/>
        </w:rPr>
        <w:t xml:space="preserve">carbon </w:t>
      </w:r>
      <w:r w:rsidRPr="22B3CC27">
        <w:rPr>
          <w:rFonts w:eastAsia="Arial"/>
        </w:rPr>
        <w:t>crediting programs</w:t>
      </w:r>
      <w:r>
        <w:rPr>
          <w:rFonts w:eastAsia="Arial"/>
        </w:rPr>
        <w:t>,</w:t>
      </w:r>
      <w:r w:rsidRPr="22B3CC27">
        <w:rPr>
          <w:rFonts w:eastAsia="Arial"/>
        </w:rPr>
        <w:t xml:space="preserve"> shall be included in the calculation of the BM emission factor. However, capacity additions resulting from retrofits of existing power </w:t>
      </w:r>
      <w:r>
        <w:rPr>
          <w:rFonts w:eastAsia="Arial"/>
        </w:rPr>
        <w:t>units</w:t>
      </w:r>
      <w:r w:rsidRPr="22B3CC27">
        <w:rPr>
          <w:rFonts w:eastAsia="Arial"/>
        </w:rPr>
        <w:t xml:space="preserve"> shall be excluded.</w:t>
      </w:r>
    </w:p>
    <w:p w14:paraId="4ABC8B3E" w14:textId="5378475F" w:rsidR="00AF42D7" w:rsidRDefault="000F12D1" w:rsidP="00C72647">
      <w:pPr>
        <w:pStyle w:val="SDMPara"/>
        <w:keepNext/>
      </w:pPr>
      <w:r>
        <w:t>For</w:t>
      </w:r>
      <w:r w:rsidR="002D285B">
        <w:t xml:space="preserve"> the first crediting period, the BM emission factor </w:t>
      </w:r>
      <w:r w:rsidR="00430E41">
        <w:t xml:space="preserve">shall be updated </w:t>
      </w:r>
      <w:r w:rsidR="00DD03D3">
        <w:t>for each calendar year</w:t>
      </w:r>
      <w:r w:rsidR="00E855CC">
        <w:t xml:space="preserve"> as follows:</w:t>
      </w:r>
    </w:p>
    <w:p w14:paraId="3E36B0B3" w14:textId="35792899" w:rsidR="00AD3A6A" w:rsidRDefault="00452586">
      <w:pPr>
        <w:pStyle w:val="SDMSubPara1"/>
      </w:pPr>
      <w:r>
        <w:t>Where</w:t>
      </w:r>
      <w:r w:rsidR="00957C49">
        <w:t xml:space="preserve"> data </w:t>
      </w:r>
      <w:r w:rsidR="00DD03D3">
        <w:t xml:space="preserve">to determine the BM emission factor for </w:t>
      </w:r>
      <w:r w:rsidR="00CF30D5">
        <w:t xml:space="preserve">a concurrent reference period </w:t>
      </w:r>
      <w:r w:rsidR="0031771E">
        <w:t xml:space="preserve">are </w:t>
      </w:r>
      <w:r w:rsidR="00CF30D5">
        <w:t xml:space="preserve">not </w:t>
      </w:r>
      <w:r w:rsidR="00F92C71">
        <w:t xml:space="preserve">yet </w:t>
      </w:r>
      <w:r w:rsidR="00CF30D5">
        <w:t xml:space="preserve">available, the BM emission factor shall </w:t>
      </w:r>
      <w:r w:rsidR="00F92C71">
        <w:t xml:space="preserve">be </w:t>
      </w:r>
      <w:r w:rsidR="00DD03D3">
        <w:t>updated for each</w:t>
      </w:r>
      <w:r w:rsidR="00D97F99">
        <w:t xml:space="preserve"> calendar year</w:t>
      </w:r>
      <w:r w:rsidR="007F7248">
        <w:t xml:space="preserve"> using the </w:t>
      </w:r>
      <w:r w:rsidR="00F92C71">
        <w:t>same historical reference period</w:t>
      </w:r>
      <w:r w:rsidR="007F7248">
        <w:t xml:space="preserve"> and </w:t>
      </w:r>
      <w:r w:rsidR="00766707">
        <w:t xml:space="preserve">the same </w:t>
      </w:r>
      <w:r w:rsidR="00FB3E77">
        <w:t xml:space="preserve">set of </w:t>
      </w:r>
      <w:r w:rsidR="00766707">
        <w:t>power units</w:t>
      </w:r>
      <w:r w:rsidR="000D7A4C">
        <w:t> </w:t>
      </w:r>
      <w:r w:rsidR="0068705B">
        <w:rPr>
          <w:i/>
          <w:iCs/>
        </w:rPr>
        <w:t>p</w:t>
      </w:r>
      <w:r w:rsidR="00766707">
        <w:t xml:space="preserve">, </w:t>
      </w:r>
      <w:r w:rsidR="0092555E">
        <w:t>but</w:t>
      </w:r>
      <w:r w:rsidR="00766707">
        <w:t xml:space="preserve"> </w:t>
      </w:r>
      <w:r w:rsidR="000763EB">
        <w:t>updating</w:t>
      </w:r>
      <w:r w:rsidR="00100E93">
        <w:t xml:space="preserve"> </w:t>
      </w:r>
      <w:r w:rsidR="00E52C6D">
        <w:t xml:space="preserve">data on </w:t>
      </w:r>
      <w:r w:rsidR="00100E93">
        <w:t xml:space="preserve">electricity generation </w:t>
      </w:r>
      <w:r w:rsidR="3E40BE9A" w:rsidRPr="00843AEE">
        <w:t>and emission factor</w:t>
      </w:r>
      <w:r w:rsidR="00810664">
        <w:t>s</w:t>
      </w:r>
      <w:r w:rsidR="00100E93" w:rsidRPr="00843AEE">
        <w:t xml:space="preserve"> </w:t>
      </w:r>
      <w:r w:rsidR="00810664">
        <w:t>of</w:t>
      </w:r>
      <w:r w:rsidR="00100E93" w:rsidDel="0031771E">
        <w:t xml:space="preserve"> the power units</w:t>
      </w:r>
      <w:r w:rsidR="00C62121" w:rsidDel="0031771E">
        <w:t> </w:t>
      </w:r>
      <w:r w:rsidR="0068705B" w:rsidDel="0031771E">
        <w:rPr>
          <w:i/>
          <w:iCs/>
        </w:rPr>
        <w:t>p</w:t>
      </w:r>
      <w:r w:rsidR="00C62121" w:rsidDel="0031771E">
        <w:t xml:space="preserve"> </w:t>
      </w:r>
      <w:r w:rsidR="00C62121">
        <w:t xml:space="preserve">by </w:t>
      </w:r>
      <w:r w:rsidR="004E3168">
        <w:t>extending</w:t>
      </w:r>
      <w:r w:rsidR="00766707">
        <w:t xml:space="preserve"> the</w:t>
      </w:r>
      <w:r w:rsidR="007C6C63">
        <w:t xml:space="preserve"> period</w:t>
      </w:r>
      <w:r w:rsidR="0092555E">
        <w:t> </w:t>
      </w:r>
      <w:r w:rsidR="007C6C63" w:rsidRPr="002202E8">
        <w:rPr>
          <w:i/>
          <w:iCs/>
        </w:rPr>
        <w:t>t</w:t>
      </w:r>
      <w:r w:rsidR="007C6C63">
        <w:t xml:space="preserve"> </w:t>
      </w:r>
      <w:r w:rsidR="00B23C22">
        <w:t>to the most recent calendar year</w:t>
      </w:r>
      <w:r w:rsidR="00B8022E">
        <w:t xml:space="preserve"> </w:t>
      </w:r>
      <w:r w:rsidR="00B8022E" w:rsidRPr="0038644B">
        <w:t xml:space="preserve">for which data </w:t>
      </w:r>
      <w:r w:rsidR="0039742F">
        <w:t>are</w:t>
      </w:r>
      <w:r w:rsidR="0039742F" w:rsidRPr="0038644B">
        <w:t xml:space="preserve"> </w:t>
      </w:r>
      <w:r w:rsidR="00B8022E" w:rsidRPr="0038644B">
        <w:t>available</w:t>
      </w:r>
      <w:r w:rsidR="00B23C22">
        <w:t>;</w:t>
      </w:r>
      <w:r w:rsidR="0039742F">
        <w:t xml:space="preserve"> and</w:t>
      </w:r>
    </w:p>
    <w:p w14:paraId="5325A170" w14:textId="64F02F93" w:rsidR="0096299B" w:rsidRPr="00B24360" w:rsidRDefault="004418CD">
      <w:pPr>
        <w:pStyle w:val="SDMSubPara1"/>
      </w:pPr>
      <w:r w:rsidRPr="00B24360">
        <w:t>Once data</w:t>
      </w:r>
      <w:r w:rsidR="0096299B" w:rsidRPr="00B24360" w:rsidDel="0039742F">
        <w:t xml:space="preserve"> </w:t>
      </w:r>
      <w:r w:rsidR="0039742F">
        <w:t xml:space="preserve">become </w:t>
      </w:r>
      <w:r w:rsidR="0096299B" w:rsidRPr="00B24360">
        <w:t>available to determine the BM</w:t>
      </w:r>
      <w:r w:rsidR="00B23C22" w:rsidRPr="00B24360">
        <w:t xml:space="preserve"> emission factor </w:t>
      </w:r>
      <w:r w:rsidR="006C7EC4" w:rsidRPr="00B24360">
        <w:t>for</w:t>
      </w:r>
      <w:r w:rsidR="00B23C22" w:rsidRPr="00B24360">
        <w:t xml:space="preserve"> a concurrent reference period, the BM emission factor shall be</w:t>
      </w:r>
      <w:r w:rsidR="006C0BAA" w:rsidRPr="00B24360">
        <w:t xml:space="preserve"> updated</w:t>
      </w:r>
      <w:r w:rsidR="00F020F7" w:rsidRPr="00B24360">
        <w:t xml:space="preserve"> using </w:t>
      </w:r>
      <w:r w:rsidR="006C0BAA" w:rsidRPr="00B24360">
        <w:t>the concurrent reference period</w:t>
      </w:r>
      <w:r w:rsidR="00F020F7" w:rsidRPr="00B24360">
        <w:t xml:space="preserve"> and a new set </w:t>
      </w:r>
      <w:r w:rsidR="006C0BAA" w:rsidRPr="00B24360">
        <w:t xml:space="preserve">of power </w:t>
      </w:r>
      <w:r w:rsidR="00F020F7" w:rsidRPr="00B24360">
        <w:t>units </w:t>
      </w:r>
      <w:r w:rsidR="0068705B">
        <w:rPr>
          <w:i/>
          <w:iCs/>
        </w:rPr>
        <w:t>p</w:t>
      </w:r>
      <w:r w:rsidR="006C0BAA" w:rsidRPr="00B24360">
        <w:t xml:space="preserve">. </w:t>
      </w:r>
      <w:r w:rsidR="00F020F7" w:rsidRPr="00B24360">
        <w:t>In subsequent calendar years</w:t>
      </w:r>
      <w:r w:rsidR="00E8792E" w:rsidRPr="00B24360">
        <w:t xml:space="preserve">, the BM emission factor shall be updated </w:t>
      </w:r>
      <w:r w:rsidR="00F802DF" w:rsidRPr="00B24360" w:rsidDel="000859D1">
        <w:t xml:space="preserve">for each </w:t>
      </w:r>
      <w:r w:rsidR="00E90CE3" w:rsidRPr="00B24360" w:rsidDel="000859D1">
        <w:t>calendar year</w:t>
      </w:r>
      <w:r w:rsidR="006A24EC">
        <w:t xml:space="preserve"> of the crediting period</w:t>
      </w:r>
      <w:r w:rsidR="00E8792E" w:rsidRPr="00B24360" w:rsidDel="000859D1">
        <w:t xml:space="preserve"> </w:t>
      </w:r>
      <w:r w:rsidR="00F35AB2" w:rsidRPr="00B24360">
        <w:t>using the same concurrent reference period</w:t>
      </w:r>
      <w:r w:rsidR="00A32EFF" w:rsidRPr="00B24360">
        <w:t xml:space="preserve"> and same set of power </w:t>
      </w:r>
      <w:r w:rsidR="00803F5F" w:rsidRPr="00843AEE">
        <w:t>units</w:t>
      </w:r>
      <w:r w:rsidR="00FB3E77" w:rsidRPr="00B24360">
        <w:t> </w:t>
      </w:r>
      <w:r w:rsidR="0068705B">
        <w:rPr>
          <w:i/>
          <w:iCs/>
        </w:rPr>
        <w:t>p</w:t>
      </w:r>
      <w:r w:rsidR="00F35AB2" w:rsidRPr="00B24360">
        <w:t xml:space="preserve">, </w:t>
      </w:r>
      <w:r w:rsidR="000859D1">
        <w:t>while</w:t>
      </w:r>
      <w:r w:rsidR="00FB3E77" w:rsidRPr="00B24360" w:rsidDel="000859D1">
        <w:t xml:space="preserve"> </w:t>
      </w:r>
      <w:r w:rsidR="000859D1">
        <w:t>extending</w:t>
      </w:r>
      <w:r w:rsidR="000859D1" w:rsidRPr="00B24360">
        <w:t xml:space="preserve"> </w:t>
      </w:r>
      <w:r w:rsidR="00EB194D" w:rsidRPr="00B24360">
        <w:t>period </w:t>
      </w:r>
      <w:r w:rsidR="00EB194D" w:rsidRPr="00B24360">
        <w:rPr>
          <w:i/>
          <w:iCs/>
        </w:rPr>
        <w:t>t</w:t>
      </w:r>
      <w:r w:rsidR="00EB194D" w:rsidRPr="00B24360">
        <w:t xml:space="preserve"> to the most recent calendar year for which data </w:t>
      </w:r>
      <w:r w:rsidR="00947F13">
        <w:t>are</w:t>
      </w:r>
      <w:r w:rsidR="00947F13" w:rsidRPr="00B24360">
        <w:t xml:space="preserve"> </w:t>
      </w:r>
      <w:r w:rsidR="00EB194D" w:rsidRPr="00B24360">
        <w:t>available</w:t>
      </w:r>
      <w:r w:rsidR="0092555E" w:rsidRPr="00B24360">
        <w:t>.</w:t>
      </w:r>
    </w:p>
    <w:p w14:paraId="65AF1A6E" w14:textId="1F0F1D5B" w:rsidR="00F911E8" w:rsidRDefault="006A7F87">
      <w:pPr>
        <w:pStyle w:val="SDMPara"/>
        <w:rPr>
          <w:rFonts w:eastAsia="Arial"/>
        </w:rPr>
      </w:pPr>
      <w:r>
        <w:rPr>
          <w:rFonts w:eastAsia="Arial"/>
        </w:rPr>
        <w:t xml:space="preserve">For the second </w:t>
      </w:r>
      <w:r w:rsidR="006B49C4">
        <w:rPr>
          <w:rFonts w:eastAsia="Arial"/>
        </w:rPr>
        <w:t xml:space="preserve">and third </w:t>
      </w:r>
      <w:r>
        <w:rPr>
          <w:rFonts w:eastAsia="Arial"/>
        </w:rPr>
        <w:t>crediting period</w:t>
      </w:r>
      <w:r w:rsidR="0057069B">
        <w:rPr>
          <w:rFonts w:eastAsia="Arial"/>
        </w:rPr>
        <w:t>s</w:t>
      </w:r>
      <w:r>
        <w:rPr>
          <w:rFonts w:eastAsia="Arial"/>
        </w:rPr>
        <w:t xml:space="preserve">, the </w:t>
      </w:r>
      <w:r w:rsidR="000F12D1">
        <w:rPr>
          <w:rFonts w:eastAsia="Arial"/>
        </w:rPr>
        <w:t xml:space="preserve">BM emission factor </w:t>
      </w:r>
      <w:r w:rsidR="00FD58A0">
        <w:rPr>
          <w:rFonts w:eastAsia="Arial"/>
        </w:rPr>
        <w:t>shall be determined once ex</w:t>
      </w:r>
      <w:r w:rsidR="002E67A4">
        <w:rPr>
          <w:rFonts w:eastAsia="Arial"/>
        </w:rPr>
        <w:t> </w:t>
      </w:r>
      <w:r w:rsidR="00FD58A0">
        <w:rPr>
          <w:rFonts w:eastAsia="Arial"/>
        </w:rPr>
        <w:t xml:space="preserve">ante and </w:t>
      </w:r>
      <w:r w:rsidR="00A95E9A">
        <w:rPr>
          <w:rFonts w:eastAsia="Arial"/>
        </w:rPr>
        <w:t xml:space="preserve">shall </w:t>
      </w:r>
      <w:r w:rsidR="00FD58A0">
        <w:rPr>
          <w:rFonts w:eastAsia="Arial"/>
        </w:rPr>
        <w:t xml:space="preserve">not be updated </w:t>
      </w:r>
      <w:r w:rsidR="00957AB9">
        <w:rPr>
          <w:rFonts w:eastAsia="Arial"/>
        </w:rPr>
        <w:t>for each calendar year of the crediting period</w:t>
      </w:r>
      <w:r w:rsidR="00FD58A0">
        <w:rPr>
          <w:rFonts w:eastAsia="Arial"/>
        </w:rPr>
        <w:t xml:space="preserve">. It shall be determined </w:t>
      </w:r>
      <w:r w:rsidR="001B5900">
        <w:rPr>
          <w:rFonts w:eastAsia="Arial"/>
        </w:rPr>
        <w:t xml:space="preserve">for </w:t>
      </w:r>
      <w:r w:rsidR="00FD58A0">
        <w:rPr>
          <w:rFonts w:eastAsia="Arial"/>
        </w:rPr>
        <w:t>the concurrent reference period</w:t>
      </w:r>
      <w:r w:rsidR="00C538E9">
        <w:rPr>
          <w:rFonts w:eastAsia="Arial"/>
        </w:rPr>
        <w:t xml:space="preserve"> and the set of power </w:t>
      </w:r>
      <w:r w:rsidR="00803F5F">
        <w:rPr>
          <w:rFonts w:eastAsia="Arial"/>
        </w:rPr>
        <w:t>units</w:t>
      </w:r>
      <w:r w:rsidR="00C538E9">
        <w:rPr>
          <w:rFonts w:eastAsia="Arial"/>
        </w:rPr>
        <w:t> </w:t>
      </w:r>
      <w:r w:rsidR="0068705B" w:rsidRPr="0068705B">
        <w:rPr>
          <w:rFonts w:eastAsia="Arial"/>
          <w:i/>
          <w:iCs/>
        </w:rPr>
        <w:t>p</w:t>
      </w:r>
      <w:r w:rsidR="00C538E9">
        <w:rPr>
          <w:rFonts w:eastAsia="Arial"/>
        </w:rPr>
        <w:t xml:space="preserve"> identified for that period</w:t>
      </w:r>
      <w:r w:rsidR="00181BA4">
        <w:rPr>
          <w:rFonts w:eastAsia="Arial"/>
        </w:rPr>
        <w:t xml:space="preserve">, </w:t>
      </w:r>
      <w:r w:rsidR="00BA1376">
        <w:rPr>
          <w:rFonts w:eastAsia="Arial"/>
        </w:rPr>
        <w:t xml:space="preserve">in accordance with </w:t>
      </w:r>
      <w:r w:rsidR="00181BA4">
        <w:rPr>
          <w:rFonts w:eastAsia="Arial"/>
        </w:rPr>
        <w:t xml:space="preserve">the provisions in </w:t>
      </w:r>
      <w:r w:rsidR="006E1804">
        <w:rPr>
          <w:rFonts w:eastAsia="Arial"/>
        </w:rPr>
        <w:t>paragraph</w:t>
      </w:r>
      <w:r w:rsidR="00371E1E">
        <w:rPr>
          <w:rFonts w:eastAsia="Arial"/>
        </w:rPr>
        <w:t> </w:t>
      </w:r>
      <w:r w:rsidR="006E1804">
        <w:rPr>
          <w:rFonts w:eastAsia="Arial"/>
        </w:rPr>
        <w:fldChar w:fldCharType="begin"/>
      </w:r>
      <w:r w:rsidR="006E1804">
        <w:rPr>
          <w:rFonts w:eastAsia="Arial"/>
        </w:rPr>
        <w:instrText xml:space="preserve"> REF _Ref216178663 \w \h </w:instrText>
      </w:r>
      <w:r w:rsidR="006E1804">
        <w:rPr>
          <w:rFonts w:eastAsia="Arial"/>
        </w:rPr>
      </w:r>
      <w:r w:rsidR="006E1804">
        <w:rPr>
          <w:rFonts w:eastAsia="Arial"/>
        </w:rPr>
        <w:fldChar w:fldCharType="separate"/>
      </w:r>
      <w:r w:rsidR="00D811A8">
        <w:rPr>
          <w:rFonts w:eastAsia="Arial"/>
          <w:cs/>
        </w:rPr>
        <w:t>‎</w:t>
      </w:r>
      <w:r w:rsidR="00D811A8">
        <w:rPr>
          <w:rFonts w:eastAsia="Arial"/>
        </w:rPr>
        <w:t>95</w:t>
      </w:r>
      <w:r w:rsidR="006E1804">
        <w:rPr>
          <w:rFonts w:eastAsia="Arial"/>
        </w:rPr>
        <w:fldChar w:fldCharType="end"/>
      </w:r>
      <w:r w:rsidR="00181BA4">
        <w:rPr>
          <w:rFonts w:eastAsia="Arial"/>
        </w:rPr>
        <w:t>,</w:t>
      </w:r>
      <w:r w:rsidR="00DD2E57" w:rsidDel="003B365F">
        <w:rPr>
          <w:rFonts w:eastAsia="Arial"/>
        </w:rPr>
        <w:t xml:space="preserve"> </w:t>
      </w:r>
      <w:r w:rsidR="00EE16EC">
        <w:rPr>
          <w:rFonts w:eastAsia="Arial"/>
        </w:rPr>
        <w:t xml:space="preserve">using </w:t>
      </w:r>
      <w:r w:rsidR="00410EE1">
        <w:rPr>
          <w:rFonts w:eastAsia="Arial"/>
        </w:rPr>
        <w:t xml:space="preserve">data on </w:t>
      </w:r>
      <w:r w:rsidR="00EE16EC">
        <w:rPr>
          <w:rFonts w:eastAsia="Arial"/>
        </w:rPr>
        <w:t xml:space="preserve">electricity generation from the </w:t>
      </w:r>
      <w:r w:rsidR="00EE16EC" w:rsidDel="003B365F">
        <w:rPr>
          <w:rFonts w:eastAsia="Arial"/>
        </w:rPr>
        <w:t>power units</w:t>
      </w:r>
      <w:r w:rsidR="00AF5422" w:rsidDel="003B365F">
        <w:rPr>
          <w:rFonts w:eastAsia="Arial"/>
        </w:rPr>
        <w:t> </w:t>
      </w:r>
      <w:r w:rsidR="0068705B" w:rsidDel="003B365F">
        <w:rPr>
          <w:rFonts w:eastAsia="Arial"/>
          <w:i/>
          <w:iCs/>
        </w:rPr>
        <w:t>p</w:t>
      </w:r>
      <w:r w:rsidR="00336B23" w:rsidDel="003B365F">
        <w:rPr>
          <w:rFonts w:eastAsia="Arial"/>
          <w:i/>
          <w:iCs/>
        </w:rPr>
        <w:t xml:space="preserve"> </w:t>
      </w:r>
      <w:r w:rsidR="00410EE1">
        <w:rPr>
          <w:rFonts w:eastAsia="Arial"/>
        </w:rPr>
        <w:t xml:space="preserve">covering the period </w:t>
      </w:r>
      <w:r w:rsidR="00FD58A0" w:rsidDel="003B365F">
        <w:rPr>
          <w:rFonts w:eastAsia="Arial"/>
        </w:rPr>
        <w:t xml:space="preserve">from </w:t>
      </w:r>
      <w:r w:rsidR="00FD58A0">
        <w:rPr>
          <w:rFonts w:eastAsia="Arial"/>
        </w:rPr>
        <w:t>the start of the concurrent reference period up to the most recent calendar year for which data</w:t>
      </w:r>
      <w:r w:rsidR="00FD58A0" w:rsidDel="008530D8">
        <w:rPr>
          <w:rFonts w:eastAsia="Arial"/>
        </w:rPr>
        <w:t xml:space="preserve"> </w:t>
      </w:r>
      <w:r w:rsidR="008530D8">
        <w:rPr>
          <w:rFonts w:eastAsia="Arial"/>
        </w:rPr>
        <w:t xml:space="preserve">are </w:t>
      </w:r>
      <w:r w:rsidR="00FD58A0">
        <w:rPr>
          <w:rFonts w:eastAsia="Arial"/>
        </w:rPr>
        <w:t xml:space="preserve">available at the </w:t>
      </w:r>
      <w:r w:rsidR="00F911E8">
        <w:rPr>
          <w:rFonts w:eastAsia="Arial"/>
        </w:rPr>
        <w:t xml:space="preserve">time </w:t>
      </w:r>
      <w:r w:rsidR="295735A1" w:rsidRPr="533C5804">
        <w:rPr>
          <w:rFonts w:eastAsia="Arial"/>
        </w:rPr>
        <w:t>of</w:t>
      </w:r>
      <w:r w:rsidR="00F911E8" w:rsidRPr="533C5804">
        <w:rPr>
          <w:rFonts w:eastAsia="Arial"/>
        </w:rPr>
        <w:t xml:space="preserve"> </w:t>
      </w:r>
      <w:r w:rsidR="00F911E8">
        <w:rPr>
          <w:rFonts w:eastAsia="Arial"/>
        </w:rPr>
        <w:t>renewal of the crediting period.</w:t>
      </w:r>
    </w:p>
    <w:p w14:paraId="0995D883" w14:textId="0EE7CC77" w:rsidR="001938E4" w:rsidRPr="0068705B" w:rsidRDefault="001938E4">
      <w:pPr>
        <w:pStyle w:val="SDMPara"/>
      </w:pPr>
      <w:r w:rsidRPr="0068705B">
        <w:t>The CO</w:t>
      </w:r>
      <w:r w:rsidRPr="0068705B">
        <w:rPr>
          <w:vertAlign w:val="subscript"/>
        </w:rPr>
        <w:t>2</w:t>
      </w:r>
      <w:r w:rsidRPr="0068705B">
        <w:t xml:space="preserve"> emission factor of the power units </w:t>
      </w:r>
      <w:r w:rsidRPr="0068705B">
        <w:rPr>
          <w:i/>
        </w:rPr>
        <w:t>p</w:t>
      </w:r>
      <w:r w:rsidRPr="0068705B">
        <w:t xml:space="preserve"> (</w:t>
      </w:r>
      <w:r w:rsidRPr="0068705B">
        <w:rPr>
          <w:i/>
        </w:rPr>
        <w:t>EF</w:t>
      </w:r>
      <w:r w:rsidRPr="0068705B">
        <w:rPr>
          <w:i/>
          <w:vertAlign w:val="subscript"/>
        </w:rPr>
        <w:t>EL,p,t</w:t>
      </w:r>
      <w:r w:rsidRPr="0068705B">
        <w:t xml:space="preserve">) shall be determined </w:t>
      </w:r>
      <w:r w:rsidR="00DB4E5E">
        <w:t>in accordance with</w:t>
      </w:r>
      <w:r w:rsidRPr="0068705B">
        <w:t xml:space="preserve"> the provisions in section</w:t>
      </w:r>
      <w:r w:rsidR="00BF1750">
        <w:t xml:space="preserve"> </w:t>
      </w:r>
      <w:r w:rsidR="00BF1750">
        <w:fldChar w:fldCharType="begin"/>
      </w:r>
      <w:r w:rsidR="00BF1750">
        <w:instrText xml:space="preserve"> REF _Ref215698796 \w \h </w:instrText>
      </w:r>
      <w:r w:rsidR="00BF1750">
        <w:fldChar w:fldCharType="separate"/>
      </w:r>
      <w:r w:rsidR="00D811A8">
        <w:rPr>
          <w:cs/>
        </w:rPr>
        <w:t>‎</w:t>
      </w:r>
      <w:r w:rsidR="00D811A8">
        <w:t>5.7.1.1.3</w:t>
      </w:r>
      <w:r w:rsidR="00BF1750">
        <w:fldChar w:fldCharType="end"/>
      </w:r>
      <w:r w:rsidRPr="0068705B">
        <w:t>.</w:t>
      </w:r>
    </w:p>
    <w:p w14:paraId="549FD84E" w14:textId="4ECEA0EA" w:rsidR="000231C3" w:rsidRDefault="000231C3">
      <w:pPr>
        <w:pStyle w:val="SDMPara"/>
      </w:pPr>
      <w:r>
        <w:t xml:space="preserve">For the purpose of quantifying the uncertainty of the </w:t>
      </w:r>
      <w:r w:rsidR="006325E2">
        <w:t xml:space="preserve">BM emission factor, the </w:t>
      </w:r>
      <w:r w:rsidR="00255A76">
        <w:t xml:space="preserve">uncertainty </w:t>
      </w:r>
      <w:r w:rsidR="009A0B77">
        <w:t xml:space="preserve">associated with </w:t>
      </w:r>
      <w:r w:rsidR="3AD0FB34">
        <w:t>the</w:t>
      </w:r>
      <w:r w:rsidR="009A0B77">
        <w:t xml:space="preserve"> </w:t>
      </w:r>
      <w:r w:rsidR="004C2E2F">
        <w:t>BM method,</w:t>
      </w:r>
      <w:r w:rsidR="001C12D1">
        <w:t xml:space="preserve"> in particular</w:t>
      </w:r>
      <w:r w:rsidR="003D4C05">
        <w:t xml:space="preserve"> </w:t>
      </w:r>
      <w:r w:rsidR="004C2E2F">
        <w:t xml:space="preserve">the assumption </w:t>
      </w:r>
      <w:r w:rsidR="003D4C05">
        <w:t>that the Article</w:t>
      </w:r>
      <w:r w:rsidR="000D4904">
        <w:t> </w:t>
      </w:r>
      <w:r w:rsidR="003D4C05">
        <w:t>6.4</w:t>
      </w:r>
      <w:r w:rsidR="00335F76">
        <w:t xml:space="preserve"> activity</w:t>
      </w:r>
      <w:r w:rsidR="003D4C05">
        <w:t xml:space="preserve"> would displace the </w:t>
      </w:r>
      <w:r w:rsidR="004E2A53">
        <w:t xml:space="preserve">construction of the </w:t>
      </w:r>
      <w:r w:rsidR="003D4C05">
        <w:t xml:space="preserve">same </w:t>
      </w:r>
      <w:r w:rsidR="004E2A53">
        <w:t xml:space="preserve">type and composition of </w:t>
      </w:r>
      <w:r w:rsidR="003D4C05">
        <w:t xml:space="preserve">power </w:t>
      </w:r>
      <w:r w:rsidR="004E2A53">
        <w:t xml:space="preserve">units </w:t>
      </w:r>
      <w:r w:rsidR="001C12D1">
        <w:t xml:space="preserve">as those </w:t>
      </w:r>
      <w:r w:rsidR="004E2A53">
        <w:t xml:space="preserve">included </w:t>
      </w:r>
      <w:r w:rsidR="001C12D1">
        <w:t xml:space="preserve">in the </w:t>
      </w:r>
      <w:r w:rsidR="004E2A53">
        <w:t>BM</w:t>
      </w:r>
      <w:r w:rsidR="001C12D1">
        <w:t xml:space="preserve">, shall be assumed to </w:t>
      </w:r>
      <w:r w:rsidR="004E2A53" w:rsidRPr="001A00C0">
        <w:t>be</w:t>
      </w:r>
      <w:r w:rsidR="001C12D1" w:rsidRPr="001A00C0">
        <w:t xml:space="preserve"> </w:t>
      </w:r>
      <w:r w:rsidR="00E646CB" w:rsidRPr="0081214A">
        <w:t>±</w:t>
      </w:r>
      <w:r w:rsidR="008C5DD8" w:rsidRPr="0081214A">
        <w:t>10</w:t>
      </w:r>
      <w:r w:rsidR="00CB21FB" w:rsidRPr="001A00C0">
        <w:t xml:space="preserve"> per</w:t>
      </w:r>
      <w:r w:rsidR="00CB21FB">
        <w:t xml:space="preserve"> cent</w:t>
      </w:r>
      <w:r w:rsidR="001C12D1">
        <w:t xml:space="preserve"> of the </w:t>
      </w:r>
      <w:r w:rsidR="002A3A37">
        <w:t xml:space="preserve">calculated </w:t>
      </w:r>
      <w:r w:rsidR="004E2A53">
        <w:t>BM emission factor</w:t>
      </w:r>
      <w:r w:rsidR="002A3A37">
        <w:t>.</w:t>
      </w:r>
    </w:p>
    <w:p w14:paraId="133A0374" w14:textId="1F949B73" w:rsidR="00591DFD" w:rsidRPr="00E7082C" w:rsidRDefault="00591DFD">
      <w:pPr>
        <w:pStyle w:val="SDMHead4"/>
        <w:rPr>
          <w:lang w:eastAsia="zh-CN"/>
        </w:rPr>
      </w:pPr>
      <w:bookmarkStart w:id="521" w:name="_Ref221038901"/>
      <w:r w:rsidRPr="00843AEE">
        <w:t>Sub step</w:t>
      </w:r>
      <w:r w:rsidR="00592D9E">
        <w:t> </w:t>
      </w:r>
      <w:r w:rsidR="00E770AA" w:rsidRPr="00843AEE">
        <w:t>c</w:t>
      </w:r>
      <w:r w:rsidRPr="00843AEE">
        <w:t>:</w:t>
      </w:r>
      <w:r w:rsidRPr="63CB6243">
        <w:rPr>
          <w:lang w:eastAsia="zh-CN"/>
        </w:rPr>
        <w:t xml:space="preserve"> </w:t>
      </w:r>
      <w:r w:rsidR="005F19A9" w:rsidRPr="63CB6243">
        <w:rPr>
          <w:lang w:eastAsia="zh-CN"/>
        </w:rPr>
        <w:t>Determin</w:t>
      </w:r>
      <w:r w:rsidR="005F19A9">
        <w:rPr>
          <w:lang w:eastAsia="zh-CN"/>
        </w:rPr>
        <w:t>ation of</w:t>
      </w:r>
      <w:r w:rsidR="005F19A9" w:rsidRPr="63CB6243">
        <w:rPr>
          <w:lang w:eastAsia="zh-CN"/>
        </w:rPr>
        <w:t xml:space="preserve"> </w:t>
      </w:r>
      <w:r w:rsidRPr="63CB6243">
        <w:rPr>
          <w:lang w:eastAsia="zh-CN"/>
        </w:rPr>
        <w:t xml:space="preserve">the CM emission factor </w:t>
      </w:r>
      <w:r w:rsidR="00A82AE3">
        <w:rPr>
          <w:lang w:eastAsia="zh-CN"/>
        </w:rPr>
        <w:t>(</w:t>
      </w:r>
      <w:r>
        <w:t>EF</w:t>
      </w:r>
      <w:r w:rsidRPr="008F55C0">
        <w:rPr>
          <w:vertAlign w:val="subscript"/>
        </w:rPr>
        <w:t>CM,y</w:t>
      </w:r>
      <w:r>
        <w:t xml:space="preserve"> </w:t>
      </w:r>
      <w:r w:rsidR="00683F53" w:rsidRPr="00843AEE">
        <w:t xml:space="preserve">or </w:t>
      </w:r>
      <w:r w:rsidR="00683F53">
        <w:t>EF</w:t>
      </w:r>
      <w:r w:rsidR="00683F53" w:rsidRPr="00C731F9">
        <w:rPr>
          <w:vertAlign w:val="subscript"/>
        </w:rPr>
        <w:t>CM,h</w:t>
      </w:r>
      <w:r w:rsidR="00A82AE3">
        <w:t>)</w:t>
      </w:r>
      <w:bookmarkEnd w:id="521"/>
    </w:p>
    <w:p w14:paraId="33A327D2" w14:textId="0198EE33" w:rsidR="008E6261" w:rsidRPr="00D60CDA" w:rsidRDefault="3165E7C8" w:rsidP="00C72647">
      <w:pPr>
        <w:pStyle w:val="SDMPara"/>
        <w:keepNext/>
        <w:rPr>
          <w:rFonts w:eastAsia="Arial"/>
        </w:rPr>
      </w:pPr>
      <w:r>
        <w:t xml:space="preserve">The </w:t>
      </w:r>
      <w:r w:rsidR="21A91F34">
        <w:t>CM</w:t>
      </w:r>
      <w:r>
        <w:t xml:space="preserve"> emission factor </w:t>
      </w:r>
      <w:r w:rsidR="21A91F34">
        <w:t xml:space="preserve">shall be </w:t>
      </w:r>
      <w:r>
        <w:t>calculated as follows:</w:t>
      </w:r>
    </w:p>
    <w:tbl>
      <w:tblPr>
        <w:tblStyle w:val="SDMMethTableEquation"/>
        <w:tblW w:w="8760" w:type="dxa"/>
        <w:tblLook w:val="0600" w:firstRow="0" w:lastRow="0" w:firstColumn="0" w:lastColumn="0" w:noHBand="1" w:noVBand="1"/>
      </w:tblPr>
      <w:tblGrid>
        <w:gridCol w:w="7093"/>
        <w:gridCol w:w="1667"/>
      </w:tblGrid>
      <w:tr w:rsidR="008E6261" w:rsidRPr="0038644B" w14:paraId="2E5E7DB6" w14:textId="77777777" w:rsidTr="00CC3EC0">
        <w:tc>
          <w:tcPr>
            <w:tcW w:w="7093" w:type="dxa"/>
          </w:tcPr>
          <w:p w14:paraId="153B835A" w14:textId="4A298FD0" w:rsidR="008E6261" w:rsidRPr="0038644B" w:rsidRDefault="00000000" w:rsidP="000151E6">
            <w:pPr>
              <w:pStyle w:val="SDMPara"/>
              <w:numPr>
                <w:ilvl w:val="0"/>
                <w:numId w:val="0"/>
              </w:numPr>
            </w:pPr>
            <m:oMathPara>
              <m:oMathParaPr>
                <m:jc m:val="left"/>
              </m:oMathParaPr>
              <m:oMath>
                <m:sSub>
                  <m:sSubPr>
                    <m:ctrlPr>
                      <w:rPr>
                        <w:rFonts w:ascii="Cambria Math" w:hAnsi="Cambria Math"/>
                        <w:i/>
                      </w:rPr>
                    </m:ctrlPr>
                  </m:sSubPr>
                  <m:e>
                    <m:r>
                      <w:rPr>
                        <w:rFonts w:ascii="Cambria Math" w:hAnsi="Cambria Math"/>
                      </w:rPr>
                      <m:t>EF</m:t>
                    </m:r>
                  </m:e>
                  <m:sub>
                    <m:r>
                      <w:rPr>
                        <w:rFonts w:ascii="Cambria Math" w:hAnsi="Cambria Math"/>
                      </w:rPr>
                      <m:t>CM,t</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OM,t</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OM</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BM,t</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BM</m:t>
                    </m:r>
                  </m:sub>
                </m:sSub>
              </m:oMath>
            </m:oMathPara>
          </w:p>
        </w:tc>
        <w:tc>
          <w:tcPr>
            <w:tcW w:w="1667" w:type="dxa"/>
          </w:tcPr>
          <w:p w14:paraId="272AC1EE" w14:textId="77777777" w:rsidR="008E6261" w:rsidRPr="0038644B" w:rsidRDefault="008E6261">
            <w:pPr>
              <w:pStyle w:val="SDMMethEquationNr"/>
              <w:numPr>
                <w:ilvl w:val="0"/>
                <w:numId w:val="6"/>
              </w:numPr>
            </w:pPr>
          </w:p>
        </w:tc>
      </w:tr>
    </w:tbl>
    <w:p w14:paraId="7A097612" w14:textId="77777777" w:rsidR="008E6261" w:rsidRPr="0038644B" w:rsidRDefault="008E6261" w:rsidP="00C72647">
      <w:pPr>
        <w:pStyle w:val="SDMMethCaptionEquationParametersTable"/>
      </w:pPr>
      <w:r w:rsidRPr="0038644B">
        <w:t>Where:</w:t>
      </w:r>
    </w:p>
    <w:tbl>
      <w:tblPr>
        <w:tblStyle w:val="SDMMethTableEquationParameters"/>
        <w:tblW w:w="8760" w:type="dxa"/>
        <w:tblInd w:w="601" w:type="dxa"/>
        <w:tblLook w:val="04A0" w:firstRow="1" w:lastRow="0" w:firstColumn="1" w:lastColumn="0" w:noHBand="0" w:noVBand="1"/>
      </w:tblPr>
      <w:tblGrid>
        <w:gridCol w:w="1701"/>
        <w:gridCol w:w="345"/>
        <w:gridCol w:w="6714"/>
      </w:tblGrid>
      <w:tr w:rsidR="002652CB" w:rsidRPr="007967A9" w14:paraId="7F908482" w14:textId="77777777" w:rsidTr="00204D05">
        <w:tc>
          <w:tcPr>
            <w:tcW w:w="1701" w:type="dxa"/>
            <w:vAlign w:val="top"/>
          </w:tcPr>
          <w:p w14:paraId="58039144" w14:textId="4AE5AABE" w:rsidR="002652CB" w:rsidRPr="007967A9" w:rsidRDefault="00000000" w:rsidP="00204D05">
            <w:pPr>
              <w:pStyle w:val="SDMTableBoxParaNotNumbered"/>
              <w:rPr>
                <w:rFonts w:cs="Arial"/>
              </w:rPr>
            </w:pPr>
            <m:oMathPara>
              <m:oMathParaPr>
                <m:jc m:val="left"/>
              </m:oMathParaPr>
              <m:oMath>
                <m:sSub>
                  <m:sSubPr>
                    <m:ctrlPr>
                      <w:rPr>
                        <w:rFonts w:ascii="Cambria Math" w:hAnsi="Cambria Math" w:cs="Arial"/>
                        <w:i/>
                      </w:rPr>
                    </m:ctrlPr>
                  </m:sSubPr>
                  <m:e>
                    <m:r>
                      <w:rPr>
                        <w:rFonts w:ascii="Cambria Math" w:hAnsi="Cambria Math" w:cs="Arial"/>
                      </w:rPr>
                      <m:t>EF</m:t>
                    </m:r>
                  </m:e>
                  <m:sub>
                    <m:r>
                      <w:rPr>
                        <w:rFonts w:ascii="Cambria Math" w:hAnsi="Cambria Math" w:cs="Arial"/>
                      </w:rPr>
                      <m:t>CM,t</m:t>
                    </m:r>
                  </m:sub>
                </m:sSub>
              </m:oMath>
            </m:oMathPara>
          </w:p>
        </w:tc>
        <w:tc>
          <w:tcPr>
            <w:tcW w:w="345" w:type="dxa"/>
            <w:vAlign w:val="top"/>
          </w:tcPr>
          <w:p w14:paraId="1BE8B9F1" w14:textId="77777777" w:rsidR="002652CB" w:rsidRPr="007967A9" w:rsidRDefault="002652CB" w:rsidP="00204D05">
            <w:pPr>
              <w:pStyle w:val="SDMTableBoxParaNotNumbered"/>
              <w:rPr>
                <w:rFonts w:cs="Arial"/>
              </w:rPr>
            </w:pPr>
            <w:r w:rsidRPr="007967A9">
              <w:rPr>
                <w:rFonts w:cs="Arial"/>
              </w:rPr>
              <w:t>=</w:t>
            </w:r>
          </w:p>
        </w:tc>
        <w:tc>
          <w:tcPr>
            <w:tcW w:w="0" w:type="auto"/>
            <w:vAlign w:val="top"/>
          </w:tcPr>
          <w:p w14:paraId="4A321D07" w14:textId="42FFF35A" w:rsidR="002652CB" w:rsidRPr="007967A9" w:rsidRDefault="007F350B" w:rsidP="00204D05">
            <w:pPr>
              <w:pStyle w:val="SDMTableBoxParaNotNumbered"/>
              <w:rPr>
                <w:rFonts w:cs="Arial"/>
              </w:rPr>
            </w:pPr>
            <w:r w:rsidRPr="007967A9">
              <w:rPr>
                <w:rFonts w:eastAsia="SimSun" w:cs="Arial"/>
                <w:lang w:eastAsia="zh-CN"/>
              </w:rPr>
              <w:t>CM</w:t>
            </w:r>
            <w:r w:rsidR="00C97040" w:rsidRPr="007967A9">
              <w:rPr>
                <w:rFonts w:eastAsia="SimSun" w:cs="Arial"/>
                <w:lang w:eastAsia="zh-CN"/>
              </w:rPr>
              <w:t xml:space="preserve"> CO</w:t>
            </w:r>
            <w:r w:rsidR="00C97040" w:rsidRPr="007967A9">
              <w:rPr>
                <w:rFonts w:eastAsia="SimSun" w:cs="Arial"/>
                <w:vertAlign w:val="subscript"/>
                <w:lang w:eastAsia="zh-CN"/>
              </w:rPr>
              <w:t>2</w:t>
            </w:r>
            <w:r w:rsidR="00C97040" w:rsidRPr="007967A9">
              <w:rPr>
                <w:rFonts w:eastAsia="SimSun" w:cs="Arial"/>
                <w:lang w:eastAsia="zh-CN"/>
              </w:rPr>
              <w:t xml:space="preserve"> emission factor in period</w:t>
            </w:r>
            <w:r w:rsidR="007967A9">
              <w:rPr>
                <w:rFonts w:eastAsia="SimSun" w:cs="Arial"/>
                <w:lang w:eastAsia="zh-CN"/>
              </w:rPr>
              <w:t> </w:t>
            </w:r>
            <w:r w:rsidR="00C97040" w:rsidRPr="007967A9">
              <w:rPr>
                <w:rFonts w:eastAsia="SimSun" w:cs="Arial"/>
                <w:i/>
                <w:iCs/>
                <w:lang w:eastAsia="zh-CN"/>
              </w:rPr>
              <w:t>t</w:t>
            </w:r>
            <w:r w:rsidR="00C97040" w:rsidRPr="007967A9">
              <w:rPr>
                <w:rFonts w:eastAsia="SimSun" w:cs="Arial"/>
                <w:i/>
                <w:lang w:val="en-US" w:eastAsia="zh-CN"/>
              </w:rPr>
              <w:t xml:space="preserve"> </w:t>
            </w:r>
            <w:r w:rsidR="00C97040" w:rsidRPr="007967A9">
              <w:rPr>
                <w:rFonts w:eastAsia="SimSun" w:cs="Arial"/>
                <w:lang w:eastAsia="zh-CN"/>
              </w:rPr>
              <w:t>(t</w:t>
            </w:r>
            <w:r w:rsidR="007967A9">
              <w:rPr>
                <w:rFonts w:eastAsia="SimSun" w:cs="Arial"/>
                <w:lang w:eastAsia="zh-CN"/>
              </w:rPr>
              <w:t> </w:t>
            </w:r>
            <w:r w:rsidR="00C97040" w:rsidRPr="007967A9">
              <w:rPr>
                <w:rFonts w:eastAsia="SimSun" w:cs="Arial"/>
                <w:lang w:eastAsia="zh-CN"/>
              </w:rPr>
              <w:t>CO</w:t>
            </w:r>
            <w:r w:rsidR="00C97040" w:rsidRPr="007967A9">
              <w:rPr>
                <w:rFonts w:eastAsia="SimSun" w:cs="Arial"/>
                <w:vertAlign w:val="subscript"/>
                <w:lang w:eastAsia="zh-CN"/>
              </w:rPr>
              <w:t>2</w:t>
            </w:r>
            <w:r w:rsidR="00C97040" w:rsidRPr="007967A9">
              <w:rPr>
                <w:rFonts w:eastAsia="SimSun" w:cs="Arial"/>
                <w:lang w:eastAsia="zh-CN"/>
              </w:rPr>
              <w:t>/MWh)</w:t>
            </w:r>
          </w:p>
        </w:tc>
      </w:tr>
      <w:tr w:rsidR="008E6261" w:rsidRPr="007967A9" w14:paraId="7C7CE9C2" w14:textId="77777777" w:rsidTr="00204D05">
        <w:tc>
          <w:tcPr>
            <w:tcW w:w="1701" w:type="dxa"/>
            <w:vAlign w:val="top"/>
          </w:tcPr>
          <w:p w14:paraId="66386FCD" w14:textId="3B751104" w:rsidR="008E6261" w:rsidRPr="007967A9" w:rsidRDefault="00000000" w:rsidP="00204D05">
            <w:pPr>
              <w:pStyle w:val="SDMTableBoxParaNotNumbered"/>
              <w:rPr>
                <w:rFonts w:cs="Arial"/>
                <w:i/>
              </w:rPr>
            </w:pPr>
            <m:oMathPara>
              <m:oMathParaPr>
                <m:jc m:val="left"/>
              </m:oMathParaPr>
              <m:oMath>
                <m:sSub>
                  <m:sSubPr>
                    <m:ctrlPr>
                      <w:rPr>
                        <w:rFonts w:ascii="Cambria Math" w:hAnsi="Cambria Math" w:cs="Arial"/>
                        <w:i/>
                      </w:rPr>
                    </m:ctrlPr>
                  </m:sSubPr>
                  <m:e>
                    <m:r>
                      <w:rPr>
                        <w:rFonts w:ascii="Cambria Math" w:hAnsi="Cambria Math" w:cs="Arial"/>
                      </w:rPr>
                      <m:t>EF</m:t>
                    </m:r>
                  </m:e>
                  <m:sub>
                    <m:r>
                      <w:rPr>
                        <w:rFonts w:ascii="Cambria Math" w:hAnsi="Cambria Math" w:cs="Arial"/>
                      </w:rPr>
                      <m:t>OM,t</m:t>
                    </m:r>
                  </m:sub>
                </m:sSub>
              </m:oMath>
            </m:oMathPara>
          </w:p>
        </w:tc>
        <w:tc>
          <w:tcPr>
            <w:tcW w:w="345" w:type="dxa"/>
            <w:vAlign w:val="top"/>
          </w:tcPr>
          <w:p w14:paraId="1E25FFFD" w14:textId="77777777" w:rsidR="008E6261" w:rsidRPr="007967A9" w:rsidRDefault="008E6261" w:rsidP="00204D05">
            <w:pPr>
              <w:pStyle w:val="SDMTableBoxParaNotNumbered"/>
              <w:rPr>
                <w:rFonts w:cs="Arial"/>
              </w:rPr>
            </w:pPr>
            <w:r w:rsidRPr="007967A9">
              <w:rPr>
                <w:rFonts w:cs="Arial"/>
              </w:rPr>
              <w:t>=</w:t>
            </w:r>
          </w:p>
        </w:tc>
        <w:tc>
          <w:tcPr>
            <w:tcW w:w="0" w:type="auto"/>
            <w:vAlign w:val="top"/>
          </w:tcPr>
          <w:p w14:paraId="32DA51B2" w14:textId="3F2E6378" w:rsidR="008E6261" w:rsidRPr="007967A9" w:rsidRDefault="007F350B" w:rsidP="00204D05">
            <w:pPr>
              <w:pStyle w:val="SDMTableBoxParaNotNumbered"/>
              <w:rPr>
                <w:rFonts w:cs="Arial"/>
              </w:rPr>
            </w:pPr>
            <w:r w:rsidRPr="007967A9">
              <w:rPr>
                <w:rFonts w:cs="Arial"/>
              </w:rPr>
              <w:t>OM</w:t>
            </w:r>
            <w:r w:rsidR="008E6261" w:rsidRPr="007967A9">
              <w:rPr>
                <w:rFonts w:cs="Arial"/>
              </w:rPr>
              <w:t xml:space="preserve"> CO</w:t>
            </w:r>
            <w:r w:rsidR="008E6261" w:rsidRPr="007967A9">
              <w:rPr>
                <w:rFonts w:cs="Arial"/>
                <w:vertAlign w:val="subscript"/>
              </w:rPr>
              <w:t>2</w:t>
            </w:r>
            <w:r w:rsidR="008E6261" w:rsidRPr="007967A9">
              <w:rPr>
                <w:rFonts w:cs="Arial"/>
              </w:rPr>
              <w:t xml:space="preserve"> emission factor in </w:t>
            </w:r>
            <w:r w:rsidR="00C97040" w:rsidRPr="007967A9">
              <w:rPr>
                <w:rFonts w:eastAsia="SimSun" w:cs="Arial"/>
                <w:lang w:eastAsia="zh-CN"/>
              </w:rPr>
              <w:t>period</w:t>
            </w:r>
            <w:r w:rsidR="003B0C1A" w:rsidRPr="007967A9">
              <w:rPr>
                <w:rFonts w:eastAsia="SimSun" w:cs="Arial"/>
                <w:lang w:eastAsia="zh-CN"/>
              </w:rPr>
              <w:t> </w:t>
            </w:r>
            <w:r w:rsidR="00C97040" w:rsidRPr="007967A9">
              <w:rPr>
                <w:rFonts w:eastAsia="SimSun" w:cs="Arial"/>
                <w:i/>
                <w:iCs/>
                <w:lang w:eastAsia="zh-CN"/>
              </w:rPr>
              <w:t>t</w:t>
            </w:r>
            <w:r w:rsidR="00C97040" w:rsidRPr="007967A9">
              <w:rPr>
                <w:rFonts w:eastAsia="SimSun" w:cs="Arial"/>
                <w:i/>
                <w:lang w:val="en-US" w:eastAsia="zh-CN"/>
              </w:rPr>
              <w:t xml:space="preserve"> </w:t>
            </w:r>
            <w:r w:rsidR="008E6261" w:rsidRPr="007967A9">
              <w:rPr>
                <w:rFonts w:cs="Arial"/>
              </w:rPr>
              <w:t>(t</w:t>
            </w:r>
            <w:r w:rsidR="007967A9">
              <w:rPr>
                <w:rFonts w:cs="Arial"/>
              </w:rPr>
              <w:t> </w:t>
            </w:r>
            <w:r w:rsidR="008E6261" w:rsidRPr="007967A9">
              <w:rPr>
                <w:rFonts w:cs="Arial"/>
              </w:rPr>
              <w:t>CO</w:t>
            </w:r>
            <w:r w:rsidR="008E6261" w:rsidRPr="007967A9">
              <w:rPr>
                <w:rFonts w:cs="Arial"/>
                <w:vertAlign w:val="subscript"/>
              </w:rPr>
              <w:t>2</w:t>
            </w:r>
            <w:r w:rsidR="008E6261" w:rsidRPr="007967A9">
              <w:rPr>
                <w:rFonts w:cs="Arial"/>
              </w:rPr>
              <w:t>/MWh)</w:t>
            </w:r>
          </w:p>
        </w:tc>
      </w:tr>
      <w:tr w:rsidR="00C97040" w:rsidRPr="007967A9" w14:paraId="7342A40B" w14:textId="77777777" w:rsidTr="00204D05">
        <w:tc>
          <w:tcPr>
            <w:tcW w:w="1701" w:type="dxa"/>
            <w:vAlign w:val="top"/>
          </w:tcPr>
          <w:p w14:paraId="5F20BE59" w14:textId="64C37007" w:rsidR="00C97040" w:rsidRPr="007967A9" w:rsidRDefault="00000000" w:rsidP="00204D05">
            <w:pPr>
              <w:pStyle w:val="SDMTableBoxParaNotNumbered"/>
              <w:rPr>
                <w:rFonts w:cs="Arial"/>
                <w:i/>
              </w:rPr>
            </w:pPr>
            <m:oMathPara>
              <m:oMathParaPr>
                <m:jc m:val="left"/>
              </m:oMathParaPr>
              <m:oMath>
                <m:sSub>
                  <m:sSubPr>
                    <m:ctrlPr>
                      <w:rPr>
                        <w:rFonts w:ascii="Cambria Math" w:hAnsi="Cambria Math" w:cs="Arial"/>
                        <w:i/>
                      </w:rPr>
                    </m:ctrlPr>
                  </m:sSubPr>
                  <m:e>
                    <m:r>
                      <w:rPr>
                        <w:rFonts w:ascii="Cambria Math" w:hAnsi="Cambria Math" w:cs="Arial"/>
                      </w:rPr>
                      <m:t>EF</m:t>
                    </m:r>
                  </m:e>
                  <m:sub>
                    <m:r>
                      <w:rPr>
                        <w:rFonts w:ascii="Cambria Math" w:hAnsi="Cambria Math" w:cs="Arial"/>
                      </w:rPr>
                      <m:t>BM,t</m:t>
                    </m:r>
                  </m:sub>
                </m:sSub>
              </m:oMath>
            </m:oMathPara>
          </w:p>
        </w:tc>
        <w:tc>
          <w:tcPr>
            <w:tcW w:w="345" w:type="dxa"/>
            <w:vAlign w:val="top"/>
          </w:tcPr>
          <w:p w14:paraId="06333460" w14:textId="77777777" w:rsidR="00C97040" w:rsidRPr="007967A9" w:rsidRDefault="00C97040" w:rsidP="00204D05">
            <w:pPr>
              <w:pStyle w:val="SDMTableBoxParaNotNumbered"/>
              <w:rPr>
                <w:rFonts w:cs="Arial"/>
              </w:rPr>
            </w:pPr>
            <w:r w:rsidRPr="007967A9">
              <w:rPr>
                <w:rFonts w:cs="Arial"/>
              </w:rPr>
              <w:t>=</w:t>
            </w:r>
          </w:p>
        </w:tc>
        <w:tc>
          <w:tcPr>
            <w:tcW w:w="0" w:type="auto"/>
            <w:vAlign w:val="top"/>
          </w:tcPr>
          <w:p w14:paraId="756D0AC2" w14:textId="3EC26365" w:rsidR="00C97040" w:rsidRPr="007967A9" w:rsidRDefault="007F350B" w:rsidP="00204D05">
            <w:pPr>
              <w:pStyle w:val="SDMTableBoxParaNotNumbered"/>
              <w:rPr>
                <w:rFonts w:cs="Arial"/>
              </w:rPr>
            </w:pPr>
            <w:r w:rsidRPr="007967A9">
              <w:rPr>
                <w:rFonts w:cs="Arial"/>
              </w:rPr>
              <w:t>BM</w:t>
            </w:r>
            <w:r w:rsidR="00C97040" w:rsidRPr="007967A9">
              <w:rPr>
                <w:rFonts w:cs="Arial"/>
              </w:rPr>
              <w:t xml:space="preserve"> CO</w:t>
            </w:r>
            <w:r w:rsidR="00C97040" w:rsidRPr="007967A9">
              <w:rPr>
                <w:rFonts w:cs="Arial"/>
                <w:vertAlign w:val="subscript"/>
              </w:rPr>
              <w:t>2</w:t>
            </w:r>
            <w:r w:rsidR="00C97040" w:rsidRPr="007967A9">
              <w:rPr>
                <w:rFonts w:cs="Arial"/>
              </w:rPr>
              <w:t xml:space="preserve"> emission factor in </w:t>
            </w:r>
            <w:r w:rsidR="00C97040" w:rsidRPr="007967A9">
              <w:rPr>
                <w:rFonts w:eastAsia="SimSun" w:cs="Arial"/>
                <w:lang w:eastAsia="zh-CN"/>
              </w:rPr>
              <w:t>period</w:t>
            </w:r>
            <w:r w:rsidR="003B0C1A" w:rsidRPr="007967A9">
              <w:rPr>
                <w:rFonts w:eastAsia="SimSun" w:cs="Arial"/>
                <w:lang w:eastAsia="zh-CN"/>
              </w:rPr>
              <w:t> </w:t>
            </w:r>
            <w:r w:rsidR="00C97040" w:rsidRPr="007967A9">
              <w:rPr>
                <w:rFonts w:eastAsia="SimSun" w:cs="Arial"/>
                <w:i/>
                <w:iCs/>
                <w:lang w:eastAsia="zh-CN"/>
              </w:rPr>
              <w:t>t</w:t>
            </w:r>
            <w:r w:rsidR="00C97040" w:rsidRPr="007967A9">
              <w:rPr>
                <w:rFonts w:eastAsia="SimSun" w:cs="Arial"/>
                <w:i/>
                <w:lang w:val="en-US" w:eastAsia="zh-CN"/>
              </w:rPr>
              <w:t xml:space="preserve"> </w:t>
            </w:r>
            <w:r w:rsidR="00C97040" w:rsidRPr="007967A9">
              <w:rPr>
                <w:rFonts w:cs="Arial"/>
              </w:rPr>
              <w:t>(t</w:t>
            </w:r>
            <w:r w:rsidR="007967A9">
              <w:rPr>
                <w:rFonts w:cs="Arial"/>
              </w:rPr>
              <w:t> </w:t>
            </w:r>
            <w:r w:rsidR="00C97040" w:rsidRPr="007967A9">
              <w:rPr>
                <w:rFonts w:cs="Arial"/>
              </w:rPr>
              <w:t>CO</w:t>
            </w:r>
            <w:r w:rsidR="00C97040" w:rsidRPr="007967A9">
              <w:rPr>
                <w:rFonts w:cs="Arial"/>
                <w:vertAlign w:val="subscript"/>
              </w:rPr>
              <w:t>2</w:t>
            </w:r>
            <w:r w:rsidR="00C97040" w:rsidRPr="007967A9">
              <w:rPr>
                <w:rFonts w:cs="Arial"/>
              </w:rPr>
              <w:t>/MWh)</w:t>
            </w:r>
          </w:p>
        </w:tc>
      </w:tr>
      <w:tr w:rsidR="008E6261" w:rsidRPr="007967A9" w14:paraId="7F53C8ED" w14:textId="77777777" w:rsidTr="00204D05">
        <w:trPr>
          <w:trHeight w:val="300"/>
        </w:trPr>
        <w:tc>
          <w:tcPr>
            <w:tcW w:w="1701" w:type="dxa"/>
            <w:vAlign w:val="top"/>
          </w:tcPr>
          <w:p w14:paraId="5E9C25AB" w14:textId="77777777" w:rsidR="008E6261" w:rsidRPr="007967A9" w:rsidRDefault="00000000" w:rsidP="00204D05">
            <w:pPr>
              <w:pStyle w:val="SDMTableBoxParaNotNumbered"/>
              <w:rPr>
                <w:rFonts w:cs="Arial"/>
                <w:i/>
              </w:rPr>
            </w:pPr>
            <m:oMathPara>
              <m:oMathParaPr>
                <m:jc m:val="left"/>
              </m:oMathParaPr>
              <m:oMath>
                <m:sSub>
                  <m:sSubPr>
                    <m:ctrlPr>
                      <w:rPr>
                        <w:rFonts w:ascii="Cambria Math" w:hAnsi="Cambria Math" w:cs="Arial"/>
                        <w:i/>
                      </w:rPr>
                    </m:ctrlPr>
                  </m:sSubPr>
                  <m:e>
                    <m:r>
                      <w:rPr>
                        <w:rFonts w:ascii="Cambria Math" w:hAnsi="Cambria Math" w:cs="Arial"/>
                      </w:rPr>
                      <m:t>w</m:t>
                    </m:r>
                  </m:e>
                  <m:sub>
                    <m:r>
                      <w:rPr>
                        <w:rFonts w:ascii="Cambria Math" w:hAnsi="Cambria Math" w:cs="Arial"/>
                      </w:rPr>
                      <m:t>OM</m:t>
                    </m:r>
                  </m:sub>
                </m:sSub>
              </m:oMath>
            </m:oMathPara>
          </w:p>
        </w:tc>
        <w:tc>
          <w:tcPr>
            <w:tcW w:w="345" w:type="dxa"/>
            <w:vAlign w:val="top"/>
          </w:tcPr>
          <w:p w14:paraId="275DEBB6" w14:textId="77777777" w:rsidR="008E6261" w:rsidRPr="007967A9" w:rsidRDefault="008E6261" w:rsidP="00204D05">
            <w:pPr>
              <w:pStyle w:val="SDMTableBoxParaNotNumbered"/>
              <w:rPr>
                <w:rFonts w:cs="Arial"/>
              </w:rPr>
            </w:pPr>
            <w:r w:rsidRPr="007967A9">
              <w:rPr>
                <w:rFonts w:cs="Arial"/>
              </w:rPr>
              <w:t>=</w:t>
            </w:r>
          </w:p>
        </w:tc>
        <w:tc>
          <w:tcPr>
            <w:tcW w:w="0" w:type="auto"/>
            <w:vAlign w:val="top"/>
          </w:tcPr>
          <w:p w14:paraId="59286FBF" w14:textId="063B1120" w:rsidR="008E6261" w:rsidRPr="007967A9" w:rsidRDefault="008E6261" w:rsidP="00204D05">
            <w:pPr>
              <w:pStyle w:val="SDMTableBoxParaNotNumbered"/>
              <w:rPr>
                <w:rFonts w:cs="Arial"/>
              </w:rPr>
            </w:pPr>
            <w:r w:rsidRPr="007967A9">
              <w:rPr>
                <w:rFonts w:cs="Arial"/>
              </w:rPr>
              <w:t xml:space="preserve">Weighting </w:t>
            </w:r>
            <w:r w:rsidR="007F350B" w:rsidRPr="007967A9">
              <w:rPr>
                <w:rFonts w:cs="Arial"/>
              </w:rPr>
              <w:t xml:space="preserve">factor </w:t>
            </w:r>
            <w:r w:rsidRPr="007967A9">
              <w:rPr>
                <w:rFonts w:cs="Arial"/>
              </w:rPr>
              <w:t xml:space="preserve">of </w:t>
            </w:r>
            <w:r w:rsidR="00D87245" w:rsidRPr="007967A9">
              <w:rPr>
                <w:rFonts w:cs="Arial"/>
              </w:rPr>
              <w:t xml:space="preserve">the </w:t>
            </w:r>
            <w:r w:rsidR="00B878CB" w:rsidRPr="007967A9">
              <w:rPr>
                <w:rFonts w:cs="Arial"/>
              </w:rPr>
              <w:t>OM</w:t>
            </w:r>
            <w:r w:rsidRPr="007967A9">
              <w:rPr>
                <w:rFonts w:cs="Arial"/>
              </w:rPr>
              <w:t xml:space="preserve"> emissions factor (</w:t>
            </w:r>
            <w:r w:rsidR="004131F3" w:rsidRPr="007967A9">
              <w:rPr>
                <w:rFonts w:cs="Arial"/>
              </w:rPr>
              <w:t>unitless</w:t>
            </w:r>
            <w:r w:rsidRPr="007967A9">
              <w:rPr>
                <w:rFonts w:cs="Arial"/>
              </w:rPr>
              <w:t>)</w:t>
            </w:r>
          </w:p>
        </w:tc>
      </w:tr>
      <w:tr w:rsidR="008E6261" w:rsidRPr="007967A9" w14:paraId="18112F99" w14:textId="77777777" w:rsidTr="00204D05">
        <w:trPr>
          <w:trHeight w:val="300"/>
        </w:trPr>
        <w:tc>
          <w:tcPr>
            <w:tcW w:w="1701" w:type="dxa"/>
            <w:vAlign w:val="top"/>
          </w:tcPr>
          <w:p w14:paraId="4C50246F" w14:textId="77777777" w:rsidR="008E6261" w:rsidRPr="007967A9" w:rsidRDefault="00000000" w:rsidP="00204D05">
            <w:pPr>
              <w:pStyle w:val="SDMTableBoxParaNotNumbered"/>
              <w:rPr>
                <w:rFonts w:cs="Arial"/>
                <w:i/>
              </w:rPr>
            </w:pPr>
            <m:oMathPara>
              <m:oMathParaPr>
                <m:jc m:val="left"/>
              </m:oMathParaPr>
              <m:oMath>
                <m:sSub>
                  <m:sSubPr>
                    <m:ctrlPr>
                      <w:rPr>
                        <w:rFonts w:ascii="Cambria Math" w:hAnsi="Cambria Math" w:cs="Arial"/>
                        <w:i/>
                      </w:rPr>
                    </m:ctrlPr>
                  </m:sSubPr>
                  <m:e>
                    <m:r>
                      <w:rPr>
                        <w:rFonts w:ascii="Cambria Math" w:hAnsi="Cambria Math" w:cs="Arial"/>
                      </w:rPr>
                      <m:t>w</m:t>
                    </m:r>
                  </m:e>
                  <m:sub>
                    <m:r>
                      <w:rPr>
                        <w:rFonts w:ascii="Cambria Math" w:hAnsi="Cambria Math" w:cs="Arial"/>
                      </w:rPr>
                      <m:t>BM</m:t>
                    </m:r>
                  </m:sub>
                </m:sSub>
              </m:oMath>
            </m:oMathPara>
          </w:p>
        </w:tc>
        <w:tc>
          <w:tcPr>
            <w:tcW w:w="345" w:type="dxa"/>
            <w:vAlign w:val="top"/>
          </w:tcPr>
          <w:p w14:paraId="39928560" w14:textId="77777777" w:rsidR="008E6261" w:rsidRPr="007967A9" w:rsidRDefault="008E6261" w:rsidP="00204D05">
            <w:pPr>
              <w:pStyle w:val="SDMTableBoxParaNotNumbered"/>
              <w:rPr>
                <w:rFonts w:cs="Arial"/>
              </w:rPr>
            </w:pPr>
            <w:r w:rsidRPr="007967A9">
              <w:rPr>
                <w:rFonts w:cs="Arial"/>
              </w:rPr>
              <w:t>=</w:t>
            </w:r>
          </w:p>
        </w:tc>
        <w:tc>
          <w:tcPr>
            <w:tcW w:w="0" w:type="auto"/>
            <w:vAlign w:val="top"/>
          </w:tcPr>
          <w:p w14:paraId="45137F8D" w14:textId="230CB432" w:rsidR="008E6261" w:rsidRPr="007967A9" w:rsidRDefault="008E6261" w:rsidP="00204D05">
            <w:pPr>
              <w:pStyle w:val="SDMTableBoxParaNotNumbered"/>
              <w:rPr>
                <w:rFonts w:cs="Arial"/>
              </w:rPr>
            </w:pPr>
            <w:r w:rsidRPr="007967A9">
              <w:rPr>
                <w:rFonts w:cs="Arial"/>
              </w:rPr>
              <w:t xml:space="preserve">Weighting </w:t>
            </w:r>
            <w:r w:rsidR="00B878CB" w:rsidRPr="007967A9">
              <w:rPr>
                <w:rFonts w:cs="Arial"/>
              </w:rPr>
              <w:t xml:space="preserve">factor </w:t>
            </w:r>
            <w:r w:rsidRPr="007967A9">
              <w:rPr>
                <w:rFonts w:cs="Arial"/>
              </w:rPr>
              <w:t xml:space="preserve">of </w:t>
            </w:r>
            <w:r w:rsidR="00D87245" w:rsidRPr="007967A9">
              <w:rPr>
                <w:rFonts w:cs="Arial"/>
              </w:rPr>
              <w:t xml:space="preserve">the </w:t>
            </w:r>
            <w:r w:rsidR="00B878CB" w:rsidRPr="007967A9">
              <w:rPr>
                <w:rFonts w:cs="Arial"/>
              </w:rPr>
              <w:t>BM</w:t>
            </w:r>
            <w:r w:rsidRPr="007967A9">
              <w:rPr>
                <w:rFonts w:cs="Arial"/>
              </w:rPr>
              <w:t xml:space="preserve"> emissions factor (</w:t>
            </w:r>
            <w:r w:rsidR="004131F3" w:rsidRPr="007967A9">
              <w:rPr>
                <w:rFonts w:cs="Arial"/>
              </w:rPr>
              <w:t>unitless</w:t>
            </w:r>
            <w:r w:rsidRPr="007967A9">
              <w:rPr>
                <w:rFonts w:cs="Arial"/>
              </w:rPr>
              <w:t>)</w:t>
            </w:r>
          </w:p>
        </w:tc>
      </w:tr>
      <w:tr w:rsidR="005A6D07" w:rsidRPr="007967A9" w14:paraId="026B261C" w14:textId="77777777" w:rsidTr="00204D05">
        <w:tc>
          <w:tcPr>
            <w:tcW w:w="1701" w:type="dxa"/>
            <w:vAlign w:val="top"/>
          </w:tcPr>
          <w:p w14:paraId="665BBF38" w14:textId="77777777" w:rsidR="00C97040" w:rsidRPr="007967A9" w:rsidRDefault="000001E5" w:rsidP="00204D05">
            <w:pPr>
              <w:pStyle w:val="SDMTableBoxParaNotNumbered"/>
              <w:rPr>
                <w:rFonts w:cs="Arial"/>
              </w:rPr>
            </w:pPr>
            <m:oMathPara>
              <m:oMathParaPr>
                <m:jc m:val="left"/>
              </m:oMathParaPr>
              <m:oMath>
                <m:r>
                  <w:rPr>
                    <w:rFonts w:ascii="Cambria Math" w:hAnsi="Cambria Math" w:cs="Arial"/>
                  </w:rPr>
                  <m:t>t</m:t>
                </m:r>
              </m:oMath>
            </m:oMathPara>
          </w:p>
        </w:tc>
        <w:tc>
          <w:tcPr>
            <w:tcW w:w="345" w:type="dxa"/>
            <w:vAlign w:val="top"/>
          </w:tcPr>
          <w:p w14:paraId="68C3C1D9" w14:textId="77777777" w:rsidR="00C97040" w:rsidRPr="007967A9" w:rsidRDefault="00C97040" w:rsidP="00204D05">
            <w:pPr>
              <w:pStyle w:val="SDMTableBoxParaNotNumbered"/>
              <w:rPr>
                <w:rFonts w:cs="Arial"/>
              </w:rPr>
            </w:pPr>
            <w:r w:rsidRPr="007967A9">
              <w:rPr>
                <w:rFonts w:cs="Arial"/>
              </w:rPr>
              <w:t>=</w:t>
            </w:r>
          </w:p>
        </w:tc>
        <w:tc>
          <w:tcPr>
            <w:tcW w:w="0" w:type="auto"/>
            <w:vAlign w:val="top"/>
          </w:tcPr>
          <w:p w14:paraId="38F0A15C" w14:textId="5FF2B6EC" w:rsidR="00C97040" w:rsidRPr="007967A9" w:rsidRDefault="00F30336" w:rsidP="00204D05">
            <w:pPr>
              <w:pStyle w:val="SDMTableBoxParaNotNumbered"/>
              <w:rPr>
                <w:rFonts w:cs="Arial"/>
                <w:lang w:val="en-US"/>
              </w:rPr>
            </w:pPr>
            <w:r w:rsidRPr="007967A9">
              <w:rPr>
                <w:rFonts w:cs="Arial"/>
                <w:lang w:val="en-US"/>
              </w:rPr>
              <w:t xml:space="preserve">Period for which the emission factor </w:t>
            </w:r>
            <w:r w:rsidR="25906998" w:rsidRPr="007967A9">
              <w:rPr>
                <w:rFonts w:cs="Arial"/>
                <w:lang w:val="en-US"/>
              </w:rPr>
              <w:t>of the electric</w:t>
            </w:r>
            <w:r w:rsidR="00E94D89" w:rsidRPr="007967A9">
              <w:rPr>
                <w:rFonts w:cs="Arial"/>
                <w:lang w:val="en-US"/>
              </w:rPr>
              <w:t>i</w:t>
            </w:r>
            <w:r w:rsidR="25906998" w:rsidRPr="007967A9">
              <w:rPr>
                <w:rFonts w:cs="Arial"/>
                <w:lang w:val="en-US"/>
              </w:rPr>
              <w:t>ty system</w:t>
            </w:r>
            <w:r w:rsidRPr="007967A9">
              <w:rPr>
                <w:rFonts w:cs="Arial"/>
                <w:lang w:val="en-US"/>
              </w:rPr>
              <w:t xml:space="preserve"> is determined</w:t>
            </w:r>
            <w:r w:rsidR="008C53FC" w:rsidRPr="007967A9">
              <w:rPr>
                <w:rFonts w:cs="Arial"/>
                <w:lang w:val="en-US"/>
              </w:rPr>
              <w:t xml:space="preserve"> (either the calendar year </w:t>
            </w:r>
            <w:r w:rsidR="008C53FC" w:rsidRPr="007967A9">
              <w:rPr>
                <w:rFonts w:cs="Arial"/>
                <w:i/>
                <w:iCs/>
                <w:lang w:val="en-US"/>
              </w:rPr>
              <w:t>y</w:t>
            </w:r>
            <w:r w:rsidR="008C53FC" w:rsidRPr="007967A9">
              <w:rPr>
                <w:rFonts w:cs="Arial"/>
                <w:lang w:val="en-US"/>
              </w:rPr>
              <w:t xml:space="preserve"> of the crediting period or </w:t>
            </w:r>
            <w:r w:rsidR="00A82AE3" w:rsidRPr="007967A9">
              <w:rPr>
                <w:rFonts w:cs="Arial"/>
                <w:lang w:val="en-US"/>
              </w:rPr>
              <w:t>the</w:t>
            </w:r>
            <w:r w:rsidR="008C53FC" w:rsidRPr="007967A9">
              <w:rPr>
                <w:rFonts w:cs="Arial"/>
                <w:lang w:val="en-US"/>
              </w:rPr>
              <w:t xml:space="preserve"> hour</w:t>
            </w:r>
            <w:r w:rsidR="00D60CDA" w:rsidRPr="007967A9">
              <w:rPr>
                <w:rFonts w:cs="Arial"/>
                <w:lang w:val="en-US"/>
              </w:rPr>
              <w:t> </w:t>
            </w:r>
            <w:r w:rsidR="00D60CDA" w:rsidRPr="007967A9">
              <w:rPr>
                <w:rFonts w:cs="Arial"/>
                <w:i/>
                <w:iCs/>
                <w:lang w:val="en-US"/>
              </w:rPr>
              <w:t>h</w:t>
            </w:r>
            <w:r w:rsidR="00D60CDA" w:rsidRPr="007967A9">
              <w:rPr>
                <w:rFonts w:cs="Arial"/>
                <w:lang w:val="en-US"/>
              </w:rPr>
              <w:t xml:space="preserve"> within the calendar year </w:t>
            </w:r>
            <w:r w:rsidR="00D60CDA" w:rsidRPr="007967A9">
              <w:rPr>
                <w:rFonts w:cs="Arial"/>
                <w:i/>
                <w:iCs/>
                <w:lang w:val="en-US"/>
              </w:rPr>
              <w:t>y</w:t>
            </w:r>
            <w:r w:rsidR="00D60CDA" w:rsidRPr="007967A9">
              <w:rPr>
                <w:rFonts w:cs="Arial"/>
                <w:lang w:val="en-US"/>
              </w:rPr>
              <w:t xml:space="preserve"> of</w:t>
            </w:r>
            <w:r w:rsidR="19A57CC1" w:rsidRPr="007967A9">
              <w:rPr>
                <w:rFonts w:cs="Arial"/>
                <w:lang w:val="en-US"/>
              </w:rPr>
              <w:t xml:space="preserve"> </w:t>
            </w:r>
            <w:r w:rsidR="00D60CDA" w:rsidRPr="007967A9">
              <w:rPr>
                <w:rFonts w:cs="Arial"/>
                <w:lang w:val="en-US"/>
              </w:rPr>
              <w:t>the crediting period)</w:t>
            </w:r>
            <w:r w:rsidR="00D60CDA" w:rsidRPr="007967A9">
              <w:rPr>
                <w:rStyle w:val="FootnoteReference"/>
                <w:rFonts w:cs="Arial"/>
                <w:lang w:val="de-DE"/>
              </w:rPr>
              <w:footnoteReference w:id="24"/>
            </w:r>
          </w:p>
        </w:tc>
      </w:tr>
    </w:tbl>
    <w:p w14:paraId="63A1B1EC" w14:textId="0B8A8899" w:rsidR="008E6261" w:rsidRDefault="00AF4949">
      <w:pPr>
        <w:pStyle w:val="SDMPara"/>
        <w:rPr>
          <w:lang w:eastAsia="zh-CN"/>
        </w:rPr>
      </w:pPr>
      <w:r>
        <w:rPr>
          <w:lang w:eastAsia="zh-CN"/>
        </w:rPr>
        <w:t>The default values in</w:t>
      </w:r>
      <w:r w:rsidR="00092C6F">
        <w:rPr>
          <w:lang w:eastAsia="zh-CN"/>
        </w:rPr>
        <w:t xml:space="preserve"> </w:t>
      </w:r>
      <w:r w:rsidR="0007254F">
        <w:rPr>
          <w:lang w:eastAsia="zh-CN"/>
        </w:rPr>
        <w:fldChar w:fldCharType="begin"/>
      </w:r>
      <w:r w:rsidR="0007254F">
        <w:rPr>
          <w:lang w:eastAsia="zh-CN"/>
        </w:rPr>
        <w:instrText xml:space="preserve"> REF _Ref220950322 \h </w:instrText>
      </w:r>
      <w:r w:rsidR="0007254F">
        <w:rPr>
          <w:lang w:eastAsia="zh-CN"/>
        </w:rPr>
      </w:r>
      <w:r w:rsidR="0007254F">
        <w:rPr>
          <w:lang w:eastAsia="zh-CN"/>
        </w:rPr>
        <w:fldChar w:fldCharType="separate"/>
      </w:r>
      <w:r w:rsidR="00D811A8">
        <w:t>Table </w:t>
      </w:r>
      <w:r w:rsidR="00D811A8">
        <w:rPr>
          <w:noProof/>
        </w:rPr>
        <w:t>5</w:t>
      </w:r>
      <w:r w:rsidR="0007254F">
        <w:rPr>
          <w:lang w:eastAsia="zh-CN"/>
        </w:rPr>
        <w:fldChar w:fldCharType="end"/>
      </w:r>
      <w:r w:rsidR="00EC59C9">
        <w:rPr>
          <w:lang w:eastAsia="zh-CN"/>
        </w:rPr>
        <w:t xml:space="preserve"> </w:t>
      </w:r>
      <w:r>
        <w:rPr>
          <w:lang w:eastAsia="zh-CN"/>
        </w:rPr>
        <w:t xml:space="preserve">shall be used for </w:t>
      </w:r>
      <w:r w:rsidRPr="35733CB9">
        <w:rPr>
          <w:i/>
          <w:iCs/>
        </w:rPr>
        <w:t>w</w:t>
      </w:r>
      <w:r w:rsidRPr="35733CB9">
        <w:rPr>
          <w:i/>
          <w:iCs/>
          <w:vertAlign w:val="subscript"/>
        </w:rPr>
        <w:t>OM</w:t>
      </w:r>
      <w:r w:rsidRPr="0038644B">
        <w:t xml:space="preserve"> and </w:t>
      </w:r>
      <w:r w:rsidRPr="35733CB9">
        <w:rPr>
          <w:i/>
          <w:iCs/>
        </w:rPr>
        <w:t>w</w:t>
      </w:r>
      <w:r w:rsidRPr="35733CB9">
        <w:rPr>
          <w:i/>
          <w:iCs/>
          <w:vertAlign w:val="subscript"/>
        </w:rPr>
        <w:t>BM</w:t>
      </w:r>
      <w:r>
        <w:t xml:space="preserve">, unless </w:t>
      </w:r>
      <w:r w:rsidR="0081010B">
        <w:rPr>
          <w:lang w:eastAsia="zh-CN"/>
        </w:rPr>
        <w:t>t</w:t>
      </w:r>
      <w:r w:rsidR="008E6261">
        <w:rPr>
          <w:lang w:eastAsia="zh-CN"/>
        </w:rPr>
        <w:t xml:space="preserve">he </w:t>
      </w:r>
      <w:r>
        <w:rPr>
          <w:lang w:eastAsia="zh-CN"/>
        </w:rPr>
        <w:t xml:space="preserve">mechanism </w:t>
      </w:r>
      <w:r w:rsidR="008E6261">
        <w:rPr>
          <w:lang w:eastAsia="zh-CN"/>
        </w:rPr>
        <w:t xml:space="preserve">methodology </w:t>
      </w:r>
      <w:r>
        <w:rPr>
          <w:lang w:eastAsia="zh-CN"/>
        </w:rPr>
        <w:t xml:space="preserve">referring to this </w:t>
      </w:r>
      <w:r w:rsidR="00EC59C9">
        <w:rPr>
          <w:lang w:eastAsia="zh-CN"/>
        </w:rPr>
        <w:t xml:space="preserve">methodological </w:t>
      </w:r>
      <w:r>
        <w:rPr>
          <w:lang w:eastAsia="zh-CN"/>
        </w:rPr>
        <w:t xml:space="preserve">tool </w:t>
      </w:r>
      <w:r w:rsidR="008E6261">
        <w:rPr>
          <w:lang w:eastAsia="zh-CN"/>
        </w:rPr>
        <w:t>specif</w:t>
      </w:r>
      <w:r w:rsidR="007C7F2D">
        <w:rPr>
          <w:lang w:eastAsia="zh-CN"/>
        </w:rPr>
        <w:t>ies other values.</w:t>
      </w:r>
      <w:r w:rsidR="00511431">
        <w:rPr>
          <w:rStyle w:val="FootnoteReference"/>
          <w:lang w:eastAsia="zh-CN"/>
        </w:rPr>
        <w:footnoteReference w:id="25"/>
      </w:r>
      <w:r w:rsidR="00DC635C">
        <w:rPr>
          <w:lang w:eastAsia="zh-CN"/>
        </w:rPr>
        <w:t xml:space="preserve"> </w:t>
      </w:r>
      <w:r w:rsidR="00172BC4" w:rsidRPr="00967852">
        <w:rPr>
          <w:lang w:eastAsia="zh-CN"/>
        </w:rPr>
        <w:t xml:space="preserve">Activity participants shall use the more conservative </w:t>
      </w:r>
      <w:r w:rsidR="00F15A71" w:rsidRPr="00967852">
        <w:rPr>
          <w:lang w:eastAsia="zh-CN"/>
        </w:rPr>
        <w:t>approach</w:t>
      </w:r>
      <w:r w:rsidR="4C8C1EA9" w:rsidRPr="00967852">
        <w:rPr>
          <w:lang w:eastAsia="zh-CN"/>
        </w:rPr>
        <w:t xml:space="preserve">, </w:t>
      </w:r>
      <w:r w:rsidR="70003323" w:rsidRPr="00967852">
        <w:rPr>
          <w:lang w:eastAsia="zh-CN"/>
        </w:rPr>
        <w:t xml:space="preserve">which results </w:t>
      </w:r>
      <w:r w:rsidR="00BB6182" w:rsidRPr="00967852">
        <w:rPr>
          <w:lang w:eastAsia="zh-CN"/>
        </w:rPr>
        <w:t xml:space="preserve">in </w:t>
      </w:r>
      <w:r w:rsidR="70003323" w:rsidRPr="00967852">
        <w:rPr>
          <w:lang w:eastAsia="zh-CN"/>
        </w:rPr>
        <w:t>a higher emission factor for case</w:t>
      </w:r>
      <w:r w:rsidR="007967A9">
        <w:rPr>
          <w:lang w:eastAsia="zh-CN"/>
        </w:rPr>
        <w:t> </w:t>
      </w:r>
      <w:r w:rsidR="70003323" w:rsidRPr="00967852">
        <w:rPr>
          <w:lang w:eastAsia="zh-CN"/>
        </w:rPr>
        <w:t>1 and a lower emission factor for case</w:t>
      </w:r>
      <w:r w:rsidR="00FE0895">
        <w:rPr>
          <w:lang w:eastAsia="zh-CN"/>
        </w:rPr>
        <w:t> </w:t>
      </w:r>
      <w:r w:rsidR="70003323" w:rsidRPr="00967852">
        <w:rPr>
          <w:lang w:eastAsia="zh-CN"/>
        </w:rPr>
        <w:t>2,</w:t>
      </w:r>
      <w:r w:rsidR="00F15A71" w:rsidRPr="00967852">
        <w:rPr>
          <w:lang w:eastAsia="zh-CN"/>
        </w:rPr>
        <w:t xml:space="preserve"> between (i) using the lower value for w</w:t>
      </w:r>
      <w:r w:rsidR="009818E5" w:rsidRPr="00967852">
        <w:rPr>
          <w:vertAlign w:val="subscript"/>
          <w:lang w:eastAsia="zh-CN"/>
        </w:rPr>
        <w:t>OM</w:t>
      </w:r>
      <w:r w:rsidR="009818E5" w:rsidRPr="00967852">
        <w:rPr>
          <w:lang w:eastAsia="zh-CN"/>
        </w:rPr>
        <w:t xml:space="preserve"> combined with the upper value for w</w:t>
      </w:r>
      <w:r w:rsidR="009818E5" w:rsidRPr="00967852">
        <w:rPr>
          <w:vertAlign w:val="subscript"/>
          <w:lang w:eastAsia="zh-CN"/>
        </w:rPr>
        <w:t>BM</w:t>
      </w:r>
      <w:r w:rsidR="00F365DE" w:rsidRPr="00967852">
        <w:rPr>
          <w:lang w:eastAsia="zh-CN"/>
        </w:rPr>
        <w:t xml:space="preserve"> or (ii) using the upper value for the w</w:t>
      </w:r>
      <w:r w:rsidR="00F365DE" w:rsidRPr="00967852">
        <w:rPr>
          <w:vertAlign w:val="subscript"/>
          <w:lang w:eastAsia="zh-CN"/>
        </w:rPr>
        <w:t>OM</w:t>
      </w:r>
      <w:r w:rsidR="00F365DE" w:rsidRPr="00967852">
        <w:rPr>
          <w:lang w:eastAsia="zh-CN"/>
        </w:rPr>
        <w:t xml:space="preserve"> combined with the lower value for w</w:t>
      </w:r>
      <w:r w:rsidR="00F365DE" w:rsidRPr="00967852">
        <w:rPr>
          <w:vertAlign w:val="subscript"/>
          <w:lang w:eastAsia="zh-CN"/>
        </w:rPr>
        <w:t>BM</w:t>
      </w:r>
      <w:r w:rsidR="00F365DE" w:rsidRPr="00967852">
        <w:rPr>
          <w:lang w:eastAsia="zh-CN"/>
        </w:rPr>
        <w:t xml:space="preserve">, such that the sum of </w:t>
      </w:r>
      <w:r w:rsidR="004479E6" w:rsidRPr="00967852">
        <w:rPr>
          <w:lang w:eastAsia="zh-CN"/>
        </w:rPr>
        <w:t>w</w:t>
      </w:r>
      <w:r w:rsidR="004479E6" w:rsidRPr="00967852">
        <w:rPr>
          <w:vertAlign w:val="subscript"/>
          <w:lang w:eastAsia="zh-CN"/>
        </w:rPr>
        <w:t>OM</w:t>
      </w:r>
      <w:r w:rsidR="00F365DE" w:rsidRPr="00967852">
        <w:rPr>
          <w:lang w:eastAsia="zh-CN"/>
        </w:rPr>
        <w:t xml:space="preserve"> and w</w:t>
      </w:r>
      <w:r w:rsidR="00F365DE" w:rsidRPr="00967852">
        <w:rPr>
          <w:vertAlign w:val="subscript"/>
          <w:lang w:eastAsia="zh-CN"/>
        </w:rPr>
        <w:t>BM</w:t>
      </w:r>
      <w:r w:rsidR="00F365DE" w:rsidRPr="00967852">
        <w:rPr>
          <w:lang w:eastAsia="zh-CN"/>
        </w:rPr>
        <w:t xml:space="preserve"> is equal to one.</w:t>
      </w:r>
    </w:p>
    <w:p w14:paraId="446CCAC0" w14:textId="33A858FF" w:rsidR="00DC7530" w:rsidRPr="004D7AFF" w:rsidRDefault="007061AF" w:rsidP="007061AF">
      <w:pPr>
        <w:pStyle w:val="Caption"/>
        <w:rPr>
          <w:i/>
          <w:iCs/>
          <w:vertAlign w:val="subscript"/>
        </w:rPr>
      </w:pPr>
      <w:bookmarkStart w:id="522" w:name="_Ref220950322"/>
      <w:bookmarkStart w:id="523" w:name="_Ref216179000"/>
      <w:r>
        <w:t>Table</w:t>
      </w:r>
      <w:r w:rsidR="005A04B7">
        <w:t> </w:t>
      </w:r>
      <w:r>
        <w:fldChar w:fldCharType="begin"/>
      </w:r>
      <w:r>
        <w:instrText>SEQ Table \* ARABIC</w:instrText>
      </w:r>
      <w:r>
        <w:fldChar w:fldCharType="separate"/>
      </w:r>
      <w:r w:rsidR="00D811A8">
        <w:rPr>
          <w:noProof/>
        </w:rPr>
        <w:t>5</w:t>
      </w:r>
      <w:r>
        <w:fldChar w:fldCharType="end"/>
      </w:r>
      <w:bookmarkEnd w:id="522"/>
      <w:r w:rsidR="00E45210">
        <w:rPr>
          <w:noProof/>
        </w:rPr>
        <w:t>.</w:t>
      </w:r>
      <w:r w:rsidR="00E45210">
        <w:tab/>
      </w:r>
      <w:r w:rsidR="00E45210" w:rsidRPr="00D74D35">
        <w:t xml:space="preserve">Default values for </w:t>
      </w:r>
      <w:r w:rsidR="00E45210" w:rsidRPr="00D74D35">
        <w:rPr>
          <w:i/>
          <w:iCs/>
        </w:rPr>
        <w:t>w</w:t>
      </w:r>
      <w:r w:rsidR="00E45210" w:rsidRPr="00D74D35">
        <w:rPr>
          <w:i/>
          <w:iCs/>
          <w:vertAlign w:val="subscript"/>
        </w:rPr>
        <w:t>OM</w:t>
      </w:r>
      <w:r w:rsidR="00E45210" w:rsidRPr="00D74D35">
        <w:t xml:space="preserve"> and </w:t>
      </w:r>
      <w:r w:rsidR="00E45210" w:rsidRPr="00D74D35">
        <w:rPr>
          <w:i/>
          <w:iCs/>
        </w:rPr>
        <w:t>w</w:t>
      </w:r>
      <w:r w:rsidR="00E45210" w:rsidRPr="00D74D35">
        <w:rPr>
          <w:i/>
          <w:iCs/>
          <w:vertAlign w:val="subscript"/>
        </w:rPr>
        <w:t>BM</w:t>
      </w:r>
      <w:bookmarkEnd w:id="523"/>
      <w:r w:rsidR="00511431">
        <w:rPr>
          <w:rStyle w:val="FootnoteReference"/>
          <w:i/>
          <w:iCs/>
        </w:rPr>
        <w:footnoteReference w:id="26"/>
      </w:r>
    </w:p>
    <w:tbl>
      <w:tblPr>
        <w:tblStyle w:val="SDMMethTable"/>
        <w:tblW w:w="8618" w:type="dxa"/>
        <w:jc w:val="right"/>
        <w:tblInd w:w="0" w:type="dxa"/>
        <w:tblLayout w:type="fixed"/>
        <w:tblLook w:val="0620" w:firstRow="1" w:lastRow="0" w:firstColumn="0" w:lastColumn="0" w:noHBand="1" w:noVBand="1"/>
      </w:tblPr>
      <w:tblGrid>
        <w:gridCol w:w="5027"/>
        <w:gridCol w:w="862"/>
        <w:gridCol w:w="862"/>
        <w:gridCol w:w="862"/>
        <w:gridCol w:w="1005"/>
      </w:tblGrid>
      <w:tr w:rsidR="00E80F39" w:rsidRPr="00911F51" w14:paraId="2258BCEA" w14:textId="77777777" w:rsidTr="00506121">
        <w:trPr>
          <w:cnfStyle w:val="100000000000" w:firstRow="1" w:lastRow="0" w:firstColumn="0" w:lastColumn="0" w:oddVBand="0" w:evenVBand="0" w:oddHBand="0" w:evenHBand="0" w:firstRowFirstColumn="0" w:firstRowLastColumn="0" w:lastRowFirstColumn="0" w:lastRowLastColumn="0"/>
          <w:jc w:val="right"/>
        </w:trPr>
        <w:tc>
          <w:tcPr>
            <w:tcW w:w="2916" w:type="pct"/>
            <w:vMerge w:val="restart"/>
            <w:tcBorders>
              <w:bottom w:val="single" w:sz="4" w:space="0" w:color="auto"/>
              <w:right w:val="single" w:sz="4" w:space="0" w:color="auto"/>
            </w:tcBorders>
            <w:shd w:val="clear" w:color="auto" w:fill="auto"/>
            <w:vAlign w:val="top"/>
          </w:tcPr>
          <w:p w14:paraId="153E3B00" w14:textId="697E55E5" w:rsidR="00E80F39" w:rsidRPr="001949EC" w:rsidRDefault="00E80F39" w:rsidP="00204D05">
            <w:pPr>
              <w:pStyle w:val="SDMPara"/>
              <w:numPr>
                <w:ilvl w:val="0"/>
                <w:numId w:val="0"/>
              </w:numPr>
              <w:jc w:val="left"/>
              <w:rPr>
                <w:rFonts w:eastAsia="MS Mincho"/>
                <w:sz w:val="20"/>
                <w:szCs w:val="20"/>
                <w:lang w:eastAsia="ja-JP"/>
              </w:rPr>
            </w:pPr>
            <w:r w:rsidRPr="001949EC">
              <w:rPr>
                <w:rFonts w:eastAsia="MS Mincho"/>
                <w:sz w:val="20"/>
                <w:szCs w:val="20"/>
                <w:lang w:eastAsia="ja-JP"/>
              </w:rPr>
              <w:t>Type of electricity generation or consumption source</w:t>
            </w:r>
          </w:p>
        </w:tc>
        <w:tc>
          <w:tcPr>
            <w:tcW w:w="1000" w:type="pct"/>
            <w:gridSpan w:val="2"/>
            <w:tcBorders>
              <w:left w:val="single" w:sz="4" w:space="0" w:color="auto"/>
              <w:bottom w:val="single" w:sz="4" w:space="0" w:color="auto"/>
            </w:tcBorders>
            <w:shd w:val="clear" w:color="auto" w:fill="auto"/>
            <w:vAlign w:val="top"/>
          </w:tcPr>
          <w:p w14:paraId="79F2435D" w14:textId="627DB84F" w:rsidR="00E80F39" w:rsidRPr="001949EC" w:rsidRDefault="00204D05" w:rsidP="00204D05">
            <w:pPr>
              <w:pStyle w:val="SDMTableBoxParaNotNumbered"/>
              <w:rPr>
                <w:rFonts w:eastAsia="MS Mincho"/>
                <w:lang w:eastAsia="ja-JP"/>
              </w:rPr>
            </w:pPr>
            <w:r w:rsidRPr="00D74D35">
              <w:rPr>
                <w:i/>
                <w:iCs/>
              </w:rPr>
              <w:t>w</w:t>
            </w:r>
            <w:r w:rsidRPr="00D74D35">
              <w:rPr>
                <w:i/>
                <w:iCs/>
                <w:vertAlign w:val="subscript"/>
              </w:rPr>
              <w:t>OM</w:t>
            </w:r>
          </w:p>
        </w:tc>
        <w:tc>
          <w:tcPr>
            <w:tcW w:w="1083" w:type="pct"/>
            <w:gridSpan w:val="2"/>
            <w:tcBorders>
              <w:left w:val="single" w:sz="4" w:space="0" w:color="auto"/>
              <w:bottom w:val="single" w:sz="4" w:space="0" w:color="auto"/>
            </w:tcBorders>
            <w:shd w:val="clear" w:color="auto" w:fill="auto"/>
            <w:vAlign w:val="top"/>
          </w:tcPr>
          <w:p w14:paraId="08D3044D" w14:textId="4CC2209F" w:rsidR="00E80F39" w:rsidRPr="006A5C29" w:rsidRDefault="00E80F39" w:rsidP="00204D05">
            <w:pPr>
              <w:pStyle w:val="SDMTableBoxParaNotNumbered"/>
              <w:rPr>
                <w:rFonts w:eastAsia="MS Mincho"/>
                <w:b w:val="0"/>
                <w:i/>
                <w:iCs/>
              </w:rPr>
            </w:pPr>
            <w:r w:rsidRPr="006A5C29">
              <w:rPr>
                <w:i/>
                <w:iCs/>
              </w:rPr>
              <w:t>w</w:t>
            </w:r>
            <w:r w:rsidRPr="006A5C29">
              <w:rPr>
                <w:i/>
                <w:iCs/>
                <w:vertAlign w:val="subscript"/>
              </w:rPr>
              <w:t>BM</w:t>
            </w:r>
          </w:p>
        </w:tc>
      </w:tr>
      <w:tr w:rsidR="001F216E" w:rsidRPr="00911F51" w14:paraId="7ACFA41B" w14:textId="77777777" w:rsidTr="00506121">
        <w:trPr>
          <w:jc w:val="right"/>
        </w:trPr>
        <w:tc>
          <w:tcPr>
            <w:tcW w:w="2916" w:type="pct"/>
            <w:vMerge/>
            <w:tcBorders>
              <w:bottom w:val="single" w:sz="12" w:space="0" w:color="000000" w:themeColor="text1"/>
            </w:tcBorders>
          </w:tcPr>
          <w:p w14:paraId="415426AA" w14:textId="77777777" w:rsidR="001F216E" w:rsidRPr="001949EC" w:rsidRDefault="001F216E" w:rsidP="00204D05">
            <w:pPr>
              <w:pStyle w:val="SDMPara"/>
              <w:numPr>
                <w:ilvl w:val="0"/>
                <w:numId w:val="0"/>
              </w:numPr>
              <w:jc w:val="left"/>
              <w:rPr>
                <w:rFonts w:eastAsia="MS Mincho"/>
                <w:sz w:val="20"/>
                <w:szCs w:val="20"/>
                <w:lang w:eastAsia="ja-JP"/>
              </w:rPr>
            </w:pPr>
          </w:p>
        </w:tc>
        <w:tc>
          <w:tcPr>
            <w:tcW w:w="500" w:type="pct"/>
            <w:tcBorders>
              <w:top w:val="single" w:sz="4" w:space="0" w:color="auto"/>
              <w:left w:val="single" w:sz="4" w:space="0" w:color="auto"/>
              <w:bottom w:val="single" w:sz="12" w:space="0" w:color="000000" w:themeColor="text1"/>
              <w:right w:val="single" w:sz="4" w:space="0" w:color="auto"/>
            </w:tcBorders>
          </w:tcPr>
          <w:p w14:paraId="545C1070" w14:textId="380ADDDB" w:rsidR="001F216E" w:rsidRPr="001949EC" w:rsidRDefault="001F216E" w:rsidP="00204D05">
            <w:pPr>
              <w:pStyle w:val="SDMPara"/>
              <w:numPr>
                <w:ilvl w:val="0"/>
                <w:numId w:val="0"/>
              </w:numPr>
              <w:jc w:val="left"/>
              <w:rPr>
                <w:rFonts w:eastAsia="MS Mincho"/>
                <w:sz w:val="20"/>
                <w:szCs w:val="20"/>
                <w:lang w:eastAsia="ja-JP"/>
              </w:rPr>
            </w:pPr>
            <w:r w:rsidRPr="001949EC">
              <w:rPr>
                <w:b/>
                <w:bCs/>
                <w:sz w:val="20"/>
                <w:szCs w:val="20"/>
              </w:rPr>
              <w:t>Lower value</w:t>
            </w:r>
          </w:p>
        </w:tc>
        <w:tc>
          <w:tcPr>
            <w:tcW w:w="500" w:type="pct"/>
            <w:tcBorders>
              <w:top w:val="single" w:sz="4" w:space="0" w:color="auto"/>
              <w:left w:val="single" w:sz="4" w:space="0" w:color="auto"/>
              <w:bottom w:val="single" w:sz="12" w:space="0" w:color="000000" w:themeColor="text1"/>
              <w:right w:val="single" w:sz="4" w:space="0" w:color="auto"/>
            </w:tcBorders>
          </w:tcPr>
          <w:p w14:paraId="6AEF79DE" w14:textId="13EDF2AD" w:rsidR="001F216E" w:rsidRPr="001949EC" w:rsidRDefault="001F216E" w:rsidP="00204D05">
            <w:pPr>
              <w:pStyle w:val="SDMPara"/>
              <w:numPr>
                <w:ilvl w:val="0"/>
                <w:numId w:val="0"/>
              </w:numPr>
              <w:jc w:val="left"/>
              <w:rPr>
                <w:rFonts w:eastAsia="MS Mincho"/>
                <w:sz w:val="20"/>
                <w:szCs w:val="20"/>
                <w:lang w:eastAsia="ja-JP"/>
              </w:rPr>
            </w:pPr>
            <w:r w:rsidRPr="001949EC">
              <w:rPr>
                <w:b/>
                <w:bCs/>
                <w:sz w:val="20"/>
                <w:szCs w:val="20"/>
              </w:rPr>
              <w:t>Upper value</w:t>
            </w:r>
          </w:p>
        </w:tc>
        <w:tc>
          <w:tcPr>
            <w:tcW w:w="500" w:type="pct"/>
            <w:tcBorders>
              <w:top w:val="single" w:sz="4" w:space="0" w:color="auto"/>
              <w:left w:val="single" w:sz="4" w:space="0" w:color="auto"/>
              <w:bottom w:val="single" w:sz="12" w:space="0" w:color="000000" w:themeColor="text1"/>
              <w:right w:val="single" w:sz="4" w:space="0" w:color="auto"/>
            </w:tcBorders>
          </w:tcPr>
          <w:p w14:paraId="00232A0C" w14:textId="2A83A1B4" w:rsidR="001F216E" w:rsidRPr="001949EC" w:rsidRDefault="001F216E" w:rsidP="00204D05">
            <w:pPr>
              <w:pStyle w:val="SDMPara"/>
              <w:numPr>
                <w:ilvl w:val="0"/>
                <w:numId w:val="0"/>
              </w:numPr>
              <w:jc w:val="left"/>
              <w:rPr>
                <w:rFonts w:eastAsia="MS Mincho"/>
                <w:sz w:val="20"/>
                <w:szCs w:val="20"/>
                <w:lang w:eastAsia="ja-JP"/>
              </w:rPr>
            </w:pPr>
            <w:r w:rsidRPr="001949EC">
              <w:rPr>
                <w:b/>
                <w:bCs/>
                <w:sz w:val="20"/>
                <w:szCs w:val="20"/>
              </w:rPr>
              <w:t>Lower value</w:t>
            </w:r>
          </w:p>
        </w:tc>
        <w:tc>
          <w:tcPr>
            <w:tcW w:w="583" w:type="pct"/>
            <w:tcBorders>
              <w:top w:val="single" w:sz="4" w:space="0" w:color="auto"/>
              <w:left w:val="single" w:sz="4" w:space="0" w:color="auto"/>
              <w:bottom w:val="single" w:sz="12" w:space="0" w:color="000000" w:themeColor="text1"/>
              <w:right w:val="single" w:sz="4" w:space="0" w:color="auto"/>
            </w:tcBorders>
          </w:tcPr>
          <w:p w14:paraId="6010AD27" w14:textId="16DF3B7A" w:rsidR="001F216E" w:rsidRPr="001949EC" w:rsidRDefault="001F216E" w:rsidP="00204D05">
            <w:pPr>
              <w:pStyle w:val="SDMPara"/>
              <w:numPr>
                <w:ilvl w:val="0"/>
                <w:numId w:val="0"/>
              </w:numPr>
              <w:jc w:val="left"/>
              <w:rPr>
                <w:rFonts w:eastAsia="MS Mincho"/>
                <w:sz w:val="20"/>
                <w:szCs w:val="20"/>
                <w:lang w:eastAsia="ja-JP"/>
              </w:rPr>
            </w:pPr>
            <w:r w:rsidRPr="001949EC">
              <w:rPr>
                <w:b/>
                <w:bCs/>
                <w:sz w:val="20"/>
                <w:szCs w:val="20"/>
              </w:rPr>
              <w:t>Upper value</w:t>
            </w:r>
          </w:p>
        </w:tc>
      </w:tr>
      <w:tr w:rsidR="001F216E" w:rsidRPr="001A00C0" w14:paraId="7E8DB496" w14:textId="77777777" w:rsidTr="00506121">
        <w:trPr>
          <w:jc w:val="right"/>
        </w:trPr>
        <w:tc>
          <w:tcPr>
            <w:tcW w:w="2916" w:type="pct"/>
            <w:tcBorders>
              <w:top w:val="single" w:sz="12" w:space="0" w:color="000000" w:themeColor="text1"/>
            </w:tcBorders>
          </w:tcPr>
          <w:p w14:paraId="5BD97437" w14:textId="77777777" w:rsidR="001F216E" w:rsidRPr="001949EC" w:rsidRDefault="001F216E" w:rsidP="00204D05">
            <w:pPr>
              <w:pStyle w:val="SDMPara"/>
              <w:numPr>
                <w:ilvl w:val="0"/>
                <w:numId w:val="13"/>
              </w:numPr>
              <w:tabs>
                <w:tab w:val="left" w:pos="420"/>
              </w:tabs>
              <w:spacing w:before="0"/>
              <w:ind w:left="357" w:hanging="357"/>
              <w:jc w:val="left"/>
              <w:rPr>
                <w:bCs/>
                <w:sz w:val="20"/>
                <w:szCs w:val="20"/>
                <w:lang w:eastAsia="zh-CN"/>
              </w:rPr>
            </w:pPr>
            <w:r w:rsidRPr="001949EC">
              <w:rPr>
                <w:bCs/>
                <w:sz w:val="20"/>
                <w:szCs w:val="20"/>
                <w:lang w:eastAsia="zh-CN"/>
              </w:rPr>
              <w:t>Intermittent electricity generation sources</w:t>
            </w:r>
          </w:p>
          <w:p w14:paraId="0AD7A077" w14:textId="404C44D0" w:rsidR="001F216E" w:rsidRPr="001949EC" w:rsidRDefault="001F216E" w:rsidP="00204D05">
            <w:pPr>
              <w:pStyle w:val="SDMPara"/>
              <w:numPr>
                <w:ilvl w:val="0"/>
                <w:numId w:val="13"/>
              </w:numPr>
              <w:spacing w:before="0"/>
              <w:ind w:left="357" w:hanging="357"/>
              <w:jc w:val="left"/>
              <w:rPr>
                <w:rFonts w:eastAsia="MS Mincho"/>
                <w:bCs/>
                <w:sz w:val="20"/>
                <w:szCs w:val="20"/>
                <w:lang w:eastAsia="ja-JP"/>
              </w:rPr>
            </w:pPr>
            <w:r w:rsidRPr="001949EC" w:rsidDel="00E77D95">
              <w:rPr>
                <w:bCs/>
                <w:sz w:val="20"/>
                <w:szCs w:val="20"/>
                <w:lang w:eastAsia="zh-CN"/>
              </w:rPr>
              <w:t xml:space="preserve">Electricity </w:t>
            </w:r>
            <w:r w:rsidRPr="001949EC">
              <w:rPr>
                <w:bCs/>
                <w:sz w:val="20"/>
                <w:szCs w:val="20"/>
                <w:lang w:eastAsia="zh-CN"/>
              </w:rPr>
              <w:t>consumption sources depending on intermittent generation</w:t>
            </w:r>
          </w:p>
        </w:tc>
        <w:tc>
          <w:tcPr>
            <w:tcW w:w="500" w:type="pct"/>
            <w:tcBorders>
              <w:top w:val="single" w:sz="12" w:space="0" w:color="000000" w:themeColor="text1"/>
            </w:tcBorders>
          </w:tcPr>
          <w:p w14:paraId="0D33A410" w14:textId="23DF46A2" w:rsidR="001F216E" w:rsidRPr="001949EC" w:rsidRDefault="001F216E" w:rsidP="00204D05">
            <w:pPr>
              <w:pStyle w:val="SDMPara"/>
              <w:numPr>
                <w:ilvl w:val="0"/>
                <w:numId w:val="0"/>
              </w:numPr>
              <w:jc w:val="left"/>
              <w:rPr>
                <w:rFonts w:eastAsia="MS Mincho"/>
                <w:sz w:val="20"/>
                <w:szCs w:val="20"/>
                <w:lang w:eastAsia="ja-JP"/>
              </w:rPr>
            </w:pPr>
            <w:r w:rsidRPr="001949EC">
              <w:rPr>
                <w:sz w:val="20"/>
                <w:szCs w:val="20"/>
              </w:rPr>
              <w:t>0.25</w:t>
            </w:r>
          </w:p>
        </w:tc>
        <w:tc>
          <w:tcPr>
            <w:tcW w:w="500" w:type="pct"/>
            <w:tcBorders>
              <w:top w:val="single" w:sz="12" w:space="0" w:color="000000" w:themeColor="text1"/>
            </w:tcBorders>
          </w:tcPr>
          <w:p w14:paraId="1129C172" w14:textId="47A58600" w:rsidR="001F216E" w:rsidRPr="001949EC" w:rsidRDefault="001F216E" w:rsidP="00204D05">
            <w:pPr>
              <w:pStyle w:val="SDMPara"/>
              <w:numPr>
                <w:ilvl w:val="0"/>
                <w:numId w:val="0"/>
              </w:numPr>
              <w:jc w:val="left"/>
              <w:rPr>
                <w:rFonts w:eastAsia="MS Mincho"/>
                <w:sz w:val="20"/>
                <w:szCs w:val="20"/>
                <w:lang w:eastAsia="ja-JP"/>
              </w:rPr>
            </w:pPr>
            <w:r w:rsidRPr="001949EC">
              <w:rPr>
                <w:rFonts w:eastAsiaTheme="minorEastAsia"/>
                <w:sz w:val="20"/>
                <w:szCs w:val="20"/>
                <w:lang w:eastAsia="zh-CN"/>
              </w:rPr>
              <w:t>0.75</w:t>
            </w:r>
          </w:p>
        </w:tc>
        <w:tc>
          <w:tcPr>
            <w:tcW w:w="500" w:type="pct"/>
            <w:tcBorders>
              <w:top w:val="single" w:sz="12" w:space="0" w:color="000000" w:themeColor="text1"/>
            </w:tcBorders>
          </w:tcPr>
          <w:p w14:paraId="09EEFEC5" w14:textId="34127CFA" w:rsidR="001F216E" w:rsidRPr="001949EC" w:rsidRDefault="001F216E" w:rsidP="00204D05">
            <w:pPr>
              <w:pStyle w:val="SDMPara"/>
              <w:numPr>
                <w:ilvl w:val="0"/>
                <w:numId w:val="0"/>
              </w:numPr>
              <w:jc w:val="left"/>
              <w:rPr>
                <w:rFonts w:eastAsia="MS Mincho"/>
                <w:sz w:val="20"/>
                <w:szCs w:val="20"/>
                <w:lang w:eastAsia="ja-JP"/>
              </w:rPr>
            </w:pPr>
            <w:r w:rsidRPr="001949EC">
              <w:rPr>
                <w:rFonts w:eastAsiaTheme="minorEastAsia"/>
                <w:sz w:val="20"/>
                <w:szCs w:val="20"/>
                <w:lang w:eastAsia="zh-CN"/>
              </w:rPr>
              <w:t>0.25</w:t>
            </w:r>
          </w:p>
        </w:tc>
        <w:tc>
          <w:tcPr>
            <w:tcW w:w="583" w:type="pct"/>
            <w:tcBorders>
              <w:top w:val="single" w:sz="12" w:space="0" w:color="000000" w:themeColor="text1"/>
            </w:tcBorders>
          </w:tcPr>
          <w:p w14:paraId="30B08291" w14:textId="44514788" w:rsidR="001F216E" w:rsidRPr="001949EC" w:rsidRDefault="001F216E" w:rsidP="00204D05">
            <w:pPr>
              <w:pStyle w:val="SDMPara"/>
              <w:numPr>
                <w:ilvl w:val="0"/>
                <w:numId w:val="0"/>
              </w:numPr>
              <w:jc w:val="left"/>
              <w:rPr>
                <w:rFonts w:eastAsia="MS Mincho"/>
                <w:sz w:val="20"/>
                <w:szCs w:val="20"/>
                <w:lang w:eastAsia="ja-JP"/>
              </w:rPr>
            </w:pPr>
            <w:r w:rsidRPr="001949EC">
              <w:rPr>
                <w:rFonts w:eastAsiaTheme="minorEastAsia"/>
                <w:sz w:val="20"/>
                <w:szCs w:val="20"/>
                <w:lang w:eastAsia="zh-CN"/>
              </w:rPr>
              <w:t>0.75</w:t>
            </w:r>
          </w:p>
        </w:tc>
      </w:tr>
      <w:tr w:rsidR="001F216E" w:rsidRPr="001A00C0" w14:paraId="6371DA0D" w14:textId="77777777" w:rsidTr="00506121">
        <w:trPr>
          <w:jc w:val="right"/>
        </w:trPr>
        <w:tc>
          <w:tcPr>
            <w:tcW w:w="2916" w:type="pct"/>
          </w:tcPr>
          <w:p w14:paraId="577C42B8" w14:textId="77777777" w:rsidR="001F216E" w:rsidRPr="001949EC" w:rsidRDefault="001F216E" w:rsidP="00204D05">
            <w:pPr>
              <w:pStyle w:val="SDMPara"/>
              <w:numPr>
                <w:ilvl w:val="0"/>
                <w:numId w:val="14"/>
              </w:numPr>
              <w:tabs>
                <w:tab w:val="left" w:pos="420"/>
              </w:tabs>
              <w:spacing w:before="0"/>
              <w:ind w:left="357" w:hanging="357"/>
              <w:jc w:val="left"/>
              <w:rPr>
                <w:bCs/>
                <w:sz w:val="20"/>
                <w:szCs w:val="20"/>
                <w:lang w:eastAsia="zh-CN"/>
              </w:rPr>
            </w:pPr>
            <w:r w:rsidRPr="001949EC">
              <w:rPr>
                <w:bCs/>
                <w:sz w:val="20"/>
                <w:szCs w:val="20"/>
                <w:lang w:eastAsia="zh-CN"/>
              </w:rPr>
              <w:t>Non-intermittent electricity generation sources</w:t>
            </w:r>
          </w:p>
          <w:p w14:paraId="1D55DC60" w14:textId="5518627C" w:rsidR="001F216E" w:rsidRPr="001949EC" w:rsidRDefault="001F216E" w:rsidP="00204D05">
            <w:pPr>
              <w:pStyle w:val="SDMPara"/>
              <w:numPr>
                <w:ilvl w:val="0"/>
                <w:numId w:val="14"/>
              </w:numPr>
              <w:spacing w:before="0"/>
              <w:ind w:left="357" w:hanging="357"/>
              <w:jc w:val="left"/>
              <w:rPr>
                <w:rFonts w:eastAsia="MS Mincho"/>
                <w:bCs/>
                <w:sz w:val="20"/>
                <w:szCs w:val="20"/>
                <w:lang w:eastAsia="ja-JP"/>
              </w:rPr>
            </w:pPr>
            <w:r w:rsidRPr="001949EC" w:rsidDel="00E77D95">
              <w:rPr>
                <w:bCs/>
                <w:sz w:val="20"/>
                <w:szCs w:val="20"/>
                <w:lang w:eastAsia="zh-CN"/>
              </w:rPr>
              <w:t xml:space="preserve">Electricity </w:t>
            </w:r>
            <w:r w:rsidRPr="001949EC">
              <w:rPr>
                <w:bCs/>
                <w:sz w:val="20"/>
                <w:szCs w:val="20"/>
                <w:lang w:eastAsia="zh-CN"/>
              </w:rPr>
              <w:t>consumption sources not depending on intermittent generation</w:t>
            </w:r>
          </w:p>
        </w:tc>
        <w:tc>
          <w:tcPr>
            <w:tcW w:w="500" w:type="pct"/>
          </w:tcPr>
          <w:p w14:paraId="01F40859" w14:textId="2840D974" w:rsidR="001F216E" w:rsidRPr="001949EC" w:rsidRDefault="001F216E" w:rsidP="00204D05">
            <w:pPr>
              <w:pStyle w:val="SDMPara"/>
              <w:numPr>
                <w:ilvl w:val="0"/>
                <w:numId w:val="0"/>
              </w:numPr>
              <w:jc w:val="left"/>
              <w:rPr>
                <w:rFonts w:eastAsia="MS Mincho"/>
                <w:sz w:val="20"/>
                <w:szCs w:val="20"/>
                <w:lang w:eastAsia="ja-JP"/>
              </w:rPr>
            </w:pPr>
            <w:r w:rsidRPr="001949EC">
              <w:rPr>
                <w:sz w:val="20"/>
                <w:szCs w:val="20"/>
              </w:rPr>
              <w:t>0.125</w:t>
            </w:r>
          </w:p>
        </w:tc>
        <w:tc>
          <w:tcPr>
            <w:tcW w:w="500" w:type="pct"/>
          </w:tcPr>
          <w:p w14:paraId="09F0FE06" w14:textId="5AE30058" w:rsidR="001F216E" w:rsidRPr="001949EC" w:rsidRDefault="001F216E" w:rsidP="00204D05">
            <w:pPr>
              <w:pStyle w:val="SDMPara"/>
              <w:numPr>
                <w:ilvl w:val="0"/>
                <w:numId w:val="0"/>
              </w:numPr>
              <w:jc w:val="left"/>
              <w:rPr>
                <w:rFonts w:eastAsia="MS Mincho"/>
                <w:sz w:val="20"/>
                <w:szCs w:val="20"/>
                <w:lang w:eastAsia="ja-JP"/>
              </w:rPr>
            </w:pPr>
            <w:r w:rsidRPr="001949EC">
              <w:rPr>
                <w:rFonts w:eastAsiaTheme="minorEastAsia"/>
                <w:sz w:val="20"/>
                <w:szCs w:val="20"/>
                <w:lang w:eastAsia="zh-CN"/>
              </w:rPr>
              <w:t>0.375</w:t>
            </w:r>
          </w:p>
        </w:tc>
        <w:tc>
          <w:tcPr>
            <w:tcW w:w="500" w:type="pct"/>
          </w:tcPr>
          <w:p w14:paraId="7D4DEECA" w14:textId="51911B91" w:rsidR="001F216E" w:rsidRPr="001949EC" w:rsidRDefault="001F216E" w:rsidP="00204D05">
            <w:pPr>
              <w:pStyle w:val="SDMPara"/>
              <w:numPr>
                <w:ilvl w:val="0"/>
                <w:numId w:val="0"/>
              </w:numPr>
              <w:jc w:val="left"/>
              <w:rPr>
                <w:rFonts w:eastAsia="MS Mincho"/>
                <w:sz w:val="20"/>
                <w:szCs w:val="20"/>
                <w:lang w:eastAsia="ja-JP"/>
              </w:rPr>
            </w:pPr>
            <w:r w:rsidRPr="001949EC">
              <w:rPr>
                <w:rFonts w:eastAsiaTheme="minorEastAsia"/>
                <w:sz w:val="20"/>
                <w:szCs w:val="20"/>
                <w:lang w:eastAsia="zh-CN"/>
              </w:rPr>
              <w:t>0.625</w:t>
            </w:r>
          </w:p>
        </w:tc>
        <w:tc>
          <w:tcPr>
            <w:tcW w:w="583" w:type="pct"/>
          </w:tcPr>
          <w:p w14:paraId="31CEBE93" w14:textId="46DB5D39" w:rsidR="001F216E" w:rsidRPr="001949EC" w:rsidRDefault="001F216E" w:rsidP="00204D05">
            <w:pPr>
              <w:pStyle w:val="SDMPara"/>
              <w:numPr>
                <w:ilvl w:val="0"/>
                <w:numId w:val="0"/>
              </w:numPr>
              <w:jc w:val="left"/>
              <w:rPr>
                <w:rFonts w:eastAsia="MS Mincho"/>
                <w:sz w:val="20"/>
                <w:szCs w:val="20"/>
                <w:lang w:eastAsia="ja-JP"/>
              </w:rPr>
            </w:pPr>
            <w:r w:rsidRPr="001949EC">
              <w:rPr>
                <w:rFonts w:eastAsiaTheme="minorEastAsia"/>
                <w:sz w:val="20"/>
                <w:szCs w:val="20"/>
                <w:lang w:eastAsia="zh-CN"/>
              </w:rPr>
              <w:t>0.875</w:t>
            </w:r>
          </w:p>
        </w:tc>
      </w:tr>
    </w:tbl>
    <w:p w14:paraId="53921E04" w14:textId="1FC5B3A5" w:rsidR="00B235FC" w:rsidRPr="0018564E" w:rsidRDefault="00B235FC">
      <w:pPr>
        <w:pStyle w:val="SDMPara"/>
      </w:pPr>
      <w:r w:rsidRPr="0018564E">
        <w:t xml:space="preserve">The values for </w:t>
      </w:r>
      <w:r w:rsidRPr="0018564E">
        <w:rPr>
          <w:i/>
          <w:iCs/>
        </w:rPr>
        <w:t>w</w:t>
      </w:r>
      <w:r w:rsidRPr="0018564E">
        <w:rPr>
          <w:i/>
          <w:iCs/>
          <w:vertAlign w:val="subscript"/>
        </w:rPr>
        <w:t>OM</w:t>
      </w:r>
      <w:r w:rsidRPr="0018564E">
        <w:t xml:space="preserve"> </w:t>
      </w:r>
      <w:r w:rsidR="6BA28470">
        <w:t>and</w:t>
      </w:r>
      <w:r w:rsidRPr="0018564E">
        <w:t xml:space="preserve"> </w:t>
      </w:r>
      <w:r w:rsidRPr="0018564E">
        <w:rPr>
          <w:i/>
          <w:iCs/>
        </w:rPr>
        <w:t>w</w:t>
      </w:r>
      <w:r w:rsidRPr="0018564E">
        <w:rPr>
          <w:i/>
          <w:iCs/>
          <w:vertAlign w:val="subscript"/>
        </w:rPr>
        <w:t>BM</w:t>
      </w:r>
      <w:r w:rsidRPr="0018564E">
        <w:t xml:space="preserve"> </w:t>
      </w:r>
      <w:r w:rsidR="00E90F2D">
        <w:t>shall</w:t>
      </w:r>
      <w:r w:rsidRPr="0018564E">
        <w:t xml:space="preserve"> be fixed for </w:t>
      </w:r>
      <w:r w:rsidR="00D96091">
        <w:t xml:space="preserve">the duration of </w:t>
      </w:r>
      <w:r w:rsidRPr="0018564E">
        <w:t>a crediting period.</w:t>
      </w:r>
    </w:p>
    <w:p w14:paraId="279666B5" w14:textId="0DFA22F3" w:rsidR="003547C5" w:rsidRPr="00197F0C" w:rsidRDefault="003547C5">
      <w:pPr>
        <w:pStyle w:val="SDMHead3"/>
        <w:keepNext w:val="0"/>
      </w:pPr>
      <w:bookmarkStart w:id="524" w:name="_Ref212363013"/>
      <w:bookmarkStart w:id="525" w:name="_Ref215608692"/>
      <w:bookmarkStart w:id="526" w:name="_Toc215923331"/>
      <w:bookmarkStart w:id="527" w:name="_Toc216093027"/>
      <w:bookmarkStart w:id="528" w:name="_Toc216271756"/>
      <w:bookmarkStart w:id="529" w:name="_Toc216279373"/>
      <w:bookmarkStart w:id="530" w:name="_Toc216283411"/>
      <w:bookmarkStart w:id="531" w:name="_Toc216288029"/>
      <w:bookmarkStart w:id="532" w:name="_Toc219666136"/>
      <w:bookmarkStart w:id="533" w:name="_Toc220001396"/>
      <w:bookmarkStart w:id="534" w:name="_Toc221096420"/>
      <w:bookmarkStart w:id="535" w:name="_Toc221097972"/>
      <w:bookmarkStart w:id="536" w:name="_Toc221116268"/>
      <w:bookmarkStart w:id="537" w:name="_Toc221117284"/>
      <w:bookmarkStart w:id="538" w:name="_Toc222132122"/>
      <w:bookmarkStart w:id="539" w:name="_Toc222494923"/>
      <w:bookmarkStart w:id="540" w:name="_Toc222512439"/>
      <w:bookmarkStart w:id="541" w:name="_Toc222741759"/>
      <w:r w:rsidRPr="00BA5B92">
        <w:t>Option</w:t>
      </w:r>
      <w:r w:rsidR="00204D05">
        <w:t> </w:t>
      </w:r>
      <w:r w:rsidR="009076AA" w:rsidRPr="00676551">
        <w:t>B</w:t>
      </w:r>
      <w:r w:rsidRPr="00676551">
        <w:t xml:space="preserve">: </w:t>
      </w:r>
      <w:r w:rsidR="003E07D1">
        <w:t>Use a conservative</w:t>
      </w:r>
      <w:r w:rsidR="003E07D1" w:rsidRPr="00676551">
        <w:t xml:space="preserve"> </w:t>
      </w:r>
      <w:r w:rsidRPr="00676551">
        <w:t xml:space="preserve">default </w:t>
      </w:r>
      <w:bookmarkEnd w:id="524"/>
      <w:r w:rsidR="003E07D1">
        <w:t>emission factor</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4FEEECC5" w14:textId="4AF30015" w:rsidR="003547C5" w:rsidRDefault="00757335" w:rsidP="00C72647">
      <w:pPr>
        <w:pStyle w:val="SDMPara"/>
        <w:keepNext/>
        <w:keepLines/>
      </w:pPr>
      <w:bookmarkStart w:id="542" w:name="_Ref220531202"/>
      <w:r>
        <w:t>Where</w:t>
      </w:r>
      <w:r w:rsidR="001B4C3E" w:rsidDel="000F4CA6">
        <w:t xml:space="preserve"> </w:t>
      </w:r>
      <w:r w:rsidR="000F4CA6" w:rsidRPr="00AE2277">
        <w:rPr>
          <w:b/>
          <w:bCs/>
        </w:rPr>
        <w:t>case</w:t>
      </w:r>
      <w:r w:rsidR="00204D05">
        <w:rPr>
          <w:b/>
          <w:bCs/>
        </w:rPr>
        <w:t> </w:t>
      </w:r>
      <w:r w:rsidR="001B4C3E" w:rsidRPr="00AE2277">
        <w:rPr>
          <w:b/>
          <w:bCs/>
        </w:rPr>
        <w:t>1</w:t>
      </w:r>
      <w:r>
        <w:t xml:space="preserve"> applies</w:t>
      </w:r>
      <w:r w:rsidR="003356E2">
        <w:t xml:space="preserve"> </w:t>
      </w:r>
      <w:r w:rsidR="006E5562">
        <w:t xml:space="preserve">and the </w:t>
      </w:r>
      <w:r w:rsidR="00345A6B" w:rsidRPr="0021043D">
        <w:rPr>
          <w:rFonts w:eastAsia="Arial"/>
        </w:rPr>
        <w:t>electricity generation source is</w:t>
      </w:r>
      <w:r w:rsidR="00EF193D">
        <w:rPr>
          <w:rFonts w:eastAsia="Arial"/>
        </w:rPr>
        <w:t xml:space="preserve"> not</w:t>
      </w:r>
      <w:r w:rsidR="00345A6B" w:rsidRPr="0021043D">
        <w:rPr>
          <w:rFonts w:eastAsia="Arial"/>
        </w:rPr>
        <w:t xml:space="preserve"> </w:t>
      </w:r>
      <w:r w:rsidR="00345A6B" w:rsidRPr="0021043D" w:rsidDel="00D44C39">
        <w:rPr>
          <w:rFonts w:eastAsia="Arial"/>
        </w:rPr>
        <w:t>intermittent</w:t>
      </w:r>
      <w:r w:rsidR="00345A6B" w:rsidRPr="0021043D">
        <w:rPr>
          <w:rFonts w:eastAsia="Arial"/>
        </w:rPr>
        <w:t xml:space="preserve">, or the electricity consumption source </w:t>
      </w:r>
      <w:r w:rsidR="00EF193D">
        <w:rPr>
          <w:rFonts w:eastAsia="Arial"/>
        </w:rPr>
        <w:t xml:space="preserve">does not </w:t>
      </w:r>
      <w:r w:rsidR="00345A6B" w:rsidRPr="0021043D">
        <w:rPr>
          <w:rFonts w:eastAsia="Arial"/>
        </w:rPr>
        <w:t>depend on intermittent generation</w:t>
      </w:r>
      <w:r w:rsidR="001B4C3E">
        <w:t xml:space="preserve">, </w:t>
      </w:r>
      <w:r>
        <w:t xml:space="preserve">activity participants </w:t>
      </w:r>
      <w:r w:rsidR="00A77E6B">
        <w:t>shall</w:t>
      </w:r>
      <w:r w:rsidR="001B4C3E">
        <w:t xml:space="preserve"> apply one of the following </w:t>
      </w:r>
      <w:r w:rsidR="1E5E8539">
        <w:t>default</w:t>
      </w:r>
      <w:r w:rsidR="00EC4677">
        <w:t xml:space="preserve"> emission factors</w:t>
      </w:r>
      <w:r w:rsidR="00BC168E">
        <w:t xml:space="preserve"> and justify the choice in the PDD</w:t>
      </w:r>
      <w:r w:rsidR="00E21E0C">
        <w:t xml:space="preserve"> or monitoring report, as applicable</w:t>
      </w:r>
      <w:r w:rsidR="001B4C3E">
        <w:t>:</w:t>
      </w:r>
      <w:bookmarkEnd w:id="542"/>
    </w:p>
    <w:p w14:paraId="015D37DD" w14:textId="77777777" w:rsidR="00DD734D" w:rsidRDefault="00DD734D">
      <w:pPr>
        <w:pStyle w:val="SDMSubPara1"/>
      </w:pPr>
      <w:r w:rsidRPr="00AE2277">
        <w:rPr>
          <w:b/>
          <w:bCs/>
        </w:rPr>
        <w:t>0.44 t CO</w:t>
      </w:r>
      <w:r w:rsidRPr="00AE2277">
        <w:rPr>
          <w:b/>
          <w:bCs/>
          <w:vertAlign w:val="subscript"/>
        </w:rPr>
        <w:t>2</w:t>
      </w:r>
      <w:r w:rsidRPr="00AE2277">
        <w:rPr>
          <w:b/>
          <w:bCs/>
        </w:rPr>
        <w:t>e/MWh</w:t>
      </w:r>
      <w:r w:rsidDel="00752FDD">
        <w:t xml:space="preserve"> </w:t>
      </w:r>
      <w:r>
        <w:t>if there is high confidence that the share of electricity generation from renewable (excluding solar and wind) and nuclear energy</w:t>
      </w:r>
      <w:r w:rsidDel="00435CD8">
        <w:t xml:space="preserve"> </w:t>
      </w:r>
      <w:r>
        <w:t>in the electricity system exceeds 67 per cent in the period for which the emission factor is determined;</w:t>
      </w:r>
      <w:r>
        <w:rPr>
          <w:rStyle w:val="FootnoteReference"/>
        </w:rPr>
        <w:footnoteReference w:id="27"/>
      </w:r>
      <w:r>
        <w:t xml:space="preserve"> or</w:t>
      </w:r>
    </w:p>
    <w:p w14:paraId="28A5BBD6" w14:textId="68213F90" w:rsidR="00924518" w:rsidRDefault="1448543F">
      <w:pPr>
        <w:pStyle w:val="SDMSubPara1"/>
      </w:pPr>
      <w:r w:rsidRPr="00F312FB">
        <w:t>O</w:t>
      </w:r>
      <w:r w:rsidR="00DD734D" w:rsidRPr="00F312FB">
        <w:t>therwise</w:t>
      </w:r>
      <w:r w:rsidR="00DD734D">
        <w:rPr>
          <w:b/>
          <w:bCs/>
        </w:rPr>
        <w:t xml:space="preserve"> </w:t>
      </w:r>
      <w:r w:rsidR="6E9BB278" w:rsidRPr="00AE2277">
        <w:rPr>
          <w:b/>
          <w:bCs/>
        </w:rPr>
        <w:t>0.87</w:t>
      </w:r>
      <w:r w:rsidR="09FFCDA8" w:rsidRPr="00AE2277">
        <w:rPr>
          <w:b/>
          <w:bCs/>
        </w:rPr>
        <w:t xml:space="preserve"> t</w:t>
      </w:r>
      <w:r w:rsidR="1EA84197" w:rsidRPr="00AE2277">
        <w:rPr>
          <w:b/>
          <w:bCs/>
        </w:rPr>
        <w:t> </w:t>
      </w:r>
      <w:r w:rsidR="09FFCDA8" w:rsidRPr="00AE2277">
        <w:rPr>
          <w:b/>
          <w:bCs/>
        </w:rPr>
        <w:t>CO</w:t>
      </w:r>
      <w:r w:rsidR="09FFCDA8" w:rsidRPr="00AE2277">
        <w:rPr>
          <w:b/>
          <w:bCs/>
          <w:vertAlign w:val="subscript"/>
        </w:rPr>
        <w:t>2</w:t>
      </w:r>
      <w:r w:rsidR="138347E6" w:rsidRPr="00AE2277">
        <w:rPr>
          <w:b/>
          <w:bCs/>
        </w:rPr>
        <w:t>e</w:t>
      </w:r>
      <w:r w:rsidR="09FFCDA8" w:rsidRPr="00AE2277">
        <w:rPr>
          <w:b/>
          <w:bCs/>
        </w:rPr>
        <w:t>/MWh</w:t>
      </w:r>
      <w:r w:rsidR="09FFCDA8">
        <w:t xml:space="preserve"> </w:t>
      </w:r>
      <w:r w:rsidR="2D1FF2FF">
        <w:t>if</w:t>
      </w:r>
      <w:r w:rsidR="00A538CC">
        <w:t xml:space="preserve"> </w:t>
      </w:r>
      <w:r w:rsidR="00B461F7">
        <w:t xml:space="preserve">there is high confidence that </w:t>
      </w:r>
      <w:r w:rsidR="00A538CC">
        <w:t xml:space="preserve">the </w:t>
      </w:r>
      <w:r w:rsidR="00B461F7">
        <w:t xml:space="preserve">share </w:t>
      </w:r>
      <w:r w:rsidR="00A538CC">
        <w:t xml:space="preserve">of </w:t>
      </w:r>
      <w:r w:rsidR="0829F4FE">
        <w:t>electricity</w:t>
      </w:r>
      <w:r w:rsidR="22A2AB1B">
        <w:t xml:space="preserve"> </w:t>
      </w:r>
      <w:r w:rsidR="144B4EAE">
        <w:t xml:space="preserve">generation </w:t>
      </w:r>
      <w:r w:rsidR="22A2AB1B">
        <w:t xml:space="preserve">from </w:t>
      </w:r>
      <w:r w:rsidR="00A538CC">
        <w:t xml:space="preserve">renewable (excluding solar and wind) </w:t>
      </w:r>
      <w:r w:rsidR="6E9BB278">
        <w:t xml:space="preserve">and nuclear energy in the electricity </w:t>
      </w:r>
      <w:r w:rsidR="22A2AB1B">
        <w:t>system</w:t>
      </w:r>
      <w:r w:rsidR="003B1E14">
        <w:t xml:space="preserve"> </w:t>
      </w:r>
      <w:r w:rsidR="00BE7413">
        <w:t>exceeds 33</w:t>
      </w:r>
      <w:r w:rsidR="007967A9">
        <w:t> </w:t>
      </w:r>
      <w:r w:rsidR="000F4CA6">
        <w:t xml:space="preserve">per cent </w:t>
      </w:r>
      <w:r w:rsidR="00440A78">
        <w:t>in the period for which the emission factor is determined</w:t>
      </w:r>
      <w:r w:rsidR="00A67C03">
        <w:t>;</w:t>
      </w:r>
      <w:r w:rsidR="00042B20">
        <w:rPr>
          <w:rStyle w:val="FootnoteReference"/>
        </w:rPr>
        <w:footnoteReference w:id="28"/>
      </w:r>
      <w:r w:rsidR="00DD734D">
        <w:t xml:space="preserve"> or</w:t>
      </w:r>
    </w:p>
    <w:p w14:paraId="6956F8FA" w14:textId="5DBA9A0D" w:rsidR="00A67C03" w:rsidRDefault="3B08944D">
      <w:pPr>
        <w:pStyle w:val="SDMSubPara1"/>
      </w:pPr>
      <w:r w:rsidRPr="00F312FB">
        <w:t>O</w:t>
      </w:r>
      <w:r w:rsidR="00DD734D" w:rsidRPr="00F312FB">
        <w:t>therwise</w:t>
      </w:r>
      <w:r w:rsidR="00DD734D">
        <w:rPr>
          <w:b/>
          <w:bCs/>
        </w:rPr>
        <w:t xml:space="preserve"> </w:t>
      </w:r>
      <w:r w:rsidR="00435076" w:rsidRPr="00AE2277">
        <w:rPr>
          <w:b/>
          <w:bCs/>
        </w:rPr>
        <w:t>1.3 t</w:t>
      </w:r>
      <w:r w:rsidR="00204D05">
        <w:rPr>
          <w:b/>
          <w:bCs/>
        </w:rPr>
        <w:t> </w:t>
      </w:r>
      <w:r w:rsidR="00435076" w:rsidRPr="00AE2277">
        <w:rPr>
          <w:b/>
          <w:bCs/>
        </w:rPr>
        <w:t>CO</w:t>
      </w:r>
      <w:r w:rsidR="00435076" w:rsidRPr="00AE2277">
        <w:rPr>
          <w:b/>
          <w:bCs/>
          <w:vertAlign w:val="subscript"/>
        </w:rPr>
        <w:t>2</w:t>
      </w:r>
      <w:r w:rsidR="00435076" w:rsidRPr="00AE2277">
        <w:rPr>
          <w:b/>
          <w:bCs/>
        </w:rPr>
        <w:t>e/MWh</w:t>
      </w:r>
      <w:r w:rsidR="00435076">
        <w:t>.</w:t>
      </w:r>
      <w:r w:rsidR="00042B20">
        <w:rPr>
          <w:rStyle w:val="FootnoteReference"/>
        </w:rPr>
        <w:footnoteReference w:id="29"/>
      </w:r>
    </w:p>
    <w:p w14:paraId="01467FB0" w14:textId="043DB0B5" w:rsidR="00EF193D" w:rsidRDefault="00EF193D">
      <w:pPr>
        <w:pStyle w:val="SDMPara"/>
      </w:pPr>
      <w:r>
        <w:t xml:space="preserve">Where </w:t>
      </w:r>
      <w:r w:rsidRPr="00B23B70">
        <w:rPr>
          <w:b/>
          <w:bCs/>
        </w:rPr>
        <w:t>case</w:t>
      </w:r>
      <w:r w:rsidR="00204D05" w:rsidRPr="00B23B70">
        <w:rPr>
          <w:b/>
          <w:bCs/>
        </w:rPr>
        <w:t> </w:t>
      </w:r>
      <w:r w:rsidRPr="00B23B70">
        <w:rPr>
          <w:b/>
          <w:bCs/>
        </w:rPr>
        <w:t>1</w:t>
      </w:r>
      <w:r>
        <w:t xml:space="preserve"> applies </w:t>
      </w:r>
      <w:r w:rsidRPr="00EF193D">
        <w:t>and the electricity generation source is intermittent, or the electricity consumption source depends on intermittent generation,</w:t>
      </w:r>
      <w:r>
        <w:t xml:space="preserve"> </w:t>
      </w:r>
      <w:r w:rsidR="00F84E6C">
        <w:t xml:space="preserve">activity participants </w:t>
      </w:r>
      <w:r w:rsidR="00A77E6B">
        <w:t>shall</w:t>
      </w:r>
      <w:r w:rsidR="00F84E6C">
        <w:t xml:space="preserve"> apply a default value of </w:t>
      </w:r>
      <w:r w:rsidR="00F84E6C" w:rsidRPr="00AE2277">
        <w:rPr>
          <w:b/>
          <w:bCs/>
        </w:rPr>
        <w:t>1.3 t</w:t>
      </w:r>
      <w:r w:rsidR="00204D05">
        <w:rPr>
          <w:b/>
          <w:bCs/>
        </w:rPr>
        <w:t> </w:t>
      </w:r>
      <w:r w:rsidR="00F84E6C" w:rsidRPr="00AE2277">
        <w:rPr>
          <w:b/>
          <w:bCs/>
        </w:rPr>
        <w:t>CO</w:t>
      </w:r>
      <w:r w:rsidR="00F84E6C" w:rsidRPr="00AE2277">
        <w:rPr>
          <w:b/>
          <w:bCs/>
          <w:vertAlign w:val="subscript"/>
        </w:rPr>
        <w:t>2</w:t>
      </w:r>
      <w:r w:rsidR="00F84E6C" w:rsidRPr="00AE2277">
        <w:rPr>
          <w:b/>
          <w:bCs/>
        </w:rPr>
        <w:t>e/MWh</w:t>
      </w:r>
      <w:r w:rsidR="00F84E6C" w:rsidRPr="00F84E6C">
        <w:t>.</w:t>
      </w:r>
      <w:r w:rsidR="006B2C4A">
        <w:rPr>
          <w:rStyle w:val="FootnoteReference"/>
        </w:rPr>
        <w:footnoteReference w:id="30"/>
      </w:r>
    </w:p>
    <w:p w14:paraId="489A7BD7" w14:textId="09DDEA5A" w:rsidR="005B1A75" w:rsidRDefault="00757335" w:rsidP="00C72647">
      <w:pPr>
        <w:pStyle w:val="SDMPara"/>
        <w:keepNext/>
      </w:pPr>
      <w:r>
        <w:t>Where</w:t>
      </w:r>
      <w:r w:rsidR="40B9A179" w:rsidDel="00A4281E">
        <w:t xml:space="preserve"> </w:t>
      </w:r>
      <w:r w:rsidR="00A4281E" w:rsidRPr="00AE2277">
        <w:rPr>
          <w:b/>
          <w:bCs/>
        </w:rPr>
        <w:t>case</w:t>
      </w:r>
      <w:r w:rsidR="00B23B70">
        <w:rPr>
          <w:b/>
          <w:bCs/>
        </w:rPr>
        <w:t> </w:t>
      </w:r>
      <w:r w:rsidR="40B9A179" w:rsidRPr="00AE2277">
        <w:rPr>
          <w:b/>
          <w:bCs/>
        </w:rPr>
        <w:t>2</w:t>
      </w:r>
      <w:r>
        <w:t xml:space="preserve"> applies</w:t>
      </w:r>
      <w:r w:rsidR="4D9F62F9">
        <w:t>,</w:t>
      </w:r>
      <w:r w:rsidR="40B9A179">
        <w:t xml:space="preserve"> </w:t>
      </w:r>
      <w:r w:rsidR="00E21E0C">
        <w:t xml:space="preserve">activity participants </w:t>
      </w:r>
      <w:r w:rsidR="00A77E6B">
        <w:t>shall</w:t>
      </w:r>
      <w:r w:rsidR="40B9A179">
        <w:t xml:space="preserve"> apply one of the following</w:t>
      </w:r>
      <w:r w:rsidR="2ED69888">
        <w:t xml:space="preserve"> default emission factors</w:t>
      </w:r>
      <w:r w:rsidR="002D23C9">
        <w:t xml:space="preserve"> and justify the choice in the PDD</w:t>
      </w:r>
      <w:r w:rsidR="00E21E0C">
        <w:t xml:space="preserve"> or monitoring report, as applicable</w:t>
      </w:r>
      <w:r w:rsidR="40B9A179">
        <w:t>:</w:t>
      </w:r>
    </w:p>
    <w:p w14:paraId="698DCBF5" w14:textId="7130849C" w:rsidR="005B1A75" w:rsidRDefault="005B1A75">
      <w:pPr>
        <w:pStyle w:val="SDMSubPara1"/>
      </w:pPr>
      <w:r w:rsidRPr="00AE2277">
        <w:rPr>
          <w:b/>
          <w:bCs/>
        </w:rPr>
        <w:t>0.2 t</w:t>
      </w:r>
      <w:r w:rsidR="001A242D" w:rsidRPr="00AE2277">
        <w:rPr>
          <w:b/>
          <w:bCs/>
        </w:rPr>
        <w:t> </w:t>
      </w:r>
      <w:r w:rsidRPr="00AE2277">
        <w:rPr>
          <w:b/>
          <w:bCs/>
        </w:rPr>
        <w:t>CO</w:t>
      </w:r>
      <w:r w:rsidRPr="00AE2277">
        <w:rPr>
          <w:b/>
          <w:bCs/>
          <w:vertAlign w:val="subscript"/>
        </w:rPr>
        <w:t>2</w:t>
      </w:r>
      <w:r w:rsidR="006E30CE" w:rsidRPr="00AE2277">
        <w:rPr>
          <w:b/>
          <w:bCs/>
        </w:rPr>
        <w:t>e</w:t>
      </w:r>
      <w:r w:rsidRPr="00AE2277">
        <w:rPr>
          <w:b/>
          <w:bCs/>
        </w:rPr>
        <w:t>/MWh</w:t>
      </w:r>
      <w:r>
        <w:t xml:space="preserve"> </w:t>
      </w:r>
      <w:r w:rsidR="52512203">
        <w:t>if</w:t>
      </w:r>
      <w:r>
        <w:t xml:space="preserve"> </w:t>
      </w:r>
      <w:r w:rsidR="00E542EB">
        <w:t>there is high confidence that</w:t>
      </w:r>
      <w:r w:rsidR="7DF69FF2">
        <w:t xml:space="preserve"> </w:t>
      </w:r>
      <w:r w:rsidR="40B9A179">
        <w:t>the</w:t>
      </w:r>
      <w:r w:rsidDel="005B1A75">
        <w:t xml:space="preserve"> </w:t>
      </w:r>
      <w:r w:rsidR="00E542EB">
        <w:t xml:space="preserve">share </w:t>
      </w:r>
      <w:r>
        <w:t xml:space="preserve">of </w:t>
      </w:r>
      <w:r w:rsidR="00435CD8">
        <w:t xml:space="preserve">electricity generation from </w:t>
      </w:r>
      <w:r>
        <w:t>renewable energy (including solar and wind) and nuclear energy in the electricity</w:t>
      </w:r>
      <w:r w:rsidDel="001B161B">
        <w:t xml:space="preserve"> </w:t>
      </w:r>
      <w:r w:rsidR="001B161B">
        <w:t xml:space="preserve">system </w:t>
      </w:r>
      <w:r>
        <w:t xml:space="preserve">is </w:t>
      </w:r>
      <w:r w:rsidR="48611B7F">
        <w:t xml:space="preserve">less than </w:t>
      </w:r>
      <w:r>
        <w:t>33</w:t>
      </w:r>
      <w:r w:rsidR="00FA4F1C">
        <w:t> </w:t>
      </w:r>
      <w:r w:rsidR="00A4281E">
        <w:t xml:space="preserve">per cent </w:t>
      </w:r>
      <w:r w:rsidR="0049315F">
        <w:t xml:space="preserve">in the period for which the emission factor is </w:t>
      </w:r>
      <w:r w:rsidR="05AB3E6C">
        <w:t>determined</w:t>
      </w:r>
      <w:r w:rsidR="40FD5ED5">
        <w:t>;</w:t>
      </w:r>
      <w:r w:rsidR="00FF1471">
        <w:rPr>
          <w:rStyle w:val="FootnoteReference"/>
        </w:rPr>
        <w:footnoteReference w:id="31"/>
      </w:r>
      <w:r w:rsidR="00BE5F22">
        <w:t xml:space="preserve"> or</w:t>
      </w:r>
    </w:p>
    <w:p w14:paraId="7FD66292" w14:textId="0B13FCFC" w:rsidR="005B1A75" w:rsidRDefault="003126DE">
      <w:pPr>
        <w:pStyle w:val="SDMSubPara1"/>
      </w:pPr>
      <w:r>
        <w:t>O</w:t>
      </w:r>
      <w:r w:rsidR="00BE5F22" w:rsidRPr="00097EEE">
        <w:t>therwise</w:t>
      </w:r>
      <w:r w:rsidR="00BE5F22">
        <w:rPr>
          <w:b/>
          <w:bCs/>
        </w:rPr>
        <w:t xml:space="preserve"> </w:t>
      </w:r>
      <w:r w:rsidR="005B1A75" w:rsidRPr="00AE2277">
        <w:rPr>
          <w:b/>
          <w:bCs/>
        </w:rPr>
        <w:t xml:space="preserve">0.1 </w:t>
      </w:r>
      <w:r w:rsidR="006E30CE" w:rsidRPr="00AE2277">
        <w:rPr>
          <w:b/>
          <w:bCs/>
        </w:rPr>
        <w:t>t</w:t>
      </w:r>
      <w:r w:rsidR="001A242D" w:rsidRPr="00AE2277">
        <w:rPr>
          <w:b/>
          <w:bCs/>
        </w:rPr>
        <w:t> </w:t>
      </w:r>
      <w:r w:rsidR="1BAB97A9" w:rsidRPr="00AE2277">
        <w:rPr>
          <w:b/>
          <w:bCs/>
        </w:rPr>
        <w:t>CO</w:t>
      </w:r>
      <w:r w:rsidR="1BAB97A9" w:rsidRPr="00AE2277">
        <w:rPr>
          <w:b/>
          <w:bCs/>
          <w:vertAlign w:val="subscript"/>
        </w:rPr>
        <w:t>2</w:t>
      </w:r>
      <w:r w:rsidR="1BAB97A9" w:rsidRPr="00AE2277">
        <w:rPr>
          <w:b/>
          <w:bCs/>
        </w:rPr>
        <w:t>e</w:t>
      </w:r>
      <w:r w:rsidR="1104066E" w:rsidRPr="00AE2277">
        <w:rPr>
          <w:b/>
          <w:bCs/>
        </w:rPr>
        <w:t>/MWh</w:t>
      </w:r>
      <w:r w:rsidR="005B1A75" w:rsidDel="00A931A6">
        <w:t xml:space="preserve"> </w:t>
      </w:r>
      <w:r w:rsidR="00A931A6">
        <w:t xml:space="preserve">if </w:t>
      </w:r>
      <w:r w:rsidR="00E542EB">
        <w:t>there is high confidence that</w:t>
      </w:r>
      <w:r w:rsidR="7DF69FF2">
        <w:t xml:space="preserve"> </w:t>
      </w:r>
      <w:r w:rsidR="40B9A179">
        <w:t>the</w:t>
      </w:r>
      <w:r w:rsidR="005B1A75" w:rsidDel="005B1A75">
        <w:t xml:space="preserve"> </w:t>
      </w:r>
      <w:r w:rsidR="00E542EB">
        <w:t xml:space="preserve">share </w:t>
      </w:r>
      <w:r w:rsidR="005B1A75">
        <w:t xml:space="preserve">of </w:t>
      </w:r>
      <w:r w:rsidR="00A931A6">
        <w:t xml:space="preserve">electricity generation from </w:t>
      </w:r>
      <w:r w:rsidR="005B1A75">
        <w:t>renewable energy (including solar and wind) and nuclear energy in the electricity</w:t>
      </w:r>
      <w:r w:rsidR="005B1A75" w:rsidDel="00A931A6">
        <w:t xml:space="preserve"> </w:t>
      </w:r>
      <w:r w:rsidR="00A931A6">
        <w:t xml:space="preserve">systems </w:t>
      </w:r>
      <w:r w:rsidR="005B1A75">
        <w:t>is less than 67</w:t>
      </w:r>
      <w:r w:rsidR="00FA4F1C">
        <w:t> </w:t>
      </w:r>
      <w:r w:rsidR="00A4281E">
        <w:t xml:space="preserve">per cent </w:t>
      </w:r>
      <w:r w:rsidR="00A931A6">
        <w:t xml:space="preserve">in the period for which the emission factor is </w:t>
      </w:r>
      <w:r w:rsidR="51C8246B">
        <w:t>determined</w:t>
      </w:r>
      <w:r w:rsidR="00B141B0">
        <w:t>;</w:t>
      </w:r>
      <w:r w:rsidR="00393D05">
        <w:rPr>
          <w:rStyle w:val="FootnoteReference"/>
        </w:rPr>
        <w:footnoteReference w:id="32"/>
      </w:r>
      <w:r w:rsidR="00A931A6">
        <w:t xml:space="preserve"> or</w:t>
      </w:r>
    </w:p>
    <w:p w14:paraId="5E9082CF" w14:textId="5ECC53D7" w:rsidR="005B1A75" w:rsidRDefault="003126DE">
      <w:pPr>
        <w:pStyle w:val="SDMSubPara1"/>
      </w:pPr>
      <w:r>
        <w:t>O</w:t>
      </w:r>
      <w:r w:rsidR="00BE5F22" w:rsidRPr="00097EEE">
        <w:t>therwise</w:t>
      </w:r>
      <w:r w:rsidR="00BE5F22">
        <w:rPr>
          <w:b/>
          <w:bCs/>
        </w:rPr>
        <w:t xml:space="preserve"> </w:t>
      </w:r>
      <w:r w:rsidR="1104066E" w:rsidRPr="00AE2277">
        <w:rPr>
          <w:b/>
          <w:bCs/>
        </w:rPr>
        <w:t>0.03</w:t>
      </w:r>
      <w:r w:rsidR="391F197F" w:rsidRPr="00AE2277">
        <w:rPr>
          <w:b/>
          <w:bCs/>
        </w:rPr>
        <w:t> </w:t>
      </w:r>
      <w:r w:rsidR="1BAB97A9" w:rsidRPr="00AE2277">
        <w:rPr>
          <w:b/>
          <w:bCs/>
        </w:rPr>
        <w:t>t</w:t>
      </w:r>
      <w:r w:rsidR="740B9364" w:rsidRPr="00AE2277">
        <w:rPr>
          <w:b/>
          <w:bCs/>
        </w:rPr>
        <w:t xml:space="preserve"> </w:t>
      </w:r>
      <w:r w:rsidR="1BAB97A9" w:rsidRPr="00AE2277">
        <w:rPr>
          <w:b/>
          <w:bCs/>
        </w:rPr>
        <w:t>CO</w:t>
      </w:r>
      <w:r w:rsidR="1BAB97A9" w:rsidRPr="00AE2277">
        <w:rPr>
          <w:b/>
          <w:bCs/>
          <w:vertAlign w:val="subscript"/>
        </w:rPr>
        <w:t>2</w:t>
      </w:r>
      <w:r w:rsidR="1BAB97A9" w:rsidRPr="00AE2277">
        <w:rPr>
          <w:b/>
          <w:bCs/>
        </w:rPr>
        <w:t>e</w:t>
      </w:r>
      <w:r w:rsidR="1104066E" w:rsidRPr="00AE2277">
        <w:rPr>
          <w:b/>
          <w:bCs/>
        </w:rPr>
        <w:t>/MWh</w:t>
      </w:r>
      <w:r w:rsidR="1104066E">
        <w:t>.</w:t>
      </w:r>
      <w:r w:rsidR="0028439B">
        <w:rPr>
          <w:rStyle w:val="FootnoteReference"/>
        </w:rPr>
        <w:footnoteReference w:id="33"/>
      </w:r>
    </w:p>
    <w:p w14:paraId="68F71E22" w14:textId="786370E7" w:rsidR="0036736A" w:rsidRDefault="00BC168E">
      <w:pPr>
        <w:pStyle w:val="SDMPara"/>
      </w:pPr>
      <w:r w:rsidRPr="00095114">
        <w:t xml:space="preserve">For determining the emission factor applied under </w:t>
      </w:r>
      <w:r w:rsidR="00A4281E" w:rsidRPr="00AE2277">
        <w:rPr>
          <w:b/>
          <w:bCs/>
        </w:rPr>
        <w:t>case</w:t>
      </w:r>
      <w:r w:rsidR="00B25E07">
        <w:rPr>
          <w:b/>
          <w:bCs/>
        </w:rPr>
        <w:t> </w:t>
      </w:r>
      <w:r w:rsidRPr="00AE2277">
        <w:rPr>
          <w:b/>
          <w:bCs/>
        </w:rPr>
        <w:t>1</w:t>
      </w:r>
      <w:r w:rsidRPr="00095114">
        <w:t>, the data</w:t>
      </w:r>
      <w:r w:rsidR="00C07951">
        <w:t xml:space="preserve"> used to identify</w:t>
      </w:r>
      <w:r w:rsidRPr="00095114">
        <w:t xml:space="preserve"> the</w:t>
      </w:r>
      <w:r w:rsidRPr="00095114" w:rsidDel="00BC168E">
        <w:t xml:space="preserve"> </w:t>
      </w:r>
      <w:r w:rsidRPr="00095114">
        <w:t xml:space="preserve">share of </w:t>
      </w:r>
      <w:r w:rsidR="00133C74" w:rsidRPr="00095114">
        <w:t xml:space="preserve">electricity generation from </w:t>
      </w:r>
      <w:r w:rsidRPr="00095114">
        <w:t xml:space="preserve">renewable </w:t>
      </w:r>
      <w:r w:rsidR="00C07951">
        <w:t xml:space="preserve">energy </w:t>
      </w:r>
      <w:r w:rsidR="00133C74" w:rsidRPr="00095114">
        <w:t xml:space="preserve">(excluding solar and wind) </w:t>
      </w:r>
      <w:r w:rsidRPr="00095114">
        <w:t xml:space="preserve">and nuclear energy </w:t>
      </w:r>
      <w:r w:rsidR="33BE6231">
        <w:t>i</w:t>
      </w:r>
      <w:r w:rsidR="30FC01FE">
        <w:t>n</w:t>
      </w:r>
      <w:r w:rsidRPr="00095114">
        <w:t xml:space="preserve"> the electricity</w:t>
      </w:r>
      <w:r w:rsidRPr="00095114" w:rsidDel="00133C74">
        <w:t xml:space="preserve"> </w:t>
      </w:r>
      <w:r w:rsidR="00133C74" w:rsidRPr="00095114">
        <w:t xml:space="preserve">system </w:t>
      </w:r>
      <w:r w:rsidRPr="00095114">
        <w:t xml:space="preserve">may be determined </w:t>
      </w:r>
      <w:r w:rsidR="00C07951">
        <w:t xml:space="preserve">either </w:t>
      </w:r>
      <w:r w:rsidRPr="00095114">
        <w:t>ex</w:t>
      </w:r>
      <w:r w:rsidR="00B23B70">
        <w:t> </w:t>
      </w:r>
      <w:r w:rsidRPr="00095114">
        <w:t>ante</w:t>
      </w:r>
      <w:r w:rsidR="00C07951">
        <w:t>,</w:t>
      </w:r>
      <w:r w:rsidRPr="00095114">
        <w:t xml:space="preserve"> based on the average data </w:t>
      </w:r>
      <w:r w:rsidR="00FE0BE4">
        <w:t>from</w:t>
      </w:r>
      <w:r w:rsidR="00FE0BE4" w:rsidRPr="00095114">
        <w:t xml:space="preserve"> </w:t>
      </w:r>
      <w:r w:rsidRPr="00095114">
        <w:t xml:space="preserve">the most recent three years </w:t>
      </w:r>
      <w:r w:rsidR="009A1377" w:rsidRPr="00095114">
        <w:t>at the time of submission</w:t>
      </w:r>
      <w:r w:rsidR="00FE0BE4">
        <w:t>,</w:t>
      </w:r>
      <w:r w:rsidR="009A1377" w:rsidRPr="00095114">
        <w:t xml:space="preserve"> </w:t>
      </w:r>
      <w:r w:rsidRPr="00095114">
        <w:t xml:space="preserve">or </w:t>
      </w:r>
      <w:r w:rsidR="009A1377" w:rsidRPr="00095114">
        <w:t>ex</w:t>
      </w:r>
      <w:r w:rsidR="00B23B70">
        <w:t> </w:t>
      </w:r>
      <w:r w:rsidR="009A1377" w:rsidRPr="00095114">
        <w:t>post for period</w:t>
      </w:r>
      <w:r w:rsidR="008D2D13" w:rsidRPr="00095114">
        <w:t> </w:t>
      </w:r>
      <w:r w:rsidR="008D2D13" w:rsidRPr="00F453EB">
        <w:rPr>
          <w:i/>
        </w:rPr>
        <w:t>t</w:t>
      </w:r>
      <w:r w:rsidR="008D2D13" w:rsidRPr="00095114">
        <w:t xml:space="preserve"> for which the emission factor is </w:t>
      </w:r>
      <w:r w:rsidR="557856D9">
        <w:t>determined</w:t>
      </w:r>
      <w:r w:rsidR="30FC01FE">
        <w:t>.</w:t>
      </w:r>
      <w:r w:rsidRPr="00095114">
        <w:t xml:space="preserve"> </w:t>
      </w:r>
      <w:r w:rsidR="29600D45" w:rsidRPr="00095114">
        <w:t>For</w:t>
      </w:r>
      <w:r w:rsidRPr="00095114" w:rsidDel="00FE0BE4">
        <w:t xml:space="preserve"> </w:t>
      </w:r>
      <w:r w:rsidR="00FE0BE4" w:rsidRPr="00AE2277">
        <w:rPr>
          <w:b/>
          <w:bCs/>
        </w:rPr>
        <w:t>case</w:t>
      </w:r>
      <w:r w:rsidR="00B25E07">
        <w:rPr>
          <w:b/>
          <w:bCs/>
        </w:rPr>
        <w:t> </w:t>
      </w:r>
      <w:r w:rsidRPr="00AE2277">
        <w:rPr>
          <w:b/>
          <w:bCs/>
        </w:rPr>
        <w:t>2</w:t>
      </w:r>
      <w:r w:rsidRPr="00095114">
        <w:t>,</w:t>
      </w:r>
      <w:r w:rsidR="3C744189" w:rsidRPr="00095114">
        <w:t xml:space="preserve"> the share of renewable and nuclear energy (</w:t>
      </w:r>
      <w:r w:rsidR="00C17F56">
        <w:t>in</w:t>
      </w:r>
      <w:r w:rsidR="00C17F56" w:rsidRPr="00095114">
        <w:t xml:space="preserve">cluding </w:t>
      </w:r>
      <w:r w:rsidR="3C744189" w:rsidRPr="00095114">
        <w:t xml:space="preserve">solar and wind) in </w:t>
      </w:r>
      <w:r w:rsidR="3C744189" w:rsidRPr="00095114" w:rsidDel="00C17F56">
        <w:t xml:space="preserve">the </w:t>
      </w:r>
      <w:r w:rsidR="3C744189" w:rsidRPr="00095114">
        <w:t xml:space="preserve">electricity </w:t>
      </w:r>
      <w:r w:rsidR="003C5B72">
        <w:t>system</w:t>
      </w:r>
      <w:r w:rsidR="3C744189" w:rsidRPr="00095114">
        <w:t xml:space="preserve"> shall be </w:t>
      </w:r>
      <w:r w:rsidR="00095114" w:rsidRPr="00095114">
        <w:t>determined ex</w:t>
      </w:r>
      <w:r w:rsidR="006D3BEE">
        <w:t> </w:t>
      </w:r>
      <w:r w:rsidR="00095114" w:rsidRPr="00095114">
        <w:t>post for period </w:t>
      </w:r>
      <w:r w:rsidR="00095114" w:rsidRPr="00776E57">
        <w:rPr>
          <w:i/>
          <w:iCs/>
        </w:rPr>
        <w:t>t</w:t>
      </w:r>
      <w:r w:rsidR="00095114" w:rsidRPr="00095114">
        <w:t xml:space="preserve"> for which the emission factor is </w:t>
      </w:r>
      <w:r w:rsidR="2098D35A">
        <w:t>determined</w:t>
      </w:r>
      <w:r w:rsidR="3CE8EBBA">
        <w:t>.</w:t>
      </w:r>
    </w:p>
    <w:p w14:paraId="6B4BDD82" w14:textId="0F7AD178" w:rsidR="0099122F" w:rsidRDefault="0099122F">
      <w:pPr>
        <w:pStyle w:val="SDMPara"/>
      </w:pPr>
      <w:r>
        <w:t xml:space="preserve">Under </w:t>
      </w:r>
      <w:r w:rsidR="008662B2">
        <w:rPr>
          <w:b/>
          <w:bCs/>
        </w:rPr>
        <w:t>o</w:t>
      </w:r>
      <w:r w:rsidR="008662B2" w:rsidRPr="00AE2277">
        <w:rPr>
          <w:b/>
          <w:bCs/>
        </w:rPr>
        <w:t>ption</w:t>
      </w:r>
      <w:r w:rsidR="00B23B70">
        <w:rPr>
          <w:b/>
          <w:bCs/>
        </w:rPr>
        <w:t> </w:t>
      </w:r>
      <w:r w:rsidRPr="00AE2277">
        <w:rPr>
          <w:b/>
          <w:bCs/>
        </w:rPr>
        <w:t>B</w:t>
      </w:r>
      <w:r>
        <w:t xml:space="preserve">, uncertainty </w:t>
      </w:r>
      <w:r w:rsidR="00C17F56">
        <w:t xml:space="preserve">associated with </w:t>
      </w:r>
      <w:r>
        <w:t xml:space="preserve">the emission factor </w:t>
      </w:r>
      <w:r w:rsidR="00D72FD1">
        <w:t xml:space="preserve">is already addressed through the use of these conservative values and </w:t>
      </w:r>
      <w:r>
        <w:t xml:space="preserve">does not need to be </w:t>
      </w:r>
      <w:r w:rsidR="00D72FD1">
        <w:t>considered in calculating the combined uncertain</w:t>
      </w:r>
      <w:r w:rsidR="00136502">
        <w:t>ty</w:t>
      </w:r>
      <w:r w:rsidR="00D72FD1">
        <w:t xml:space="preserve"> in </w:t>
      </w:r>
      <w:r w:rsidR="00D72FD1" w:rsidRPr="00C80537">
        <w:t>section</w:t>
      </w:r>
      <w:r w:rsidR="00A71D2B">
        <w:t xml:space="preserve"> </w:t>
      </w:r>
      <w:r w:rsidR="00C80537">
        <w:fldChar w:fldCharType="begin"/>
      </w:r>
      <w:r w:rsidR="00C80537">
        <w:instrText xml:space="preserve"> REF _Ref215608692 \n \h </w:instrText>
      </w:r>
      <w:r w:rsidR="00C80537">
        <w:fldChar w:fldCharType="separate"/>
      </w:r>
      <w:r w:rsidR="00D811A8">
        <w:rPr>
          <w:cs/>
        </w:rPr>
        <w:t>‎</w:t>
      </w:r>
      <w:r w:rsidR="00D811A8">
        <w:t>5.7.2</w:t>
      </w:r>
      <w:r w:rsidR="00C80537">
        <w:fldChar w:fldCharType="end"/>
      </w:r>
      <w:r w:rsidRPr="00C80537">
        <w:t>.</w:t>
      </w:r>
    </w:p>
    <w:p w14:paraId="587DB84A" w14:textId="184528C8" w:rsidR="00FF70B5" w:rsidRDefault="00614109">
      <w:pPr>
        <w:pStyle w:val="SDMHead2"/>
      </w:pPr>
      <w:bookmarkStart w:id="543" w:name="_Toc215208606"/>
      <w:bookmarkStart w:id="544" w:name="_Toc215216125"/>
      <w:bookmarkStart w:id="545" w:name="_Toc215222861"/>
      <w:bookmarkStart w:id="546" w:name="_Toc215223049"/>
      <w:bookmarkStart w:id="547" w:name="_Toc215223271"/>
      <w:bookmarkStart w:id="548" w:name="_Toc215574892"/>
      <w:bookmarkStart w:id="549" w:name="_Ref215680292"/>
      <w:bookmarkStart w:id="550" w:name="_Ref215682023"/>
      <w:bookmarkStart w:id="551" w:name="_Toc215923332"/>
      <w:bookmarkStart w:id="552" w:name="_Toc216093028"/>
      <w:bookmarkStart w:id="553" w:name="_Toc216271757"/>
      <w:bookmarkStart w:id="554" w:name="_Toc216279374"/>
      <w:bookmarkStart w:id="555" w:name="_Toc216283412"/>
      <w:bookmarkStart w:id="556" w:name="_Toc216288030"/>
      <w:bookmarkStart w:id="557" w:name="_Toc219666137"/>
      <w:bookmarkStart w:id="558" w:name="_Toc220001397"/>
      <w:bookmarkStart w:id="559" w:name="_Toc221096421"/>
      <w:bookmarkStart w:id="560" w:name="_Toc221097973"/>
      <w:bookmarkStart w:id="561" w:name="_Toc221116269"/>
      <w:bookmarkStart w:id="562" w:name="_Toc221117285"/>
      <w:bookmarkStart w:id="563" w:name="_Toc222132123"/>
      <w:bookmarkStart w:id="564" w:name="_Toc222494924"/>
      <w:bookmarkStart w:id="565" w:name="_Toc222512440"/>
      <w:bookmarkStart w:id="566" w:name="_Toc222741760"/>
      <w:bookmarkStart w:id="567" w:name="_Toc212389910"/>
      <w:r>
        <w:t>Step</w:t>
      </w:r>
      <w:r w:rsidR="00B23B70">
        <w:t> </w:t>
      </w:r>
      <w:r>
        <w:t xml:space="preserve">8: </w:t>
      </w:r>
      <w:r w:rsidR="008E0FBB" w:rsidRPr="008E0FBB">
        <w:t>Determine the emission factor for electricity sourced from captive fossil fuel power plant</w:t>
      </w:r>
      <w:r w:rsidR="00290B9A">
        <w:t>(</w:t>
      </w:r>
      <w:r w:rsidR="008E0FBB" w:rsidRPr="008E0FBB">
        <w:t>s</w:t>
      </w:r>
      <w:r w:rsidR="00290B9A">
        <w:t>)</w:t>
      </w:r>
      <w:r w:rsidR="008E0FBB" w:rsidRPr="008E0FBB">
        <w:t xml:space="preserve">, </w:t>
      </w:r>
      <w:bookmarkEnd w:id="543"/>
      <w:bookmarkEnd w:id="544"/>
      <w:bookmarkEnd w:id="545"/>
      <w:bookmarkEnd w:id="546"/>
      <w:bookmarkEnd w:id="547"/>
      <w:bookmarkEnd w:id="548"/>
      <w:r w:rsidR="00FA001B" w:rsidRPr="00CD7E50">
        <w:t>where applicable</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6A13D6A8" w14:textId="12FA5248" w:rsidR="00FA001B" w:rsidRPr="00CD7E50" w:rsidRDefault="00FA001B">
      <w:pPr>
        <w:pStyle w:val="SDMPara"/>
      </w:pPr>
      <w:r w:rsidRPr="00CD7E50">
        <w:t xml:space="preserve">This step is applicable if </w:t>
      </w:r>
      <w:r w:rsidR="008535B2" w:rsidRPr="008535B2">
        <w:rPr>
          <w:b/>
          <w:bCs/>
        </w:rPr>
        <w:t>step </w:t>
      </w:r>
      <w:r w:rsidRPr="008535B2">
        <w:rPr>
          <w:b/>
          <w:bCs/>
        </w:rPr>
        <w:t>6</w:t>
      </w:r>
      <w:r w:rsidRPr="00CD7E50" w:rsidDel="004D503A">
        <w:t xml:space="preserve"> </w:t>
      </w:r>
      <w:r w:rsidR="004D503A" w:rsidRPr="00CD7E50">
        <w:t>confirm</w:t>
      </w:r>
      <w:r w:rsidR="004D503A">
        <w:t>s</w:t>
      </w:r>
      <w:r w:rsidR="004D503A" w:rsidRPr="00CD7E50">
        <w:t xml:space="preserve"> </w:t>
      </w:r>
      <w:r w:rsidRPr="00CD7E50">
        <w:t xml:space="preserve">that the emission factor for electricity </w:t>
      </w:r>
      <w:r w:rsidR="00B26A9C" w:rsidRPr="00CD7E50">
        <w:t xml:space="preserve">sourced from captive fossil fuel </w:t>
      </w:r>
      <w:r w:rsidR="000E56F6" w:rsidRPr="00CD7E50">
        <w:t>power plant</w:t>
      </w:r>
      <w:r w:rsidR="00290B9A">
        <w:t>(</w:t>
      </w:r>
      <w:r w:rsidR="000E56F6" w:rsidRPr="00CD7E50">
        <w:t>s</w:t>
      </w:r>
      <w:r w:rsidR="00290B9A">
        <w:t>)</w:t>
      </w:r>
      <w:r w:rsidRPr="00CD7E50">
        <w:t xml:space="preserve"> shall be used.</w:t>
      </w:r>
    </w:p>
    <w:p w14:paraId="161EDAD4" w14:textId="74CE5F08" w:rsidR="0062276A" w:rsidRDefault="0062276A" w:rsidP="00C72647">
      <w:pPr>
        <w:pStyle w:val="SDMPara"/>
        <w:keepNext/>
      </w:pPr>
      <w:r>
        <w:t xml:space="preserve">Activity participants shall determine the emission factor </w:t>
      </w:r>
      <w:r w:rsidRPr="0062276A">
        <w:t>for electricity sourced from captive fossil fuel power plant</w:t>
      </w:r>
      <w:r w:rsidR="004D46D8">
        <w:t>(</w:t>
      </w:r>
      <w:r w:rsidRPr="0062276A">
        <w:t>s</w:t>
      </w:r>
      <w:r w:rsidR="004D46D8">
        <w:t>)</w:t>
      </w:r>
      <w:r>
        <w:t xml:space="preserve"> by choosing one of the following two options and </w:t>
      </w:r>
      <w:r w:rsidR="004D503A">
        <w:t xml:space="preserve">shall </w:t>
      </w:r>
      <w:r>
        <w:t>document their choice in the PDD:</w:t>
      </w:r>
    </w:p>
    <w:p w14:paraId="38BDAACB" w14:textId="469C6831" w:rsidR="0062276A" w:rsidRDefault="0062276A">
      <w:pPr>
        <w:pStyle w:val="SDMSubPara1"/>
      </w:pPr>
      <w:r w:rsidRPr="009C6BE4">
        <w:rPr>
          <w:b/>
          <w:bCs/>
        </w:rPr>
        <w:t>Option</w:t>
      </w:r>
      <w:r w:rsidR="00B23B70">
        <w:rPr>
          <w:b/>
          <w:bCs/>
        </w:rPr>
        <w:t> </w:t>
      </w:r>
      <w:r w:rsidRPr="009C6BE4">
        <w:rPr>
          <w:b/>
          <w:bCs/>
        </w:rPr>
        <w:t>A</w:t>
      </w:r>
      <w:r>
        <w:t xml:space="preserve">: </w:t>
      </w:r>
      <w:r w:rsidR="009C6BE4">
        <w:t xml:space="preserve">calculate </w:t>
      </w:r>
      <w:r w:rsidRPr="0062276A">
        <w:t xml:space="preserve">the actual emission factor of the fossil fuel </w:t>
      </w:r>
      <w:r w:rsidR="00890623">
        <w:t xml:space="preserve">fired captive </w:t>
      </w:r>
      <w:r w:rsidRPr="0062276A">
        <w:t>power plant</w:t>
      </w:r>
      <w:r w:rsidR="004D46D8">
        <w:t>(</w:t>
      </w:r>
      <w:r w:rsidRPr="0062276A">
        <w:t>s</w:t>
      </w:r>
      <w:r w:rsidR="004D46D8">
        <w:t>)</w:t>
      </w:r>
      <w:r>
        <w:t>, as set out in section</w:t>
      </w:r>
      <w:r w:rsidR="00776E57">
        <w:t xml:space="preserve"> </w:t>
      </w:r>
      <w:r w:rsidR="004A3EB1">
        <w:fldChar w:fldCharType="begin"/>
      </w:r>
      <w:r w:rsidR="004A3EB1">
        <w:instrText xml:space="preserve"> REF  _Ref216179116 \h \n </w:instrText>
      </w:r>
      <w:r w:rsidR="004A3EB1">
        <w:fldChar w:fldCharType="separate"/>
      </w:r>
      <w:r w:rsidR="00D811A8">
        <w:rPr>
          <w:cs/>
        </w:rPr>
        <w:t>‎</w:t>
      </w:r>
      <w:r w:rsidR="00D811A8">
        <w:t>5.8.1</w:t>
      </w:r>
      <w:r w:rsidR="004A3EB1">
        <w:fldChar w:fldCharType="end"/>
      </w:r>
      <w:r>
        <w:t>; or</w:t>
      </w:r>
    </w:p>
    <w:p w14:paraId="5F4DF4ED" w14:textId="7439C485" w:rsidR="00D9066E" w:rsidRDefault="00D9066E">
      <w:pPr>
        <w:pStyle w:val="SDMSubPara1"/>
      </w:pPr>
      <w:r w:rsidRPr="009C6BE4">
        <w:rPr>
          <w:b/>
          <w:bCs/>
        </w:rPr>
        <w:t>Option</w:t>
      </w:r>
      <w:r w:rsidR="00B23B70">
        <w:rPr>
          <w:b/>
          <w:bCs/>
        </w:rPr>
        <w:t> </w:t>
      </w:r>
      <w:r w:rsidRPr="009C6BE4">
        <w:rPr>
          <w:b/>
          <w:bCs/>
        </w:rPr>
        <w:t>B</w:t>
      </w:r>
      <w:r>
        <w:t xml:space="preserve">: </w:t>
      </w:r>
      <w:r w:rsidR="009C6BE4">
        <w:t xml:space="preserve">use </w:t>
      </w:r>
      <w:r>
        <w:t>a conservative default emission factor, as set out in section</w:t>
      </w:r>
      <w:r w:rsidR="00ED01C9">
        <w:t xml:space="preserve"> </w:t>
      </w:r>
      <w:r w:rsidR="004A3EB1">
        <w:fldChar w:fldCharType="begin"/>
      </w:r>
      <w:r w:rsidR="004A3EB1">
        <w:instrText xml:space="preserve"> REF  _Ref216179138 \h \n </w:instrText>
      </w:r>
      <w:r w:rsidR="004A3EB1">
        <w:fldChar w:fldCharType="separate"/>
      </w:r>
      <w:r w:rsidR="00D811A8">
        <w:rPr>
          <w:cs/>
        </w:rPr>
        <w:t>‎</w:t>
      </w:r>
      <w:r w:rsidR="00D811A8">
        <w:t>5.8.2</w:t>
      </w:r>
      <w:r w:rsidR="004A3EB1">
        <w:fldChar w:fldCharType="end"/>
      </w:r>
      <w:r>
        <w:t>.</w:t>
      </w:r>
    </w:p>
    <w:p w14:paraId="4CBA175E" w14:textId="7BD69310" w:rsidR="00FF70B5" w:rsidRDefault="00DD1140">
      <w:pPr>
        <w:pStyle w:val="SDMHead3"/>
      </w:pPr>
      <w:bookmarkStart w:id="568" w:name="_Toc215923333"/>
      <w:bookmarkStart w:id="569" w:name="_Toc216093029"/>
      <w:bookmarkStart w:id="570" w:name="_Ref216179116"/>
      <w:bookmarkStart w:id="571" w:name="_Toc216271758"/>
      <w:bookmarkStart w:id="572" w:name="_Toc216279375"/>
      <w:bookmarkStart w:id="573" w:name="_Toc216283413"/>
      <w:bookmarkStart w:id="574" w:name="_Toc216288031"/>
      <w:bookmarkStart w:id="575" w:name="_Toc219666138"/>
      <w:bookmarkStart w:id="576" w:name="_Toc220001398"/>
      <w:bookmarkStart w:id="577" w:name="_Toc221096422"/>
      <w:bookmarkStart w:id="578" w:name="_Toc221097974"/>
      <w:bookmarkStart w:id="579" w:name="_Toc221116270"/>
      <w:bookmarkStart w:id="580" w:name="_Toc221117286"/>
      <w:bookmarkStart w:id="581" w:name="_Toc222132124"/>
      <w:bookmarkStart w:id="582" w:name="_Toc222494925"/>
      <w:bookmarkStart w:id="583" w:name="_Toc222512441"/>
      <w:bookmarkStart w:id="584" w:name="_Toc222741761"/>
      <w:bookmarkEnd w:id="567"/>
      <w:r>
        <w:t>Option</w:t>
      </w:r>
      <w:r w:rsidR="00B23B70">
        <w:t> </w:t>
      </w:r>
      <w:r w:rsidR="009076AA">
        <w:t>A</w:t>
      </w:r>
      <w:r>
        <w:t xml:space="preserve">: </w:t>
      </w:r>
      <w:r w:rsidR="0062276A">
        <w:t>Calculate</w:t>
      </w:r>
      <w:r w:rsidR="007B7F1C">
        <w:t xml:space="preserve"> the actual emission factor of the </w:t>
      </w:r>
      <w:r w:rsidR="00890623">
        <w:t xml:space="preserve">fossil fuel fired </w:t>
      </w:r>
      <w:r w:rsidR="007B7F1C">
        <w:t xml:space="preserve">captive power </w:t>
      </w:r>
      <w:bookmarkEnd w:id="568"/>
      <w:bookmarkEnd w:id="569"/>
      <w:bookmarkEnd w:id="570"/>
      <w:bookmarkEnd w:id="571"/>
      <w:bookmarkEnd w:id="572"/>
      <w:bookmarkEnd w:id="573"/>
      <w:bookmarkEnd w:id="574"/>
      <w:r w:rsidR="007B7F1C">
        <w:t>plant</w:t>
      </w:r>
      <w:r w:rsidR="00290B9A">
        <w:t>(</w:t>
      </w:r>
      <w:r w:rsidR="007B7F1C">
        <w:t>s</w:t>
      </w:r>
      <w:bookmarkEnd w:id="575"/>
      <w:r w:rsidR="00290B9A">
        <w:t>)</w:t>
      </w:r>
      <w:bookmarkEnd w:id="576"/>
      <w:bookmarkEnd w:id="577"/>
      <w:bookmarkEnd w:id="578"/>
      <w:bookmarkEnd w:id="579"/>
      <w:bookmarkEnd w:id="580"/>
      <w:bookmarkEnd w:id="581"/>
      <w:bookmarkEnd w:id="582"/>
      <w:bookmarkEnd w:id="583"/>
      <w:bookmarkEnd w:id="584"/>
    </w:p>
    <w:p w14:paraId="1A1F40E0" w14:textId="0AAA7123" w:rsidR="00073D6D" w:rsidRDefault="00073D6D" w:rsidP="00C72647">
      <w:pPr>
        <w:pStyle w:val="SDMPara"/>
        <w:keepNext/>
      </w:pPr>
      <w:r>
        <w:t xml:space="preserve">The emission factor for electricity generation </w:t>
      </w:r>
      <w:r w:rsidR="00394CC1">
        <w:t xml:space="preserve">shall be </w:t>
      </w:r>
      <w:r>
        <w:t xml:space="preserve">determined based on the CO2 emissions from fuel combustion and the electricity generation </w:t>
      </w:r>
      <w:r w:rsidR="00394CC1">
        <w:t xml:space="preserve">of </w:t>
      </w:r>
      <w:r>
        <w:t xml:space="preserve">the </w:t>
      </w:r>
      <w:r w:rsidR="58778428">
        <w:t xml:space="preserve">fossil-fuel fired </w:t>
      </w:r>
      <w:r>
        <w:t xml:space="preserve">captive power plant(s) </w:t>
      </w:r>
      <w:r w:rsidR="076E49D6">
        <w:t xml:space="preserve">identified in </w:t>
      </w:r>
      <w:r w:rsidR="00394CC1" w:rsidRPr="00394CC1">
        <w:rPr>
          <w:b/>
          <w:bCs/>
        </w:rPr>
        <w:t>step</w:t>
      </w:r>
      <w:r w:rsidR="00B23B70">
        <w:rPr>
          <w:b/>
          <w:bCs/>
        </w:rPr>
        <w:t> </w:t>
      </w:r>
      <w:r w:rsidR="076E49D6" w:rsidRPr="00394CC1">
        <w:rPr>
          <w:b/>
          <w:bCs/>
        </w:rPr>
        <w:t>2</w:t>
      </w:r>
      <w:r w:rsidR="16496CBF">
        <w:t>.</w:t>
      </w:r>
      <w:r>
        <w:t xml:space="preserve"> In </w:t>
      </w:r>
      <w:r w:rsidR="2F3632BC">
        <w:t>the</w:t>
      </w:r>
      <w:r>
        <w:t xml:space="preserve"> case of plants that co-generate heat and power (cogeneration plants), activity participants may:</w:t>
      </w:r>
    </w:p>
    <w:p w14:paraId="3C088F0B" w14:textId="296A40D8" w:rsidR="000F4F7B" w:rsidRDefault="1D03ADF1">
      <w:pPr>
        <w:pStyle w:val="SDMSubPara1"/>
      </w:pPr>
      <w:r>
        <w:t>Ignore, as a conservative assumption, the heat generation</w:t>
      </w:r>
      <w:r w:rsidR="15A8FEAC">
        <w:t xml:space="preserve"> for activities under </w:t>
      </w:r>
      <w:r w:rsidR="00394CC1" w:rsidRPr="00394CC1">
        <w:rPr>
          <w:b/>
          <w:bCs/>
        </w:rPr>
        <w:t>case </w:t>
      </w:r>
      <w:r w:rsidR="15A8FEAC" w:rsidRPr="00394CC1">
        <w:rPr>
          <w:b/>
          <w:bCs/>
        </w:rPr>
        <w:t>1</w:t>
      </w:r>
      <w:r w:rsidR="00B141B0">
        <w:t>;</w:t>
      </w:r>
      <w:r w:rsidR="0065321A">
        <w:t xml:space="preserve"> or</w:t>
      </w:r>
    </w:p>
    <w:p w14:paraId="2F645F48" w14:textId="5D2C31E3" w:rsidR="000F4F7B" w:rsidRDefault="000F4F7B">
      <w:pPr>
        <w:pStyle w:val="SDMSubPara1"/>
      </w:pPr>
      <w:r>
        <w:t xml:space="preserve">Allocate the emissions of the </w:t>
      </w:r>
      <w:r w:rsidR="004D770D">
        <w:t>fossil</w:t>
      </w:r>
      <w:r w:rsidR="001E2084">
        <w:t xml:space="preserve"> </w:t>
      </w:r>
      <w:r w:rsidR="004D770D">
        <w:t xml:space="preserve">fuel fired </w:t>
      </w:r>
      <w:r>
        <w:t>captive power plant to heat and power by assuming that</w:t>
      </w:r>
      <w:r w:rsidR="004B66F6">
        <w:t>,</w:t>
      </w:r>
      <w:r>
        <w:t xml:space="preserve"> </w:t>
      </w:r>
      <w:r w:rsidR="004B66F6">
        <w:t xml:space="preserve">in the absence of </w:t>
      </w:r>
      <w:r>
        <w:t>cogeneration</w:t>
      </w:r>
      <w:r w:rsidR="004B66F6">
        <w:t>,</w:t>
      </w:r>
      <w:r>
        <w:t xml:space="preserve"> the heat would be generated in a boiler</w:t>
      </w:r>
      <w:r w:rsidDel="004B66F6">
        <w:t xml:space="preserve"> </w:t>
      </w:r>
      <w:r>
        <w:t>using the same type</w:t>
      </w:r>
      <w:r w:rsidR="00E82D37">
        <w:t>(s)</w:t>
      </w:r>
      <w:r>
        <w:t xml:space="preserve"> of fossil fuel </w:t>
      </w:r>
      <w:r w:rsidR="00E82D37">
        <w:t>as those</w:t>
      </w:r>
      <w:r>
        <w:t xml:space="preserve"> used in the captive power plant</w:t>
      </w:r>
      <w:r w:rsidR="00A315CD">
        <w:t>(s)</w:t>
      </w:r>
      <w:r>
        <w:t xml:space="preserve">. </w:t>
      </w:r>
      <w:r w:rsidR="00E82D37">
        <w:t xml:space="preserve">This </w:t>
      </w:r>
      <w:r>
        <w:t xml:space="preserve">option requires determining the </w:t>
      </w:r>
      <w:r w:rsidR="00074670">
        <w:t xml:space="preserve">quantity of </w:t>
      </w:r>
      <w:r>
        <w:t xml:space="preserve">heat </w:t>
      </w:r>
      <w:r w:rsidR="00074670">
        <w:t xml:space="preserve">generated </w:t>
      </w:r>
      <w:r w:rsidR="0042173E">
        <w:t xml:space="preserve">by </w:t>
      </w:r>
      <w:r>
        <w:t>the captive power plant(s).</w:t>
      </w:r>
    </w:p>
    <w:p w14:paraId="38A80F2B" w14:textId="6C274A44" w:rsidR="000F4F7B" w:rsidRDefault="0037461C" w:rsidP="00C72647">
      <w:pPr>
        <w:pStyle w:val="SDMPara"/>
        <w:keepNext/>
      </w:pPr>
      <w:r>
        <w:t>W</w:t>
      </w:r>
      <w:r w:rsidR="000F4F7B">
        <w:t xml:space="preserve">here none of the </w:t>
      </w:r>
      <w:r w:rsidR="583696BB">
        <w:t>fossil-fuel fired</w:t>
      </w:r>
      <w:r w:rsidR="000F4F7B">
        <w:t xml:space="preserve"> captive power plants is a cogeneration plant</w:t>
      </w:r>
      <w:r w:rsidR="00520BC9">
        <w:t>,</w:t>
      </w:r>
      <w:r w:rsidR="000F4F7B">
        <w:t xml:space="preserve"> or where heat generation is ignored </w:t>
      </w:r>
      <w:r w:rsidR="00520BC9">
        <w:t>in accordance with the</w:t>
      </w:r>
      <w:r w:rsidR="000F4F7B">
        <w:t xml:space="preserve"> conditions outlined </w:t>
      </w:r>
      <w:r w:rsidR="00520BC9">
        <w:t>in paragraph</w:t>
      </w:r>
      <w:r w:rsidR="00371E1E">
        <w:t> </w:t>
      </w:r>
      <w:r w:rsidR="00520BC9">
        <w:t>108</w:t>
      </w:r>
      <w:r w:rsidR="000F4F7B">
        <w:t xml:space="preserve">, the emission factor of the captive power plant(s) </w:t>
      </w:r>
      <w:r w:rsidR="003B4A09">
        <w:t>shall be</w:t>
      </w:r>
      <w:r w:rsidR="000F4F7B">
        <w:t xml:space="preserve"> calculated as follows:</w:t>
      </w:r>
    </w:p>
    <w:tbl>
      <w:tblPr>
        <w:tblStyle w:val="SDMMethTableEquation"/>
        <w:tblW w:w="8760" w:type="dxa"/>
        <w:tblLook w:val="0600" w:firstRow="0" w:lastRow="0" w:firstColumn="0" w:lastColumn="0" w:noHBand="1" w:noVBand="1"/>
      </w:tblPr>
      <w:tblGrid>
        <w:gridCol w:w="7103"/>
        <w:gridCol w:w="1657"/>
      </w:tblGrid>
      <w:tr w:rsidR="008E0D2F" w:rsidRPr="00E32F75" w14:paraId="4F4E961A" w14:textId="77777777">
        <w:tc>
          <w:tcPr>
            <w:tcW w:w="7224" w:type="dxa"/>
          </w:tcPr>
          <w:p w14:paraId="225ABF70" w14:textId="20F00E16" w:rsidR="008E0D2F" w:rsidRPr="00B23B70" w:rsidRDefault="00000000" w:rsidP="00F423CA">
            <w:pPr>
              <w:pStyle w:val="SDMMethEquation"/>
            </w:pPr>
            <m:oMathPara>
              <m:oMathParaPr>
                <m:jc m:val="left"/>
              </m:oMathParaPr>
              <m:oMath>
                <m:sSub>
                  <m:sSubPr>
                    <m:ctrlPr>
                      <w:rPr>
                        <w:rFonts w:ascii="Cambria Math" w:hAnsi="Cambria Math"/>
                        <w:i/>
                      </w:rPr>
                    </m:ctrlPr>
                  </m:sSubPr>
                  <m:e>
                    <m:r>
                      <w:rPr>
                        <w:rFonts w:ascii="Cambria Math" w:hAnsi="Cambria Math"/>
                      </w:rPr>
                      <m:t>EF</m:t>
                    </m:r>
                  </m:e>
                  <m:sub>
                    <m:r>
                      <w:rPr>
                        <w:rFonts w:ascii="Cambria Math" w:hAnsi="Cambria Math"/>
                      </w:rPr>
                      <m:t>BE/PE/LE,p,t</m:t>
                    </m:r>
                  </m:sub>
                </m:sSub>
                <m:r>
                  <w:rPr>
                    <w:rFonts w:ascii="Cambria Math" w:hAnsi="Cambria Math"/>
                  </w:rPr>
                  <m:t>=</m:t>
                </m:r>
                <m:f>
                  <m:fPr>
                    <m:ctrlPr>
                      <w:rPr>
                        <w:rFonts w:ascii="Cambria Math" w:hAnsi="Cambria Math"/>
                        <w:i/>
                      </w:rPr>
                    </m:ctrlPr>
                  </m:fPr>
                  <m:num>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FC</m:t>
                            </m:r>
                          </m:e>
                          <m:sub>
                            <m:r>
                              <w:rPr>
                                <w:rFonts w:ascii="Cambria Math" w:hAnsi="Cambria Math"/>
                              </w:rPr>
                              <m:t>i,p,t</m:t>
                            </m:r>
                          </m:sub>
                        </m:sSub>
                        <m:r>
                          <w:rPr>
                            <w:rFonts w:ascii="Cambria Math" w:hAnsi="Cambria Math"/>
                          </w:rPr>
                          <m:t>×</m:t>
                        </m:r>
                        <m:sSub>
                          <m:sSubPr>
                            <m:ctrlPr>
                              <w:rPr>
                                <w:rFonts w:ascii="Cambria Math" w:hAnsi="Cambria Math"/>
                                <w:i/>
                              </w:rPr>
                            </m:ctrlPr>
                          </m:sSubPr>
                          <m:e>
                            <m:r>
                              <w:rPr>
                                <w:rFonts w:ascii="Cambria Math" w:hAnsi="Cambria Math"/>
                              </w:rPr>
                              <m:t>NCV</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CO2,i,t</m:t>
                            </m:r>
                          </m:sub>
                        </m:sSub>
                      </m:e>
                    </m:nary>
                  </m:num>
                  <m:den>
                    <m:sSub>
                      <m:sSubPr>
                        <m:ctrlPr>
                          <w:rPr>
                            <w:rFonts w:ascii="Cambria Math" w:hAnsi="Cambria Math"/>
                            <w:i/>
                          </w:rPr>
                        </m:ctrlPr>
                      </m:sSubPr>
                      <m:e>
                        <m:r>
                          <w:rPr>
                            <w:rFonts w:ascii="Cambria Math" w:hAnsi="Cambria Math"/>
                          </w:rPr>
                          <m:t>EG</m:t>
                        </m:r>
                      </m:e>
                      <m:sub>
                        <m:r>
                          <w:rPr>
                            <w:rFonts w:ascii="Cambria Math" w:hAnsi="Cambria Math"/>
                          </w:rPr>
                          <m:t>p,t</m:t>
                        </m:r>
                      </m:sub>
                    </m:sSub>
                  </m:den>
                </m:f>
              </m:oMath>
            </m:oMathPara>
          </w:p>
        </w:tc>
        <w:tc>
          <w:tcPr>
            <w:tcW w:w="1701" w:type="dxa"/>
          </w:tcPr>
          <w:p w14:paraId="0E6EE4DC" w14:textId="77777777" w:rsidR="008E0D2F" w:rsidRPr="002B6960" w:rsidRDefault="008E0D2F">
            <w:pPr>
              <w:pStyle w:val="SDMMethEquationNr"/>
              <w:numPr>
                <w:ilvl w:val="0"/>
                <w:numId w:val="6"/>
              </w:numPr>
            </w:pPr>
          </w:p>
        </w:tc>
      </w:tr>
    </w:tbl>
    <w:p w14:paraId="14E1368B" w14:textId="77777777" w:rsidR="008E0D2F" w:rsidRDefault="008E0D2F" w:rsidP="00C72647">
      <w:pPr>
        <w:pStyle w:val="SDMMethCaptionEquationParametersTable"/>
      </w:pPr>
      <w:r>
        <w:t>Where:</w:t>
      </w:r>
    </w:p>
    <w:tbl>
      <w:tblPr>
        <w:tblStyle w:val="SDMMethTableEquationParameters"/>
        <w:tblW w:w="8841" w:type="dxa"/>
        <w:tblLook w:val="04A0" w:firstRow="1" w:lastRow="0" w:firstColumn="1" w:lastColumn="0" w:noHBand="0" w:noVBand="1"/>
      </w:tblPr>
      <w:tblGrid>
        <w:gridCol w:w="1701"/>
        <w:gridCol w:w="345"/>
        <w:gridCol w:w="6795"/>
      </w:tblGrid>
      <w:tr w:rsidR="008E0D2F" w:rsidRPr="007967A9" w14:paraId="1CF3FF17" w14:textId="77777777" w:rsidTr="007967A9">
        <w:trPr>
          <w:trHeight w:val="300"/>
        </w:trPr>
        <w:tc>
          <w:tcPr>
            <w:tcW w:w="1701" w:type="dxa"/>
            <w:vAlign w:val="top"/>
          </w:tcPr>
          <w:p w14:paraId="1EF636D5" w14:textId="77777777" w:rsidR="008E0D2F" w:rsidRPr="007967A9" w:rsidRDefault="00000000" w:rsidP="007967A9">
            <w:pPr>
              <w:pStyle w:val="SDMTableBoxParaNotNumbered"/>
              <w:rPr>
                <w:rFonts w:cs="Arial"/>
              </w:rPr>
            </w:pPr>
            <m:oMathPara>
              <m:oMathParaPr>
                <m:jc m:val="left"/>
              </m:oMathParaPr>
              <m:oMath>
                <m:sSub>
                  <m:sSubPr>
                    <m:ctrlPr>
                      <w:rPr>
                        <w:rFonts w:ascii="Cambria Math" w:hAnsi="Cambria Math" w:cs="Arial"/>
                        <w:i/>
                        <w:szCs w:val="22"/>
                      </w:rPr>
                    </m:ctrlPr>
                  </m:sSubPr>
                  <m:e>
                    <m:r>
                      <w:rPr>
                        <w:rFonts w:ascii="Cambria Math" w:hAnsi="Cambria Math" w:cs="Arial"/>
                        <w:szCs w:val="22"/>
                      </w:rPr>
                      <m:t>EF</m:t>
                    </m:r>
                  </m:e>
                  <m:sub>
                    <m:r>
                      <w:rPr>
                        <w:rFonts w:ascii="Cambria Math" w:hAnsi="Cambria Math" w:cs="Arial"/>
                      </w:rPr>
                      <m:t>BE</m:t>
                    </m:r>
                    <m:r>
                      <w:rPr>
                        <w:rFonts w:ascii="Cambria Math" w:hAnsi="Cambria Math" w:cs="Arial"/>
                        <w:szCs w:val="22"/>
                      </w:rPr>
                      <m:t>/</m:t>
                    </m:r>
                    <m:r>
                      <w:rPr>
                        <w:rFonts w:ascii="Cambria Math" w:hAnsi="Cambria Math" w:cs="Arial"/>
                      </w:rPr>
                      <m:t>PE</m:t>
                    </m:r>
                    <m:r>
                      <w:rPr>
                        <w:rFonts w:ascii="Cambria Math" w:hAnsi="Cambria Math" w:cs="Arial"/>
                        <w:szCs w:val="22"/>
                      </w:rPr>
                      <m:t>/</m:t>
                    </m:r>
                    <m:r>
                      <w:rPr>
                        <w:rFonts w:ascii="Cambria Math" w:hAnsi="Cambria Math" w:cs="Arial"/>
                      </w:rPr>
                      <m:t>LE</m:t>
                    </m:r>
                    <m:r>
                      <w:rPr>
                        <w:rFonts w:ascii="Cambria Math" w:hAnsi="Cambria Math" w:cs="Arial"/>
                        <w:szCs w:val="22"/>
                      </w:rPr>
                      <m:t>,p,t</m:t>
                    </m:r>
                  </m:sub>
                </m:sSub>
              </m:oMath>
            </m:oMathPara>
          </w:p>
        </w:tc>
        <w:tc>
          <w:tcPr>
            <w:tcW w:w="345" w:type="dxa"/>
            <w:vAlign w:val="top"/>
          </w:tcPr>
          <w:p w14:paraId="66A25607" w14:textId="77777777" w:rsidR="008E0D2F" w:rsidRPr="007967A9" w:rsidRDefault="008E0D2F" w:rsidP="007967A9">
            <w:pPr>
              <w:pStyle w:val="SDMTableBoxParaNotNumbered"/>
              <w:rPr>
                <w:rFonts w:cs="Arial"/>
              </w:rPr>
            </w:pPr>
            <w:r w:rsidRPr="007967A9">
              <w:rPr>
                <w:rFonts w:cs="Arial"/>
              </w:rPr>
              <w:t>=</w:t>
            </w:r>
          </w:p>
        </w:tc>
        <w:tc>
          <w:tcPr>
            <w:tcW w:w="6795" w:type="dxa"/>
            <w:vAlign w:val="top"/>
          </w:tcPr>
          <w:p w14:paraId="7CCB43C6" w14:textId="39321D69" w:rsidR="008E0D2F" w:rsidRPr="007967A9" w:rsidRDefault="00280A0E" w:rsidP="007967A9">
            <w:pPr>
              <w:pStyle w:val="SDMTableBoxParaNotNumbered"/>
              <w:rPr>
                <w:rFonts w:cs="Arial"/>
              </w:rPr>
            </w:pPr>
            <w:r w:rsidRPr="007967A9">
              <w:rPr>
                <w:rFonts w:cs="Arial"/>
              </w:rPr>
              <w:t>Emission factor of captive power plant</w:t>
            </w:r>
            <w:r w:rsidR="00995ECB" w:rsidRPr="007967A9">
              <w:rPr>
                <w:rFonts w:cs="Arial"/>
              </w:rPr>
              <w:t> </w:t>
            </w:r>
            <w:r w:rsidRPr="007967A9">
              <w:rPr>
                <w:rFonts w:cs="Arial"/>
                <w:i/>
                <w:iCs/>
              </w:rPr>
              <w:t>p</w:t>
            </w:r>
            <w:r w:rsidRPr="007967A9">
              <w:rPr>
                <w:rFonts w:cs="Arial"/>
              </w:rPr>
              <w:t xml:space="preserve"> in the period</w:t>
            </w:r>
            <w:r w:rsidR="00995ECB" w:rsidRPr="007967A9">
              <w:rPr>
                <w:rFonts w:cs="Arial"/>
              </w:rPr>
              <w:t> </w:t>
            </w:r>
            <w:r w:rsidRPr="007967A9">
              <w:rPr>
                <w:rFonts w:cs="Arial"/>
                <w:i/>
                <w:iCs/>
              </w:rPr>
              <w:t>t</w:t>
            </w:r>
            <w:r w:rsidR="00F423BA" w:rsidRPr="007967A9">
              <w:rPr>
                <w:rFonts w:cs="Arial"/>
                <w:i/>
                <w:iCs/>
              </w:rPr>
              <w:t xml:space="preserve"> </w:t>
            </w:r>
            <w:r w:rsidR="00F423BA" w:rsidRPr="007967A9">
              <w:rPr>
                <w:rFonts w:cs="Arial"/>
              </w:rPr>
              <w:t>(t</w:t>
            </w:r>
            <w:r w:rsidR="00995ECB" w:rsidRPr="007967A9">
              <w:rPr>
                <w:rFonts w:cs="Arial"/>
              </w:rPr>
              <w:t> </w:t>
            </w:r>
            <w:r w:rsidR="00F423BA" w:rsidRPr="007967A9">
              <w:rPr>
                <w:rFonts w:cs="Arial"/>
              </w:rPr>
              <w:t>CO</w:t>
            </w:r>
            <w:r w:rsidR="00F423BA" w:rsidRPr="007967A9">
              <w:rPr>
                <w:rFonts w:cs="Arial"/>
                <w:vertAlign w:val="subscript"/>
              </w:rPr>
              <w:t>2</w:t>
            </w:r>
            <w:r w:rsidR="007D502A" w:rsidRPr="007967A9">
              <w:rPr>
                <w:rFonts w:cs="Arial"/>
              </w:rPr>
              <w:t>e</w:t>
            </w:r>
            <w:r w:rsidR="00F423BA" w:rsidRPr="007967A9">
              <w:rPr>
                <w:rFonts w:cs="Arial"/>
              </w:rPr>
              <w:t>/MWh)</w:t>
            </w:r>
          </w:p>
        </w:tc>
      </w:tr>
      <w:tr w:rsidR="009F3ECE" w:rsidRPr="007967A9" w14:paraId="336C6DCF" w14:textId="77777777" w:rsidTr="007967A9">
        <w:trPr>
          <w:trHeight w:val="300"/>
        </w:trPr>
        <w:tc>
          <w:tcPr>
            <w:tcW w:w="1701" w:type="dxa"/>
            <w:vAlign w:val="top"/>
          </w:tcPr>
          <w:p w14:paraId="578DC815" w14:textId="53C9A7C1" w:rsidR="009F3ECE" w:rsidRPr="007967A9" w:rsidRDefault="00000000" w:rsidP="007967A9">
            <w:pPr>
              <w:pStyle w:val="SDMTableBoxParaNotNumbered"/>
              <w:rPr>
                <w:rFonts w:cs="Arial"/>
              </w:rPr>
            </w:pPr>
            <m:oMathPara>
              <m:oMathParaPr>
                <m:jc m:val="left"/>
              </m:oMathParaPr>
              <m:oMath>
                <m:sSub>
                  <m:sSubPr>
                    <m:ctrlPr>
                      <w:rPr>
                        <w:rFonts w:ascii="Cambria Math" w:hAnsi="Cambria Math" w:cs="Arial"/>
                        <w:i/>
                        <w:szCs w:val="22"/>
                      </w:rPr>
                    </m:ctrlPr>
                  </m:sSubPr>
                  <m:e>
                    <m:r>
                      <w:rPr>
                        <w:rFonts w:ascii="Cambria Math" w:hAnsi="Cambria Math" w:cs="Arial"/>
                        <w:szCs w:val="22"/>
                      </w:rPr>
                      <m:t>FC</m:t>
                    </m:r>
                  </m:e>
                  <m:sub>
                    <m:r>
                      <w:rPr>
                        <w:rFonts w:ascii="Cambria Math" w:hAnsi="Cambria Math" w:cs="Arial"/>
                        <w:szCs w:val="22"/>
                      </w:rPr>
                      <m:t>i,p,t</m:t>
                    </m:r>
                  </m:sub>
                </m:sSub>
              </m:oMath>
            </m:oMathPara>
          </w:p>
        </w:tc>
        <w:tc>
          <w:tcPr>
            <w:tcW w:w="345" w:type="dxa"/>
            <w:vAlign w:val="top"/>
          </w:tcPr>
          <w:p w14:paraId="7541A657" w14:textId="77777777" w:rsidR="009F3ECE" w:rsidRPr="007967A9" w:rsidRDefault="009F3ECE" w:rsidP="007967A9">
            <w:pPr>
              <w:pStyle w:val="SDMTableBoxParaNotNumbered"/>
              <w:rPr>
                <w:rFonts w:cs="Arial"/>
              </w:rPr>
            </w:pPr>
            <w:r w:rsidRPr="007967A9">
              <w:rPr>
                <w:rFonts w:cs="Arial"/>
              </w:rPr>
              <w:t>=</w:t>
            </w:r>
          </w:p>
        </w:tc>
        <w:tc>
          <w:tcPr>
            <w:tcW w:w="6795" w:type="dxa"/>
            <w:vAlign w:val="top"/>
          </w:tcPr>
          <w:p w14:paraId="72975A34" w14:textId="6A50CF96" w:rsidR="009F3ECE" w:rsidRPr="007967A9" w:rsidRDefault="009F3ECE" w:rsidP="007967A9">
            <w:pPr>
              <w:pStyle w:val="SDMTableBoxParaNotNumbered"/>
              <w:rPr>
                <w:rFonts w:cs="Arial"/>
              </w:rPr>
            </w:pPr>
            <w:r w:rsidRPr="007967A9">
              <w:rPr>
                <w:rFonts w:cs="Arial"/>
              </w:rPr>
              <w:t>Quantity of fossil fuel type</w:t>
            </w:r>
            <w:r w:rsidRPr="007967A9">
              <w:rPr>
                <w:rFonts w:cs="Arial"/>
                <w:i/>
              </w:rPr>
              <w:t xml:space="preserve"> i </w:t>
            </w:r>
            <w:r w:rsidRPr="007967A9">
              <w:rPr>
                <w:rFonts w:cs="Arial"/>
              </w:rPr>
              <w:t>fired in captive power plant</w:t>
            </w:r>
            <w:r w:rsidRPr="007967A9">
              <w:rPr>
                <w:rFonts w:cs="Arial"/>
                <w:i/>
              </w:rPr>
              <w:t> </w:t>
            </w:r>
            <w:r w:rsidR="00F05B1B" w:rsidRPr="007967A9">
              <w:rPr>
                <w:rFonts w:cs="Arial"/>
                <w:i/>
                <w:iCs/>
              </w:rPr>
              <w:t>p</w:t>
            </w:r>
            <w:r w:rsidRPr="007967A9">
              <w:rPr>
                <w:rFonts w:cs="Arial"/>
                <w:i/>
              </w:rPr>
              <w:t xml:space="preserve"> </w:t>
            </w:r>
            <w:r w:rsidRPr="007967A9">
              <w:rPr>
                <w:rFonts w:cs="Arial"/>
              </w:rPr>
              <w:t>in period</w:t>
            </w:r>
            <w:r w:rsidRPr="007967A9">
              <w:rPr>
                <w:rFonts w:cs="Arial"/>
                <w:i/>
              </w:rPr>
              <w:t xml:space="preserve"> t </w:t>
            </w:r>
            <w:r w:rsidRPr="007967A9">
              <w:rPr>
                <w:rFonts w:cs="Arial"/>
              </w:rPr>
              <w:t>(mass or volume unit)</w:t>
            </w:r>
          </w:p>
        </w:tc>
      </w:tr>
      <w:tr w:rsidR="009F3ECE" w:rsidRPr="007967A9" w14:paraId="6C5BC838" w14:textId="77777777" w:rsidTr="007967A9">
        <w:trPr>
          <w:trHeight w:val="300"/>
        </w:trPr>
        <w:tc>
          <w:tcPr>
            <w:tcW w:w="1701" w:type="dxa"/>
            <w:vAlign w:val="top"/>
          </w:tcPr>
          <w:p w14:paraId="61BD6DD9" w14:textId="77777777" w:rsidR="009F3ECE" w:rsidRPr="007967A9" w:rsidRDefault="00000000" w:rsidP="007967A9">
            <w:pPr>
              <w:pStyle w:val="SDMTableBoxParaNotNumbered"/>
              <w:rPr>
                <w:rFonts w:cs="Arial"/>
              </w:rPr>
            </w:pPr>
            <m:oMathPara>
              <m:oMathParaPr>
                <m:jc m:val="left"/>
              </m:oMathParaPr>
              <m:oMath>
                <m:sSub>
                  <m:sSubPr>
                    <m:ctrlPr>
                      <w:rPr>
                        <w:rFonts w:ascii="Cambria Math" w:hAnsi="Cambria Math" w:cs="Arial"/>
                        <w:i/>
                        <w:szCs w:val="22"/>
                      </w:rPr>
                    </m:ctrlPr>
                  </m:sSubPr>
                  <m:e>
                    <m:r>
                      <w:rPr>
                        <w:rFonts w:ascii="Cambria Math" w:hAnsi="Cambria Math" w:cs="Arial"/>
                        <w:szCs w:val="22"/>
                      </w:rPr>
                      <m:t>NCV</m:t>
                    </m:r>
                  </m:e>
                  <m:sub>
                    <m:r>
                      <w:rPr>
                        <w:rFonts w:ascii="Cambria Math" w:hAnsi="Cambria Math" w:cs="Arial"/>
                        <w:szCs w:val="22"/>
                      </w:rPr>
                      <m:t>i,t</m:t>
                    </m:r>
                  </m:sub>
                </m:sSub>
              </m:oMath>
            </m:oMathPara>
          </w:p>
        </w:tc>
        <w:tc>
          <w:tcPr>
            <w:tcW w:w="345" w:type="dxa"/>
            <w:vAlign w:val="top"/>
          </w:tcPr>
          <w:p w14:paraId="3B2BFAE5" w14:textId="77777777" w:rsidR="009F3ECE" w:rsidRPr="007967A9" w:rsidRDefault="009F3ECE" w:rsidP="007967A9">
            <w:pPr>
              <w:pStyle w:val="SDMTableBoxParaNotNumbered"/>
              <w:rPr>
                <w:rFonts w:cs="Arial"/>
              </w:rPr>
            </w:pPr>
            <w:r w:rsidRPr="007967A9">
              <w:rPr>
                <w:rFonts w:cs="Arial"/>
              </w:rPr>
              <w:t>=</w:t>
            </w:r>
          </w:p>
        </w:tc>
        <w:tc>
          <w:tcPr>
            <w:tcW w:w="6795" w:type="dxa"/>
            <w:vAlign w:val="top"/>
          </w:tcPr>
          <w:p w14:paraId="2144ED99" w14:textId="658EFD8F" w:rsidR="009F3ECE" w:rsidRPr="007967A9" w:rsidRDefault="009F3ECE" w:rsidP="007967A9">
            <w:pPr>
              <w:pStyle w:val="SDMTableBoxParaNotNumbered"/>
              <w:rPr>
                <w:rFonts w:cs="Arial"/>
              </w:rPr>
            </w:pPr>
            <w:r w:rsidRPr="007967A9">
              <w:rPr>
                <w:rFonts w:cs="Arial"/>
              </w:rPr>
              <w:t>Average net calorific value of fossil fuel type</w:t>
            </w:r>
            <w:r w:rsidRPr="007967A9">
              <w:rPr>
                <w:rFonts w:cs="Arial"/>
                <w:i/>
              </w:rPr>
              <w:t xml:space="preserve"> i </w:t>
            </w:r>
            <w:r w:rsidRPr="007967A9">
              <w:rPr>
                <w:rFonts w:cs="Arial"/>
              </w:rPr>
              <w:t>used in period </w:t>
            </w:r>
            <w:r w:rsidRPr="007967A9">
              <w:rPr>
                <w:rFonts w:cs="Arial"/>
                <w:i/>
              </w:rPr>
              <w:t xml:space="preserve">t </w:t>
            </w:r>
            <w:r w:rsidRPr="007967A9">
              <w:rPr>
                <w:rFonts w:cs="Arial"/>
              </w:rPr>
              <w:t>(GJ/mass or volume unit)</w:t>
            </w:r>
          </w:p>
        </w:tc>
      </w:tr>
      <w:tr w:rsidR="009F3ECE" w:rsidRPr="007967A9" w14:paraId="0378A894" w14:textId="77777777" w:rsidTr="007967A9">
        <w:trPr>
          <w:trHeight w:val="300"/>
        </w:trPr>
        <w:tc>
          <w:tcPr>
            <w:tcW w:w="1701" w:type="dxa"/>
            <w:vAlign w:val="top"/>
          </w:tcPr>
          <w:p w14:paraId="181CEAAE" w14:textId="77777777" w:rsidR="009F3ECE" w:rsidRPr="007967A9" w:rsidRDefault="00000000" w:rsidP="007967A9">
            <w:pPr>
              <w:pStyle w:val="SDMTableBoxParaNotNumbered"/>
              <w:rPr>
                <w:rFonts w:cs="Arial"/>
              </w:rPr>
            </w:pPr>
            <m:oMathPara>
              <m:oMathParaPr>
                <m:jc m:val="left"/>
              </m:oMathParaPr>
              <m:oMath>
                <m:sSub>
                  <m:sSubPr>
                    <m:ctrlPr>
                      <w:rPr>
                        <w:rFonts w:ascii="Cambria Math" w:hAnsi="Cambria Math" w:cs="Arial"/>
                        <w:i/>
                        <w:szCs w:val="22"/>
                      </w:rPr>
                    </m:ctrlPr>
                  </m:sSubPr>
                  <m:e>
                    <m:r>
                      <w:rPr>
                        <w:rFonts w:ascii="Cambria Math" w:hAnsi="Cambria Math" w:cs="Arial"/>
                        <w:szCs w:val="22"/>
                      </w:rPr>
                      <m:t>EF</m:t>
                    </m:r>
                  </m:e>
                  <m:sub>
                    <m:r>
                      <w:rPr>
                        <w:rFonts w:ascii="Cambria Math" w:hAnsi="Cambria Math" w:cs="Arial"/>
                        <w:szCs w:val="22"/>
                      </w:rPr>
                      <m:t>CO2,i,t</m:t>
                    </m:r>
                  </m:sub>
                </m:sSub>
              </m:oMath>
            </m:oMathPara>
          </w:p>
        </w:tc>
        <w:tc>
          <w:tcPr>
            <w:tcW w:w="345" w:type="dxa"/>
            <w:vAlign w:val="top"/>
          </w:tcPr>
          <w:p w14:paraId="2863E310" w14:textId="77777777" w:rsidR="009F3ECE" w:rsidRPr="007967A9" w:rsidRDefault="009F3ECE" w:rsidP="007967A9">
            <w:pPr>
              <w:pStyle w:val="SDMTableBoxParaNotNumbered"/>
              <w:rPr>
                <w:rFonts w:cs="Arial"/>
              </w:rPr>
            </w:pPr>
            <w:r w:rsidRPr="007967A9">
              <w:rPr>
                <w:rFonts w:cs="Arial"/>
              </w:rPr>
              <w:t>=</w:t>
            </w:r>
          </w:p>
        </w:tc>
        <w:tc>
          <w:tcPr>
            <w:tcW w:w="6795" w:type="dxa"/>
            <w:vAlign w:val="top"/>
          </w:tcPr>
          <w:p w14:paraId="1B0AAC17" w14:textId="0DB4AA16" w:rsidR="009F3ECE" w:rsidRPr="007967A9" w:rsidRDefault="009F3ECE" w:rsidP="007967A9">
            <w:pPr>
              <w:pStyle w:val="SDMTableBoxParaNotNumbered"/>
              <w:rPr>
                <w:rFonts w:cs="Arial"/>
              </w:rPr>
            </w:pPr>
            <w:r w:rsidRPr="007967A9">
              <w:rPr>
                <w:rFonts w:cs="Arial"/>
              </w:rPr>
              <w:t>Average CO</w:t>
            </w:r>
            <w:r w:rsidRPr="007967A9">
              <w:rPr>
                <w:rFonts w:cs="Arial"/>
                <w:vertAlign w:val="subscript"/>
              </w:rPr>
              <w:t>2</w:t>
            </w:r>
            <w:r w:rsidRPr="007967A9">
              <w:rPr>
                <w:rFonts w:cs="Arial"/>
              </w:rPr>
              <w:t xml:space="preserve"> emission factor of fossil fuel type</w:t>
            </w:r>
            <w:r w:rsidRPr="007967A9">
              <w:rPr>
                <w:rFonts w:cs="Arial"/>
                <w:i/>
              </w:rPr>
              <w:t xml:space="preserve"> i </w:t>
            </w:r>
            <w:r w:rsidRPr="007967A9">
              <w:rPr>
                <w:rFonts w:cs="Arial"/>
              </w:rPr>
              <w:t>used in period</w:t>
            </w:r>
            <w:r w:rsidRPr="007967A9">
              <w:rPr>
                <w:rFonts w:cs="Arial"/>
                <w:i/>
              </w:rPr>
              <w:t xml:space="preserve"> t </w:t>
            </w:r>
            <w:r w:rsidRPr="007967A9">
              <w:rPr>
                <w:rFonts w:cs="Arial"/>
              </w:rPr>
              <w:t>(t CO</w:t>
            </w:r>
            <w:r w:rsidRPr="007967A9">
              <w:rPr>
                <w:rFonts w:cs="Arial"/>
                <w:vertAlign w:val="subscript"/>
              </w:rPr>
              <w:t>2</w:t>
            </w:r>
            <w:r w:rsidRPr="007967A9">
              <w:rPr>
                <w:rFonts w:cs="Arial"/>
              </w:rPr>
              <w:t>e/GJ)</w:t>
            </w:r>
          </w:p>
        </w:tc>
      </w:tr>
      <w:tr w:rsidR="009F3ECE" w:rsidRPr="007967A9" w14:paraId="7098D7CD" w14:textId="77777777" w:rsidTr="007967A9">
        <w:trPr>
          <w:trHeight w:val="300"/>
        </w:trPr>
        <w:tc>
          <w:tcPr>
            <w:tcW w:w="1701" w:type="dxa"/>
            <w:vAlign w:val="top"/>
          </w:tcPr>
          <w:p w14:paraId="46E7EE69" w14:textId="77777777" w:rsidR="009F3ECE" w:rsidRPr="007967A9" w:rsidRDefault="00000000" w:rsidP="007967A9">
            <w:pPr>
              <w:pStyle w:val="SDMTableBoxParaNotNumbered"/>
              <w:rPr>
                <w:rFonts w:cs="Arial"/>
                <w:szCs w:val="22"/>
              </w:rPr>
            </w:pPr>
            <m:oMathPara>
              <m:oMathParaPr>
                <m:jc m:val="left"/>
              </m:oMathParaPr>
              <m:oMath>
                <m:sSub>
                  <m:sSubPr>
                    <m:ctrlPr>
                      <w:rPr>
                        <w:rFonts w:ascii="Cambria Math" w:hAnsi="Cambria Math" w:cs="Arial"/>
                        <w:i/>
                        <w:szCs w:val="22"/>
                      </w:rPr>
                    </m:ctrlPr>
                  </m:sSubPr>
                  <m:e>
                    <m:r>
                      <w:rPr>
                        <w:rFonts w:ascii="Cambria Math" w:hAnsi="Cambria Math" w:cs="Arial"/>
                        <w:szCs w:val="22"/>
                      </w:rPr>
                      <m:t>EG</m:t>
                    </m:r>
                  </m:e>
                  <m:sub>
                    <m:r>
                      <w:rPr>
                        <w:rFonts w:ascii="Cambria Math" w:hAnsi="Cambria Math" w:cs="Arial"/>
                        <w:szCs w:val="22"/>
                      </w:rPr>
                      <m:t>p,t</m:t>
                    </m:r>
                  </m:sub>
                </m:sSub>
              </m:oMath>
            </m:oMathPara>
          </w:p>
        </w:tc>
        <w:tc>
          <w:tcPr>
            <w:tcW w:w="345" w:type="dxa"/>
            <w:vAlign w:val="top"/>
          </w:tcPr>
          <w:p w14:paraId="4AB21845" w14:textId="77777777" w:rsidR="009F3ECE" w:rsidRPr="007967A9" w:rsidRDefault="009F3ECE" w:rsidP="007967A9">
            <w:pPr>
              <w:pStyle w:val="SDMTableBoxParaNotNumbered"/>
              <w:rPr>
                <w:rFonts w:cs="Arial"/>
              </w:rPr>
            </w:pPr>
            <w:r w:rsidRPr="007967A9">
              <w:rPr>
                <w:rFonts w:cs="Arial"/>
              </w:rPr>
              <w:t>=</w:t>
            </w:r>
          </w:p>
        </w:tc>
        <w:tc>
          <w:tcPr>
            <w:tcW w:w="6795" w:type="dxa"/>
            <w:vAlign w:val="top"/>
          </w:tcPr>
          <w:p w14:paraId="2D59FF03" w14:textId="0E1672A8" w:rsidR="009F3ECE" w:rsidRPr="007967A9" w:rsidRDefault="009F3ECE" w:rsidP="007967A9">
            <w:pPr>
              <w:pStyle w:val="SDMTableBoxParaNotNumbered"/>
              <w:rPr>
                <w:rFonts w:cs="Arial"/>
              </w:rPr>
            </w:pPr>
            <w:r w:rsidRPr="007967A9">
              <w:rPr>
                <w:rFonts w:cs="Arial"/>
              </w:rPr>
              <w:t>Quantity of electricity generated in</w:t>
            </w:r>
            <w:r w:rsidR="00924518" w:rsidRPr="007967A9">
              <w:rPr>
                <w:rFonts w:cs="Arial"/>
              </w:rPr>
              <w:t xml:space="preserve"> </w:t>
            </w:r>
            <w:r w:rsidRPr="007967A9">
              <w:rPr>
                <w:rFonts w:cs="Arial"/>
              </w:rPr>
              <w:t>captive power plant</w:t>
            </w:r>
            <w:r w:rsidRPr="007967A9">
              <w:rPr>
                <w:rFonts w:cs="Arial"/>
                <w:i/>
              </w:rPr>
              <w:t> </w:t>
            </w:r>
            <w:r w:rsidR="00F05B1B" w:rsidRPr="007967A9">
              <w:rPr>
                <w:rFonts w:cs="Arial"/>
                <w:i/>
                <w:iCs/>
              </w:rPr>
              <w:t>p</w:t>
            </w:r>
            <w:r w:rsidRPr="007967A9">
              <w:rPr>
                <w:rFonts w:cs="Arial"/>
                <w:i/>
              </w:rPr>
              <w:t xml:space="preserve"> </w:t>
            </w:r>
            <w:r w:rsidRPr="007967A9">
              <w:rPr>
                <w:rFonts w:cs="Arial"/>
              </w:rPr>
              <w:t>in period</w:t>
            </w:r>
            <w:r w:rsidRPr="007967A9">
              <w:rPr>
                <w:rFonts w:cs="Arial"/>
                <w:i/>
              </w:rPr>
              <w:t xml:space="preserve"> t </w:t>
            </w:r>
            <w:r w:rsidRPr="007967A9">
              <w:rPr>
                <w:rFonts w:cs="Arial"/>
              </w:rPr>
              <w:t>(MWh)</w:t>
            </w:r>
          </w:p>
        </w:tc>
      </w:tr>
      <w:tr w:rsidR="008B41E4" w:rsidRPr="007967A9" w14:paraId="042A0D31" w14:textId="77777777" w:rsidTr="007967A9">
        <w:trPr>
          <w:trHeight w:val="300"/>
        </w:trPr>
        <w:tc>
          <w:tcPr>
            <w:tcW w:w="1701" w:type="dxa"/>
            <w:vAlign w:val="top"/>
          </w:tcPr>
          <w:p w14:paraId="329BB8C7" w14:textId="77777777" w:rsidR="008B41E4" w:rsidRPr="007967A9" w:rsidRDefault="00000DE0" w:rsidP="007967A9">
            <w:pPr>
              <w:pStyle w:val="SDMTableBoxParaNotNumbered"/>
              <w:rPr>
                <w:rFonts w:cs="Arial"/>
                <w:szCs w:val="22"/>
              </w:rPr>
            </w:pPr>
            <m:oMathPara>
              <m:oMathParaPr>
                <m:jc m:val="left"/>
              </m:oMathParaPr>
              <m:oMath>
                <m:r>
                  <w:rPr>
                    <w:rFonts w:ascii="Cambria Math" w:hAnsi="Cambria Math" w:cs="Arial"/>
                    <w:szCs w:val="22"/>
                  </w:rPr>
                  <m:t>p</m:t>
                </m:r>
              </m:oMath>
            </m:oMathPara>
          </w:p>
        </w:tc>
        <w:tc>
          <w:tcPr>
            <w:tcW w:w="345" w:type="dxa"/>
            <w:vAlign w:val="top"/>
          </w:tcPr>
          <w:p w14:paraId="1B0C73F3" w14:textId="77777777" w:rsidR="008B41E4" w:rsidRPr="007967A9" w:rsidRDefault="008B41E4" w:rsidP="007967A9">
            <w:pPr>
              <w:pStyle w:val="SDMTableBoxParaNotNumbered"/>
              <w:rPr>
                <w:rFonts w:cs="Arial"/>
              </w:rPr>
            </w:pPr>
            <w:r w:rsidRPr="007967A9">
              <w:rPr>
                <w:rFonts w:cs="Arial"/>
              </w:rPr>
              <w:t>=</w:t>
            </w:r>
          </w:p>
        </w:tc>
        <w:tc>
          <w:tcPr>
            <w:tcW w:w="6795" w:type="dxa"/>
            <w:vAlign w:val="top"/>
          </w:tcPr>
          <w:p w14:paraId="47C8F9F5" w14:textId="71A09674" w:rsidR="008B41E4" w:rsidRPr="007967A9" w:rsidRDefault="0399E683" w:rsidP="007967A9">
            <w:pPr>
              <w:pStyle w:val="SDMTableBoxParaNotNumbered"/>
              <w:rPr>
                <w:rFonts w:cs="Arial"/>
              </w:rPr>
            </w:pPr>
            <w:r w:rsidRPr="007967A9">
              <w:rPr>
                <w:rFonts w:cs="Arial"/>
              </w:rPr>
              <w:t xml:space="preserve">Fossil fuel fired captive power plants </w:t>
            </w:r>
            <w:r w:rsidR="58DB4D39" w:rsidRPr="007967A9">
              <w:rPr>
                <w:rFonts w:cs="Arial"/>
              </w:rPr>
              <w:t xml:space="preserve">identified in </w:t>
            </w:r>
            <w:r w:rsidR="00520D93" w:rsidRPr="007967A9">
              <w:rPr>
                <w:rFonts w:cs="Arial"/>
              </w:rPr>
              <w:t>step </w:t>
            </w:r>
            <w:r w:rsidR="0CD1A9D8" w:rsidRPr="007967A9">
              <w:rPr>
                <w:rFonts w:cs="Arial"/>
              </w:rPr>
              <w:t>2</w:t>
            </w:r>
          </w:p>
        </w:tc>
      </w:tr>
      <w:tr w:rsidR="008B41E4" w:rsidRPr="007967A9" w14:paraId="5F8F6E5A" w14:textId="77777777" w:rsidTr="007967A9">
        <w:trPr>
          <w:trHeight w:val="300"/>
        </w:trPr>
        <w:tc>
          <w:tcPr>
            <w:tcW w:w="1701" w:type="dxa"/>
            <w:vAlign w:val="top"/>
          </w:tcPr>
          <w:p w14:paraId="5C48B477" w14:textId="77777777" w:rsidR="008B41E4" w:rsidRPr="007967A9" w:rsidRDefault="008B41E4" w:rsidP="007967A9">
            <w:pPr>
              <w:pStyle w:val="SDMTableBoxParaNotNumbered"/>
              <w:rPr>
                <w:rFonts w:cs="Arial"/>
                <w:szCs w:val="22"/>
              </w:rPr>
            </w:pPr>
            <m:oMathPara>
              <m:oMathParaPr>
                <m:jc m:val="left"/>
              </m:oMathParaPr>
              <m:oMath>
                <m:r>
                  <w:rPr>
                    <w:rFonts w:ascii="Cambria Math" w:hAnsi="Cambria Math" w:cs="Arial"/>
                    <w:szCs w:val="22"/>
                  </w:rPr>
                  <m:t>t</m:t>
                </m:r>
              </m:oMath>
            </m:oMathPara>
          </w:p>
        </w:tc>
        <w:tc>
          <w:tcPr>
            <w:tcW w:w="345" w:type="dxa"/>
            <w:vAlign w:val="top"/>
          </w:tcPr>
          <w:p w14:paraId="6C4024C0" w14:textId="77777777" w:rsidR="008B41E4" w:rsidRPr="007967A9" w:rsidRDefault="008B41E4" w:rsidP="007967A9">
            <w:pPr>
              <w:pStyle w:val="SDMTableBoxParaNotNumbered"/>
              <w:rPr>
                <w:rFonts w:cs="Arial"/>
              </w:rPr>
            </w:pPr>
            <w:r w:rsidRPr="007967A9">
              <w:rPr>
                <w:rFonts w:cs="Arial"/>
              </w:rPr>
              <w:t>=</w:t>
            </w:r>
          </w:p>
        </w:tc>
        <w:tc>
          <w:tcPr>
            <w:tcW w:w="6795" w:type="dxa"/>
            <w:vAlign w:val="top"/>
          </w:tcPr>
          <w:p w14:paraId="73CECCB0" w14:textId="7C299DAE" w:rsidR="008B41E4" w:rsidRPr="007967A9" w:rsidRDefault="57115A23" w:rsidP="007967A9">
            <w:pPr>
              <w:pStyle w:val="SDMTableBoxParaNotNumbered"/>
              <w:rPr>
                <w:rFonts w:cs="Arial"/>
              </w:rPr>
            </w:pPr>
            <w:r w:rsidRPr="007967A9">
              <w:rPr>
                <w:rFonts w:cs="Arial"/>
              </w:rPr>
              <w:t>P</w:t>
            </w:r>
            <w:r w:rsidR="33198DCE" w:rsidRPr="007967A9">
              <w:rPr>
                <w:rFonts w:cs="Arial"/>
              </w:rPr>
              <w:t>eriod</w:t>
            </w:r>
            <w:r w:rsidR="008B41E4" w:rsidRPr="007967A9">
              <w:rPr>
                <w:rFonts w:cs="Arial"/>
              </w:rPr>
              <w:t xml:space="preserve"> for which the emission factor for electricity generation is determined (see </w:t>
            </w:r>
            <w:r w:rsidR="004E25D8" w:rsidRPr="007967A9">
              <w:rPr>
                <w:rFonts w:cs="Arial"/>
              </w:rPr>
              <w:t>paragraph</w:t>
            </w:r>
            <w:r w:rsidR="006F7A0B" w:rsidRPr="007967A9">
              <w:rPr>
                <w:rFonts w:cs="Arial"/>
              </w:rPr>
              <w:t> </w:t>
            </w:r>
            <w:r w:rsidR="00962CCB" w:rsidRPr="007967A9">
              <w:rPr>
                <w:rFonts w:cs="Arial"/>
              </w:rPr>
              <w:fldChar w:fldCharType="begin"/>
            </w:r>
            <w:r w:rsidR="00962CCB" w:rsidRPr="007967A9">
              <w:rPr>
                <w:rFonts w:cs="Arial"/>
              </w:rPr>
              <w:instrText xml:space="preserve"> REF _Ref219693154 \w \h </w:instrText>
            </w:r>
            <w:r w:rsidR="007967A9">
              <w:rPr>
                <w:rFonts w:cs="Arial"/>
              </w:rPr>
              <w:instrText xml:space="preserve"> \* MERGEFORMAT </w:instrText>
            </w:r>
            <w:r w:rsidR="00962CCB" w:rsidRPr="007967A9">
              <w:rPr>
                <w:rFonts w:cs="Arial"/>
              </w:rPr>
            </w:r>
            <w:r w:rsidR="00962CCB" w:rsidRPr="007967A9">
              <w:rPr>
                <w:rFonts w:cs="Arial"/>
              </w:rPr>
              <w:fldChar w:fldCharType="separate"/>
            </w:r>
            <w:r w:rsidR="00D811A8">
              <w:rPr>
                <w:rFonts w:cs="Arial"/>
                <w:cs/>
              </w:rPr>
              <w:t>‎</w:t>
            </w:r>
            <w:r w:rsidR="00D811A8">
              <w:rPr>
                <w:rFonts w:cs="Arial"/>
              </w:rPr>
              <w:t>116</w:t>
            </w:r>
            <w:r w:rsidR="00962CCB" w:rsidRPr="007967A9">
              <w:rPr>
                <w:rFonts w:cs="Arial"/>
              </w:rPr>
              <w:fldChar w:fldCharType="end"/>
            </w:r>
            <w:r w:rsidR="008B41E4" w:rsidRPr="007967A9">
              <w:rPr>
                <w:rFonts w:cs="Arial"/>
              </w:rPr>
              <w:t>)</w:t>
            </w:r>
          </w:p>
        </w:tc>
      </w:tr>
    </w:tbl>
    <w:p w14:paraId="1C895AA0" w14:textId="53D0B135" w:rsidR="00E1782A" w:rsidRPr="00E1782A" w:rsidRDefault="00E1782A" w:rsidP="00C72647">
      <w:pPr>
        <w:pStyle w:val="SDMPara"/>
        <w:keepNext/>
      </w:pPr>
      <w:r w:rsidRPr="00E1782A">
        <w:t>In other cases, the CO</w:t>
      </w:r>
      <w:r w:rsidRPr="00E1782A">
        <w:rPr>
          <w:vertAlign w:val="subscript"/>
        </w:rPr>
        <w:t>2</w:t>
      </w:r>
      <w:r w:rsidRPr="00E1782A">
        <w:t xml:space="preserve"> emission factor for electricity generation </w:t>
      </w:r>
      <w:r w:rsidR="002539CE">
        <w:t>shall be</w:t>
      </w:r>
      <w:r w:rsidR="002539CE" w:rsidRPr="00E1782A">
        <w:t xml:space="preserve"> </w:t>
      </w:r>
      <w:r w:rsidRPr="00E1782A">
        <w:t>calculated by allocating fuel consumption between electricity and heat generation, as follows:</w:t>
      </w:r>
    </w:p>
    <w:tbl>
      <w:tblPr>
        <w:tblStyle w:val="SDMMethTableEquation"/>
        <w:tblW w:w="8760" w:type="dxa"/>
        <w:tblLook w:val="0600" w:firstRow="0" w:lastRow="0" w:firstColumn="0" w:lastColumn="0" w:noHBand="1" w:noVBand="1"/>
      </w:tblPr>
      <w:tblGrid>
        <w:gridCol w:w="7115"/>
        <w:gridCol w:w="1645"/>
      </w:tblGrid>
      <w:tr w:rsidR="00E1782A" w:rsidRPr="00E32F75" w14:paraId="159CA866" w14:textId="77777777">
        <w:tc>
          <w:tcPr>
            <w:tcW w:w="7224" w:type="dxa"/>
          </w:tcPr>
          <w:p w14:paraId="5C665D20" w14:textId="7B2D7E46" w:rsidR="00E1782A" w:rsidRPr="0045644E" w:rsidRDefault="00000000" w:rsidP="00F423CA">
            <w:pPr>
              <w:pStyle w:val="SDMMethEquation"/>
            </w:pPr>
            <m:oMathPara>
              <m:oMathParaPr>
                <m:jc m:val="left"/>
              </m:oMathParaPr>
              <m:oMath>
                <m:sSub>
                  <m:sSubPr>
                    <m:ctrlPr>
                      <w:rPr>
                        <w:rFonts w:ascii="Cambria Math" w:hAnsi="Cambria Math"/>
                        <w:i/>
                      </w:rPr>
                    </m:ctrlPr>
                  </m:sSubPr>
                  <m:e>
                    <m:r>
                      <w:rPr>
                        <w:rFonts w:ascii="Cambria Math" w:hAnsi="Cambria Math"/>
                      </w:rPr>
                      <m:t>EF</m:t>
                    </m:r>
                  </m:e>
                  <m:sub>
                    <m:r>
                      <w:rPr>
                        <w:rFonts w:ascii="Cambria Math" w:hAnsi="Cambria Math"/>
                      </w:rPr>
                      <m:t>BE/PE/LE,p,t</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nary>
                          <m:naryPr>
                            <m:chr m:val="∑"/>
                            <m:limLoc m:val="undOvr"/>
                            <m:supHide m:val="1"/>
                            <m:ctrlPr>
                              <w:rPr>
                                <w:rFonts w:ascii="Cambria Math" w:hAnsi="Cambria Math"/>
                                <w:i/>
                              </w:rPr>
                            </m:ctrlPr>
                          </m:naryPr>
                          <m:sub>
                            <m:r>
                              <w:rPr>
                                <w:rFonts w:ascii="Cambria Math" w:hAnsi="Cambria Math"/>
                              </w:rPr>
                              <m:t>i</m:t>
                            </m:r>
                          </m:sub>
                          <m:sup/>
                          <m:e>
                            <m:d>
                              <m:dPr>
                                <m:ctrlPr>
                                  <w:rPr>
                                    <w:rFonts w:ascii="Cambria Math" w:hAnsi="Cambria Math"/>
                                    <w:i/>
                                  </w:rPr>
                                </m:ctrlPr>
                              </m:dPr>
                              <m:e>
                                <m:sSub>
                                  <m:sSubPr>
                                    <m:ctrlPr>
                                      <w:rPr>
                                        <w:rFonts w:ascii="Cambria Math" w:hAnsi="Cambria Math"/>
                                        <w:i/>
                                      </w:rPr>
                                    </m:ctrlPr>
                                  </m:sSubPr>
                                  <m:e>
                                    <m:r>
                                      <w:rPr>
                                        <w:rFonts w:ascii="Cambria Math" w:hAnsi="Cambria Math"/>
                                      </w:rPr>
                                      <m:t>FC</m:t>
                                    </m:r>
                                  </m:e>
                                  <m:sub>
                                    <m:r>
                                      <w:rPr>
                                        <w:rFonts w:ascii="Cambria Math" w:hAnsi="Cambria Math"/>
                                      </w:rPr>
                                      <m:t>i,p,t</m:t>
                                    </m:r>
                                  </m:sub>
                                </m:sSub>
                                <m:r>
                                  <w:rPr>
                                    <w:rFonts w:ascii="Cambria Math" w:hAnsi="Cambria Math"/>
                                  </w:rPr>
                                  <m:t>×</m:t>
                                </m:r>
                                <m:sSub>
                                  <m:sSubPr>
                                    <m:ctrlPr>
                                      <w:rPr>
                                        <w:rFonts w:ascii="Cambria Math" w:hAnsi="Cambria Math"/>
                                        <w:i/>
                                      </w:rPr>
                                    </m:ctrlPr>
                                  </m:sSubPr>
                                  <m:e>
                                    <m:r>
                                      <w:rPr>
                                        <w:rFonts w:ascii="Cambria Math" w:hAnsi="Cambria Math"/>
                                      </w:rPr>
                                      <m:t>NCV</m:t>
                                    </m:r>
                                  </m:e>
                                  <m:sub>
                                    <m:r>
                                      <w:rPr>
                                        <w:rFonts w:ascii="Cambria Math" w:hAnsi="Cambria Math"/>
                                      </w:rPr>
                                      <m:t>i,t</m:t>
                                    </m:r>
                                  </m:sub>
                                </m:sSub>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HG</m:t>
                                    </m:r>
                                  </m:e>
                                  <m:sub>
                                    <m:r>
                                      <w:rPr>
                                        <w:rFonts w:ascii="Cambria Math" w:hAnsi="Cambria Math"/>
                                      </w:rPr>
                                      <m:t>p,t</m:t>
                                    </m:r>
                                  </m:sub>
                                </m:sSub>
                              </m:num>
                              <m:den>
                                <m:sSub>
                                  <m:sSubPr>
                                    <m:ctrlPr>
                                      <w:rPr>
                                        <w:rFonts w:ascii="Cambria Math" w:hAnsi="Cambria Math"/>
                                        <w:i/>
                                      </w:rPr>
                                    </m:ctrlPr>
                                  </m:sSubPr>
                                  <m:e>
                                    <m:r>
                                      <w:rPr>
                                        <w:rFonts w:ascii="Cambria Math" w:hAnsi="Cambria Math"/>
                                      </w:rPr>
                                      <m:t>η</m:t>
                                    </m:r>
                                  </m:e>
                                  <m:sub>
                                    <m:r>
                                      <w:rPr>
                                        <w:rFonts w:ascii="Cambria Math" w:hAnsi="Cambria Math"/>
                                      </w:rPr>
                                      <m:t>boiler</m:t>
                                    </m:r>
                                  </m:sub>
                                </m:sSub>
                              </m:den>
                            </m:f>
                          </m:e>
                        </m:nary>
                      </m:e>
                    </m:d>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CO2,p,t</m:t>
                        </m:r>
                      </m:sub>
                    </m:sSub>
                  </m:num>
                  <m:den>
                    <m:sSub>
                      <m:sSubPr>
                        <m:ctrlPr>
                          <w:rPr>
                            <w:rFonts w:ascii="Cambria Math" w:hAnsi="Cambria Math"/>
                            <w:i/>
                          </w:rPr>
                        </m:ctrlPr>
                      </m:sSubPr>
                      <m:e>
                        <m:r>
                          <w:rPr>
                            <w:rFonts w:ascii="Cambria Math" w:hAnsi="Cambria Math"/>
                          </w:rPr>
                          <m:t>EG</m:t>
                        </m:r>
                      </m:e>
                      <m:sub>
                        <m:r>
                          <w:rPr>
                            <w:rFonts w:ascii="Cambria Math" w:hAnsi="Cambria Math"/>
                          </w:rPr>
                          <m:t>p,t</m:t>
                        </m:r>
                      </m:sub>
                    </m:sSub>
                  </m:den>
                </m:f>
              </m:oMath>
            </m:oMathPara>
          </w:p>
        </w:tc>
        <w:tc>
          <w:tcPr>
            <w:tcW w:w="1701" w:type="dxa"/>
          </w:tcPr>
          <w:p w14:paraId="5E0F8CE2" w14:textId="77777777" w:rsidR="00E1782A" w:rsidRPr="002B6960" w:rsidRDefault="00E1782A">
            <w:pPr>
              <w:pStyle w:val="SDMMethEquationNr"/>
              <w:numPr>
                <w:ilvl w:val="0"/>
                <w:numId w:val="6"/>
              </w:numPr>
            </w:pPr>
          </w:p>
        </w:tc>
      </w:tr>
    </w:tbl>
    <w:p w14:paraId="35F512EB" w14:textId="77777777" w:rsidR="00E1782A" w:rsidRDefault="00E1782A" w:rsidP="00C72647">
      <w:pPr>
        <w:pStyle w:val="SDMMethCaptionEquationParametersTable"/>
      </w:pPr>
      <w:r>
        <w:t>Where:</w:t>
      </w:r>
    </w:p>
    <w:tbl>
      <w:tblPr>
        <w:tblStyle w:val="SDMMethTableEquationParameters"/>
        <w:tblW w:w="8760" w:type="dxa"/>
        <w:tblLook w:val="04A0" w:firstRow="1" w:lastRow="0" w:firstColumn="1" w:lastColumn="0" w:noHBand="0" w:noVBand="1"/>
      </w:tblPr>
      <w:tblGrid>
        <w:gridCol w:w="1701"/>
        <w:gridCol w:w="345"/>
        <w:gridCol w:w="6714"/>
      </w:tblGrid>
      <w:tr w:rsidR="00E1782A" w:rsidRPr="00B23B70" w14:paraId="4FD14093" w14:textId="77777777" w:rsidTr="00B23B70">
        <w:tc>
          <w:tcPr>
            <w:tcW w:w="1701" w:type="dxa"/>
            <w:vAlign w:val="top"/>
          </w:tcPr>
          <w:p w14:paraId="15E38E40" w14:textId="77777777" w:rsidR="00E1782A" w:rsidRPr="00B23B70" w:rsidRDefault="00000000" w:rsidP="00B23B70">
            <w:pPr>
              <w:pStyle w:val="SDMTableBoxParaNotNumbered"/>
              <w:rPr>
                <w:rFonts w:cs="Arial"/>
              </w:rPr>
            </w:pPr>
            <m:oMathPara>
              <m:oMathParaPr>
                <m:jc m:val="left"/>
              </m:oMathParaPr>
              <m:oMath>
                <m:sSub>
                  <m:sSubPr>
                    <m:ctrlPr>
                      <w:rPr>
                        <w:rFonts w:ascii="Cambria Math" w:hAnsi="Cambria Math" w:cs="Arial"/>
                        <w:i/>
                      </w:rPr>
                    </m:ctrlPr>
                  </m:sSubPr>
                  <m:e>
                    <m:r>
                      <w:rPr>
                        <w:rFonts w:ascii="Cambria Math" w:hAnsi="Cambria Math" w:cs="Arial"/>
                      </w:rPr>
                      <m:t>EF</m:t>
                    </m:r>
                  </m:e>
                  <m:sub>
                    <m:r>
                      <w:rPr>
                        <w:rFonts w:ascii="Cambria Math" w:hAnsi="Cambria Math" w:cs="Arial"/>
                      </w:rPr>
                      <m:t>BE/PE/LE,y</m:t>
                    </m:r>
                  </m:sub>
                </m:sSub>
              </m:oMath>
            </m:oMathPara>
          </w:p>
        </w:tc>
        <w:tc>
          <w:tcPr>
            <w:tcW w:w="345" w:type="dxa"/>
            <w:vAlign w:val="top"/>
          </w:tcPr>
          <w:p w14:paraId="55D4EEA9" w14:textId="77777777" w:rsidR="00E1782A" w:rsidRPr="00B23B70" w:rsidRDefault="00E1782A" w:rsidP="00B23B70">
            <w:pPr>
              <w:pStyle w:val="SDMTableBoxParaNotNumbered"/>
              <w:rPr>
                <w:rFonts w:cs="Arial"/>
              </w:rPr>
            </w:pPr>
            <w:r w:rsidRPr="00B23B70">
              <w:rPr>
                <w:rFonts w:cs="Arial"/>
              </w:rPr>
              <w:t>=</w:t>
            </w:r>
          </w:p>
        </w:tc>
        <w:tc>
          <w:tcPr>
            <w:tcW w:w="0" w:type="auto"/>
            <w:vAlign w:val="top"/>
          </w:tcPr>
          <w:p w14:paraId="64D4B930" w14:textId="4028004E" w:rsidR="00E1782A" w:rsidRPr="00B23B70" w:rsidRDefault="1620E03D" w:rsidP="00B23B70">
            <w:pPr>
              <w:pStyle w:val="SDMTableBoxParaNotNumbered"/>
              <w:rPr>
                <w:rFonts w:cs="Arial"/>
              </w:rPr>
            </w:pPr>
            <w:r w:rsidRPr="00B23B70">
              <w:rPr>
                <w:rFonts w:cs="Arial"/>
              </w:rPr>
              <w:t>Emission factor of captive power plant</w:t>
            </w:r>
            <w:r w:rsidR="00331E35" w:rsidRPr="00B23B70">
              <w:rPr>
                <w:rFonts w:cs="Arial"/>
              </w:rPr>
              <w:t> </w:t>
            </w:r>
            <w:r w:rsidRPr="00B23B70">
              <w:rPr>
                <w:rFonts w:cs="Arial"/>
                <w:i/>
              </w:rPr>
              <w:t>p</w:t>
            </w:r>
            <w:r w:rsidRPr="00B23B70">
              <w:rPr>
                <w:rFonts w:cs="Arial"/>
              </w:rPr>
              <w:t xml:space="preserve"> in period</w:t>
            </w:r>
            <w:r w:rsidR="00331E35" w:rsidRPr="00B23B70">
              <w:rPr>
                <w:rFonts w:cs="Arial"/>
              </w:rPr>
              <w:t> </w:t>
            </w:r>
            <w:r w:rsidRPr="00B23B70">
              <w:rPr>
                <w:rFonts w:cs="Arial"/>
                <w:i/>
                <w:iCs/>
              </w:rPr>
              <w:t xml:space="preserve">t </w:t>
            </w:r>
            <w:r w:rsidRPr="00B23B70">
              <w:rPr>
                <w:rFonts w:cs="Arial"/>
              </w:rPr>
              <w:t>(t</w:t>
            </w:r>
            <w:r w:rsidR="00331E35" w:rsidRPr="00B23B70">
              <w:rPr>
                <w:rFonts w:cs="Arial"/>
              </w:rPr>
              <w:t> </w:t>
            </w:r>
            <w:r w:rsidRPr="00B23B70">
              <w:rPr>
                <w:rFonts w:cs="Arial"/>
              </w:rPr>
              <w:t>CO</w:t>
            </w:r>
            <w:r w:rsidRPr="00B23B70">
              <w:rPr>
                <w:rFonts w:cs="Arial"/>
                <w:vertAlign w:val="subscript"/>
              </w:rPr>
              <w:t>2</w:t>
            </w:r>
            <w:r w:rsidRPr="00B23B70">
              <w:rPr>
                <w:rFonts w:cs="Arial"/>
              </w:rPr>
              <w:t>e/MWh)</w:t>
            </w:r>
          </w:p>
        </w:tc>
      </w:tr>
      <w:tr w:rsidR="00CB6DD6" w:rsidRPr="00B23B70" w14:paraId="69E9B723" w14:textId="77777777" w:rsidTr="00B23B70">
        <w:tc>
          <w:tcPr>
            <w:tcW w:w="1701" w:type="dxa"/>
            <w:vAlign w:val="top"/>
          </w:tcPr>
          <w:p w14:paraId="29A734F3" w14:textId="65EAA805" w:rsidR="00CB6DD6" w:rsidRPr="00B23B70" w:rsidRDefault="00000000" w:rsidP="00B23B70">
            <w:pPr>
              <w:pStyle w:val="SDMTableBoxParaNotNumbered"/>
              <w:rPr>
                <w:rFonts w:cs="Arial"/>
              </w:rPr>
            </w:pPr>
            <m:oMathPara>
              <m:oMathParaPr>
                <m:jc m:val="left"/>
              </m:oMathParaPr>
              <m:oMath>
                <m:sSub>
                  <m:sSubPr>
                    <m:ctrlPr>
                      <w:rPr>
                        <w:rFonts w:ascii="Cambria Math" w:hAnsi="Cambria Math" w:cs="Arial"/>
                        <w:i/>
                      </w:rPr>
                    </m:ctrlPr>
                  </m:sSubPr>
                  <m:e>
                    <m:r>
                      <w:rPr>
                        <w:rFonts w:ascii="Cambria Math" w:hAnsi="Cambria Math" w:cs="Arial"/>
                      </w:rPr>
                      <m:t>FC</m:t>
                    </m:r>
                  </m:e>
                  <m:sub>
                    <m:r>
                      <w:rPr>
                        <w:rFonts w:ascii="Cambria Math" w:hAnsi="Cambria Math" w:cs="Arial"/>
                      </w:rPr>
                      <m:t>i,p,t</m:t>
                    </m:r>
                  </m:sub>
                </m:sSub>
              </m:oMath>
            </m:oMathPara>
          </w:p>
        </w:tc>
        <w:tc>
          <w:tcPr>
            <w:tcW w:w="345" w:type="dxa"/>
            <w:vAlign w:val="top"/>
          </w:tcPr>
          <w:p w14:paraId="0EA71730" w14:textId="77777777" w:rsidR="00CB6DD6" w:rsidRPr="00B23B70" w:rsidRDefault="00CB6DD6" w:rsidP="00B23B70">
            <w:pPr>
              <w:pStyle w:val="SDMTableBoxParaNotNumbered"/>
              <w:rPr>
                <w:rFonts w:cs="Arial"/>
              </w:rPr>
            </w:pPr>
            <w:r w:rsidRPr="00B23B70">
              <w:rPr>
                <w:rFonts w:cs="Arial"/>
              </w:rPr>
              <w:t>=</w:t>
            </w:r>
          </w:p>
        </w:tc>
        <w:tc>
          <w:tcPr>
            <w:tcW w:w="0" w:type="auto"/>
            <w:vAlign w:val="top"/>
          </w:tcPr>
          <w:p w14:paraId="3B3135CC" w14:textId="36DA66C5" w:rsidR="00CB6DD6" w:rsidRPr="00B23B70" w:rsidRDefault="00CB6DD6" w:rsidP="00B23B70">
            <w:pPr>
              <w:pStyle w:val="SDMTableBoxParaNotNumbered"/>
              <w:rPr>
                <w:rFonts w:cs="Arial"/>
              </w:rPr>
            </w:pPr>
            <w:r w:rsidRPr="00B23B70">
              <w:rPr>
                <w:rFonts w:cs="Arial"/>
              </w:rPr>
              <w:t>Quantity of fossil fuel type</w:t>
            </w:r>
            <w:r w:rsidRPr="00B23B70">
              <w:rPr>
                <w:rFonts w:cs="Arial"/>
                <w:i/>
              </w:rPr>
              <w:t xml:space="preserve"> i </w:t>
            </w:r>
            <w:r w:rsidRPr="00B23B70">
              <w:rPr>
                <w:rFonts w:cs="Arial"/>
              </w:rPr>
              <w:t>fired in captive power plant</w:t>
            </w:r>
            <w:r w:rsidRPr="00B23B70">
              <w:rPr>
                <w:rFonts w:cs="Arial"/>
                <w:i/>
              </w:rPr>
              <w:t> </w:t>
            </w:r>
            <w:r w:rsidR="756339C9" w:rsidRPr="00B23B70">
              <w:rPr>
                <w:rFonts w:cs="Arial"/>
                <w:i/>
                <w:iCs/>
              </w:rPr>
              <w:t>p</w:t>
            </w:r>
            <w:r w:rsidRPr="00B23B70">
              <w:rPr>
                <w:rFonts w:cs="Arial"/>
                <w:i/>
              </w:rPr>
              <w:t xml:space="preserve"> </w:t>
            </w:r>
            <w:r w:rsidRPr="00B23B70">
              <w:rPr>
                <w:rFonts w:cs="Arial"/>
              </w:rPr>
              <w:t>in the period</w:t>
            </w:r>
            <w:r w:rsidRPr="00B23B70">
              <w:rPr>
                <w:rFonts w:cs="Arial"/>
                <w:i/>
              </w:rPr>
              <w:t xml:space="preserve"> t </w:t>
            </w:r>
            <w:r w:rsidRPr="00B23B70">
              <w:rPr>
                <w:rFonts w:cs="Arial"/>
              </w:rPr>
              <w:t>(mass or volume unit)</w:t>
            </w:r>
          </w:p>
        </w:tc>
      </w:tr>
      <w:tr w:rsidR="00CB6DD6" w:rsidRPr="00B23B70" w14:paraId="0202B046" w14:textId="77777777" w:rsidTr="00B23B70">
        <w:tc>
          <w:tcPr>
            <w:tcW w:w="1701" w:type="dxa"/>
            <w:vAlign w:val="top"/>
          </w:tcPr>
          <w:p w14:paraId="4623A65C" w14:textId="77777777" w:rsidR="00CB6DD6" w:rsidRPr="00B23B70" w:rsidRDefault="00000000" w:rsidP="00B23B70">
            <w:pPr>
              <w:pStyle w:val="SDMTableBoxParaNotNumbered"/>
              <w:rPr>
                <w:rFonts w:cs="Arial"/>
              </w:rPr>
            </w:pPr>
            <m:oMathPara>
              <m:oMathParaPr>
                <m:jc m:val="left"/>
              </m:oMathParaPr>
              <m:oMath>
                <m:sSub>
                  <m:sSubPr>
                    <m:ctrlPr>
                      <w:rPr>
                        <w:rFonts w:ascii="Cambria Math" w:hAnsi="Cambria Math" w:cs="Arial"/>
                        <w:i/>
                      </w:rPr>
                    </m:ctrlPr>
                  </m:sSubPr>
                  <m:e>
                    <m:r>
                      <w:rPr>
                        <w:rFonts w:ascii="Cambria Math" w:hAnsi="Cambria Math" w:cs="Arial"/>
                      </w:rPr>
                      <m:t>NCV</m:t>
                    </m:r>
                  </m:e>
                  <m:sub>
                    <m:r>
                      <w:rPr>
                        <w:rFonts w:ascii="Cambria Math" w:hAnsi="Cambria Math" w:cs="Arial"/>
                      </w:rPr>
                      <m:t>i,t</m:t>
                    </m:r>
                  </m:sub>
                </m:sSub>
              </m:oMath>
            </m:oMathPara>
          </w:p>
        </w:tc>
        <w:tc>
          <w:tcPr>
            <w:tcW w:w="345" w:type="dxa"/>
            <w:vAlign w:val="top"/>
          </w:tcPr>
          <w:p w14:paraId="60B1FFCC" w14:textId="77777777" w:rsidR="00CB6DD6" w:rsidRPr="00B23B70" w:rsidRDefault="00CB6DD6" w:rsidP="00B23B70">
            <w:pPr>
              <w:pStyle w:val="SDMTableBoxParaNotNumbered"/>
              <w:rPr>
                <w:rFonts w:cs="Arial"/>
              </w:rPr>
            </w:pPr>
            <w:r w:rsidRPr="00B23B70">
              <w:rPr>
                <w:rFonts w:cs="Arial"/>
              </w:rPr>
              <w:t>=</w:t>
            </w:r>
          </w:p>
        </w:tc>
        <w:tc>
          <w:tcPr>
            <w:tcW w:w="0" w:type="auto"/>
            <w:vAlign w:val="top"/>
          </w:tcPr>
          <w:p w14:paraId="27AF0FED" w14:textId="7C5B54D1" w:rsidR="00CB6DD6" w:rsidRPr="00B23B70" w:rsidRDefault="00CB6DD6" w:rsidP="00B23B70">
            <w:pPr>
              <w:pStyle w:val="SDMTableBoxParaNotNumbered"/>
              <w:rPr>
                <w:rFonts w:cs="Arial"/>
              </w:rPr>
            </w:pPr>
            <w:r w:rsidRPr="00B23B70">
              <w:rPr>
                <w:rFonts w:cs="Arial"/>
              </w:rPr>
              <w:t>Average net calorific value of fossil fuel type</w:t>
            </w:r>
            <w:r w:rsidRPr="00B23B70">
              <w:rPr>
                <w:rFonts w:cs="Arial"/>
                <w:i/>
              </w:rPr>
              <w:t xml:space="preserve"> i </w:t>
            </w:r>
            <w:r w:rsidRPr="00B23B70">
              <w:rPr>
                <w:rFonts w:cs="Arial"/>
              </w:rPr>
              <w:t>used in period </w:t>
            </w:r>
            <w:r w:rsidRPr="00B23B70">
              <w:rPr>
                <w:rFonts w:cs="Arial"/>
                <w:i/>
              </w:rPr>
              <w:t xml:space="preserve">t </w:t>
            </w:r>
            <w:r w:rsidRPr="00B23B70">
              <w:rPr>
                <w:rFonts w:cs="Arial"/>
              </w:rPr>
              <w:t>(GJ/mass or volume unit)</w:t>
            </w:r>
          </w:p>
        </w:tc>
      </w:tr>
      <w:tr w:rsidR="00041094" w:rsidRPr="00B23B70" w14:paraId="36351E0D" w14:textId="77777777" w:rsidTr="00B23B70">
        <w:tc>
          <w:tcPr>
            <w:tcW w:w="1701" w:type="dxa"/>
            <w:vAlign w:val="top"/>
          </w:tcPr>
          <w:p w14:paraId="3C31113F" w14:textId="77777777" w:rsidR="00041094" w:rsidRPr="00B23B70" w:rsidRDefault="00000000" w:rsidP="00B23B70">
            <w:pPr>
              <w:pStyle w:val="SDMTableBoxParaNotNumbered"/>
              <w:rPr>
                <w:rFonts w:cs="Arial"/>
              </w:rPr>
            </w:pPr>
            <m:oMathPara>
              <m:oMathParaPr>
                <m:jc m:val="left"/>
              </m:oMathParaPr>
              <m:oMath>
                <m:sSub>
                  <m:sSubPr>
                    <m:ctrlPr>
                      <w:rPr>
                        <w:rFonts w:ascii="Cambria Math" w:hAnsi="Cambria Math" w:cs="Arial"/>
                        <w:i/>
                      </w:rPr>
                    </m:ctrlPr>
                  </m:sSubPr>
                  <m:e>
                    <m:r>
                      <w:rPr>
                        <w:rFonts w:ascii="Cambria Math" w:hAnsi="Cambria Math" w:cs="Arial"/>
                      </w:rPr>
                      <m:t>HG</m:t>
                    </m:r>
                  </m:e>
                  <m:sub>
                    <m:r>
                      <w:rPr>
                        <w:rFonts w:ascii="Cambria Math" w:hAnsi="Cambria Math" w:cs="Arial"/>
                      </w:rPr>
                      <m:t>p,t</m:t>
                    </m:r>
                  </m:sub>
                </m:sSub>
              </m:oMath>
            </m:oMathPara>
          </w:p>
        </w:tc>
        <w:tc>
          <w:tcPr>
            <w:tcW w:w="345" w:type="dxa"/>
            <w:vAlign w:val="top"/>
          </w:tcPr>
          <w:p w14:paraId="416F70FC" w14:textId="77777777" w:rsidR="00041094" w:rsidRPr="00B23B70" w:rsidRDefault="00041094" w:rsidP="00B23B70">
            <w:pPr>
              <w:pStyle w:val="SDMTableBoxParaNotNumbered"/>
              <w:rPr>
                <w:rFonts w:cs="Arial"/>
              </w:rPr>
            </w:pPr>
            <w:r w:rsidRPr="00B23B70">
              <w:rPr>
                <w:rFonts w:cs="Arial"/>
              </w:rPr>
              <w:t>=</w:t>
            </w:r>
          </w:p>
        </w:tc>
        <w:tc>
          <w:tcPr>
            <w:tcW w:w="0" w:type="auto"/>
            <w:vAlign w:val="top"/>
          </w:tcPr>
          <w:p w14:paraId="6B4E4EE2" w14:textId="21EB2193" w:rsidR="00041094" w:rsidRPr="00B23B70" w:rsidRDefault="00041094" w:rsidP="00B23B70">
            <w:pPr>
              <w:pStyle w:val="SDMTableBoxParaNotNumbered"/>
              <w:rPr>
                <w:rFonts w:cs="Arial"/>
              </w:rPr>
            </w:pPr>
            <w:r w:rsidRPr="00B23B70">
              <w:rPr>
                <w:rFonts w:cs="Arial"/>
              </w:rPr>
              <w:t xml:space="preserve">Quantity of heat co-generated </w:t>
            </w:r>
            <w:r w:rsidR="00B5293B" w:rsidRPr="00B23B70">
              <w:rPr>
                <w:rFonts w:cs="Arial"/>
              </w:rPr>
              <w:t xml:space="preserve">by </w:t>
            </w:r>
            <w:r w:rsidRPr="00B23B70">
              <w:rPr>
                <w:rFonts w:cs="Arial"/>
              </w:rPr>
              <w:t>captive power plant</w:t>
            </w:r>
            <w:r w:rsidRPr="00B23B70">
              <w:rPr>
                <w:rFonts w:cs="Arial"/>
                <w:i/>
              </w:rPr>
              <w:t> </w:t>
            </w:r>
            <w:r w:rsidR="756339C9" w:rsidRPr="00B23B70">
              <w:rPr>
                <w:rFonts w:cs="Arial"/>
                <w:i/>
                <w:iCs/>
              </w:rPr>
              <w:t>p</w:t>
            </w:r>
            <w:r w:rsidRPr="00B23B70">
              <w:rPr>
                <w:rFonts w:cs="Arial"/>
                <w:i/>
              </w:rPr>
              <w:t xml:space="preserve"> </w:t>
            </w:r>
            <w:r w:rsidRPr="00B23B70">
              <w:rPr>
                <w:rFonts w:cs="Arial"/>
              </w:rPr>
              <w:t>in the period</w:t>
            </w:r>
            <w:r w:rsidRPr="00B23B70">
              <w:rPr>
                <w:rFonts w:cs="Arial"/>
                <w:i/>
              </w:rPr>
              <w:t xml:space="preserve"> t </w:t>
            </w:r>
            <w:r w:rsidRPr="00B23B70">
              <w:rPr>
                <w:rFonts w:cs="Arial"/>
              </w:rPr>
              <w:t>(GJ)</w:t>
            </w:r>
          </w:p>
        </w:tc>
      </w:tr>
      <w:tr w:rsidR="00041094" w:rsidRPr="00B23B70" w14:paraId="208E2832" w14:textId="77777777" w:rsidTr="00B23B70">
        <w:tc>
          <w:tcPr>
            <w:tcW w:w="1701" w:type="dxa"/>
            <w:vAlign w:val="top"/>
          </w:tcPr>
          <w:p w14:paraId="2ECEAC92" w14:textId="77777777" w:rsidR="00041094" w:rsidRPr="00B23B70" w:rsidRDefault="00000000" w:rsidP="00B23B70">
            <w:pPr>
              <w:pStyle w:val="SDMTableBoxParaNotNumbered"/>
              <w:rPr>
                <w:rFonts w:cs="Arial"/>
              </w:rPr>
            </w:pPr>
            <m:oMathPara>
              <m:oMathParaPr>
                <m:jc m:val="left"/>
              </m:oMathParaPr>
              <m:oMath>
                <m:sSub>
                  <m:sSubPr>
                    <m:ctrlPr>
                      <w:rPr>
                        <w:rFonts w:ascii="Cambria Math" w:hAnsi="Cambria Math" w:cs="Arial"/>
                        <w:i/>
                      </w:rPr>
                    </m:ctrlPr>
                  </m:sSubPr>
                  <m:e>
                    <m:r>
                      <w:rPr>
                        <w:rFonts w:ascii="Cambria Math" w:hAnsi="Cambria Math" w:cs="Arial"/>
                      </w:rPr>
                      <m:t>η</m:t>
                    </m:r>
                  </m:e>
                  <m:sub>
                    <m:r>
                      <w:rPr>
                        <w:rFonts w:ascii="Cambria Math" w:hAnsi="Cambria Math" w:cs="Arial"/>
                      </w:rPr>
                      <m:t>boiler</m:t>
                    </m:r>
                  </m:sub>
                </m:sSub>
              </m:oMath>
            </m:oMathPara>
          </w:p>
        </w:tc>
        <w:tc>
          <w:tcPr>
            <w:tcW w:w="345" w:type="dxa"/>
            <w:vAlign w:val="top"/>
          </w:tcPr>
          <w:p w14:paraId="49BF1A55" w14:textId="77777777" w:rsidR="00041094" w:rsidRPr="00B23B70" w:rsidRDefault="00041094" w:rsidP="00B23B70">
            <w:pPr>
              <w:pStyle w:val="SDMTableBoxParaNotNumbered"/>
              <w:rPr>
                <w:rFonts w:cs="Arial"/>
              </w:rPr>
            </w:pPr>
            <w:r w:rsidRPr="00B23B70">
              <w:rPr>
                <w:rFonts w:cs="Arial"/>
              </w:rPr>
              <w:t>=</w:t>
            </w:r>
          </w:p>
        </w:tc>
        <w:tc>
          <w:tcPr>
            <w:tcW w:w="0" w:type="auto"/>
            <w:vAlign w:val="top"/>
          </w:tcPr>
          <w:p w14:paraId="4361F8AF" w14:textId="6E70A5A5" w:rsidR="00041094" w:rsidRPr="00B23B70" w:rsidRDefault="00041094" w:rsidP="00B23B70">
            <w:pPr>
              <w:pStyle w:val="SDMTableBoxParaNotNumbered"/>
              <w:rPr>
                <w:rFonts w:cs="Arial"/>
              </w:rPr>
            </w:pPr>
            <w:r w:rsidRPr="00B23B70">
              <w:rPr>
                <w:rFonts w:cs="Arial"/>
              </w:rPr>
              <w:t>Efficiency of the boiler assumed to generate</w:t>
            </w:r>
            <w:r w:rsidR="00A2723C" w:rsidRPr="00B23B70">
              <w:rPr>
                <w:rFonts w:cs="Arial"/>
              </w:rPr>
              <w:t xml:space="preserve"> heat</w:t>
            </w:r>
            <w:r w:rsidRPr="00B23B70">
              <w:rPr>
                <w:rFonts w:cs="Arial"/>
              </w:rPr>
              <w:t xml:space="preserve"> in the absence of cogeneration</w:t>
            </w:r>
          </w:p>
        </w:tc>
      </w:tr>
      <w:tr w:rsidR="00041094" w:rsidRPr="00B23B70" w14:paraId="5D19395E" w14:textId="77777777" w:rsidTr="00B23B70">
        <w:tc>
          <w:tcPr>
            <w:tcW w:w="1701" w:type="dxa"/>
            <w:vAlign w:val="top"/>
          </w:tcPr>
          <w:p w14:paraId="08A8B8BF" w14:textId="77777777" w:rsidR="00041094" w:rsidRPr="00B23B70" w:rsidRDefault="00000000" w:rsidP="00B23B70">
            <w:pPr>
              <w:pStyle w:val="SDMTableBoxParaNotNumbered"/>
              <w:rPr>
                <w:rFonts w:cs="Arial"/>
              </w:rPr>
            </w:pPr>
            <m:oMathPara>
              <m:oMathParaPr>
                <m:jc m:val="left"/>
              </m:oMathParaPr>
              <m:oMath>
                <m:sSub>
                  <m:sSubPr>
                    <m:ctrlPr>
                      <w:rPr>
                        <w:rFonts w:ascii="Cambria Math" w:hAnsi="Cambria Math" w:cs="Arial"/>
                        <w:i/>
                      </w:rPr>
                    </m:ctrlPr>
                  </m:sSubPr>
                  <m:e>
                    <m:r>
                      <w:rPr>
                        <w:rFonts w:ascii="Cambria Math" w:hAnsi="Cambria Math" w:cs="Arial"/>
                      </w:rPr>
                      <m:t>EF</m:t>
                    </m:r>
                  </m:e>
                  <m:sub>
                    <m:r>
                      <w:rPr>
                        <w:rFonts w:ascii="Cambria Math" w:hAnsi="Cambria Math" w:cs="Arial"/>
                      </w:rPr>
                      <m:t>CO2,p,t</m:t>
                    </m:r>
                  </m:sub>
                </m:sSub>
              </m:oMath>
            </m:oMathPara>
          </w:p>
        </w:tc>
        <w:tc>
          <w:tcPr>
            <w:tcW w:w="345" w:type="dxa"/>
            <w:vAlign w:val="top"/>
          </w:tcPr>
          <w:p w14:paraId="4BC41BCD" w14:textId="77777777" w:rsidR="00041094" w:rsidRPr="00B23B70" w:rsidRDefault="00041094" w:rsidP="00B23B70">
            <w:pPr>
              <w:pStyle w:val="SDMTableBoxParaNotNumbered"/>
              <w:rPr>
                <w:rFonts w:cs="Arial"/>
              </w:rPr>
            </w:pPr>
            <w:r w:rsidRPr="00B23B70">
              <w:rPr>
                <w:rFonts w:cs="Arial"/>
              </w:rPr>
              <w:t>=</w:t>
            </w:r>
          </w:p>
        </w:tc>
        <w:tc>
          <w:tcPr>
            <w:tcW w:w="0" w:type="auto"/>
            <w:vAlign w:val="top"/>
          </w:tcPr>
          <w:p w14:paraId="3D6B6BF4" w14:textId="5580CBFD" w:rsidR="00041094" w:rsidRPr="00B23B70" w:rsidRDefault="00041094" w:rsidP="00B23B70">
            <w:pPr>
              <w:pStyle w:val="SDMTableBoxParaNotNumbered"/>
              <w:rPr>
                <w:rFonts w:cs="Arial"/>
              </w:rPr>
            </w:pPr>
            <w:r w:rsidRPr="00B23B70">
              <w:rPr>
                <w:rFonts w:cs="Arial"/>
              </w:rPr>
              <w:t>Average CO</w:t>
            </w:r>
            <w:r w:rsidRPr="00B23B70">
              <w:rPr>
                <w:rFonts w:cs="Arial"/>
                <w:vertAlign w:val="subscript"/>
              </w:rPr>
              <w:t>2</w:t>
            </w:r>
            <w:r w:rsidRPr="00B23B70">
              <w:rPr>
                <w:rFonts w:cs="Arial"/>
              </w:rPr>
              <w:t xml:space="preserve"> emission factor of fossil fuels fired in captive power plant</w:t>
            </w:r>
            <w:r w:rsidRPr="00B23B70">
              <w:rPr>
                <w:rFonts w:cs="Arial"/>
                <w:i/>
              </w:rPr>
              <w:t> </w:t>
            </w:r>
            <w:r w:rsidR="756339C9" w:rsidRPr="00B23B70">
              <w:rPr>
                <w:rFonts w:cs="Arial"/>
                <w:i/>
                <w:iCs/>
              </w:rPr>
              <w:t>p</w:t>
            </w:r>
            <w:r w:rsidRPr="00B23B70">
              <w:rPr>
                <w:rFonts w:cs="Arial"/>
                <w:i/>
              </w:rPr>
              <w:t xml:space="preserve"> </w:t>
            </w:r>
            <w:r w:rsidRPr="00B23B70">
              <w:rPr>
                <w:rFonts w:cs="Arial"/>
              </w:rPr>
              <w:t>in period</w:t>
            </w:r>
            <w:r w:rsidRPr="00B23B70">
              <w:rPr>
                <w:rFonts w:cs="Arial"/>
                <w:i/>
              </w:rPr>
              <w:t xml:space="preserve"> t </w:t>
            </w:r>
            <w:r w:rsidRPr="00B23B70">
              <w:rPr>
                <w:rFonts w:cs="Arial"/>
              </w:rPr>
              <w:t>(t </w:t>
            </w:r>
            <w:r w:rsidR="489A97D6" w:rsidRPr="00B23B70">
              <w:rPr>
                <w:rFonts w:cs="Arial"/>
              </w:rPr>
              <w:t>CO</w:t>
            </w:r>
            <w:r w:rsidR="489A97D6" w:rsidRPr="00B23B70">
              <w:rPr>
                <w:rFonts w:cs="Arial"/>
                <w:vertAlign w:val="subscript"/>
              </w:rPr>
              <w:t>2</w:t>
            </w:r>
            <w:r w:rsidRPr="00B23B70">
              <w:rPr>
                <w:rFonts w:cs="Arial"/>
              </w:rPr>
              <w:t>/GJ)</w:t>
            </w:r>
          </w:p>
        </w:tc>
      </w:tr>
      <w:tr w:rsidR="00041094" w:rsidRPr="00B23B70" w14:paraId="3254E8C8" w14:textId="77777777" w:rsidTr="00B23B70">
        <w:tc>
          <w:tcPr>
            <w:tcW w:w="1701" w:type="dxa"/>
            <w:vAlign w:val="top"/>
          </w:tcPr>
          <w:p w14:paraId="2BBAC129" w14:textId="16E0B187" w:rsidR="00041094" w:rsidRPr="00B23B70" w:rsidRDefault="00000000" w:rsidP="00B23B70">
            <w:pPr>
              <w:pStyle w:val="SDMTableBoxParaNotNumbered"/>
              <w:rPr>
                <w:rFonts w:cs="Arial"/>
              </w:rPr>
            </w:pPr>
            <m:oMathPara>
              <m:oMathParaPr>
                <m:jc m:val="left"/>
              </m:oMathParaPr>
              <m:oMath>
                <m:sSub>
                  <m:sSubPr>
                    <m:ctrlPr>
                      <w:rPr>
                        <w:rFonts w:ascii="Cambria Math" w:hAnsi="Cambria Math" w:cs="Arial"/>
                        <w:i/>
                      </w:rPr>
                    </m:ctrlPr>
                  </m:sSubPr>
                  <m:e>
                    <m:r>
                      <w:rPr>
                        <w:rFonts w:ascii="Cambria Math" w:hAnsi="Cambria Math" w:cs="Arial"/>
                      </w:rPr>
                      <m:t>EG</m:t>
                    </m:r>
                  </m:e>
                  <m:sub>
                    <m:r>
                      <w:rPr>
                        <w:rFonts w:ascii="Cambria Math" w:hAnsi="Cambria Math" w:cs="Arial"/>
                      </w:rPr>
                      <m:t>p,t</m:t>
                    </m:r>
                  </m:sub>
                </m:sSub>
              </m:oMath>
            </m:oMathPara>
          </w:p>
        </w:tc>
        <w:tc>
          <w:tcPr>
            <w:tcW w:w="345" w:type="dxa"/>
            <w:vAlign w:val="top"/>
          </w:tcPr>
          <w:p w14:paraId="36911EF5" w14:textId="77777777" w:rsidR="00041094" w:rsidRPr="00B23B70" w:rsidRDefault="00041094" w:rsidP="00B23B70">
            <w:pPr>
              <w:pStyle w:val="SDMTableBoxParaNotNumbered"/>
              <w:rPr>
                <w:rFonts w:cs="Arial"/>
              </w:rPr>
            </w:pPr>
            <w:r w:rsidRPr="00B23B70">
              <w:rPr>
                <w:rFonts w:cs="Arial"/>
              </w:rPr>
              <w:t>=</w:t>
            </w:r>
          </w:p>
        </w:tc>
        <w:tc>
          <w:tcPr>
            <w:tcW w:w="0" w:type="auto"/>
            <w:vAlign w:val="top"/>
          </w:tcPr>
          <w:p w14:paraId="785D6768" w14:textId="2B723367" w:rsidR="00041094" w:rsidRPr="00B23B70" w:rsidRDefault="00041094" w:rsidP="00B23B70">
            <w:pPr>
              <w:pStyle w:val="SDMTableBoxParaNotNumbered"/>
              <w:rPr>
                <w:rFonts w:cs="Arial"/>
              </w:rPr>
            </w:pPr>
            <w:r w:rsidRPr="00B23B70">
              <w:rPr>
                <w:rFonts w:cs="Arial"/>
              </w:rPr>
              <w:t xml:space="preserve">Quantity of electricity generated </w:t>
            </w:r>
            <w:r w:rsidR="00DB0AE8" w:rsidRPr="00B23B70">
              <w:rPr>
                <w:rFonts w:cs="Arial"/>
              </w:rPr>
              <w:t>by</w:t>
            </w:r>
            <w:r w:rsidRPr="00B23B70">
              <w:rPr>
                <w:rFonts w:cs="Arial"/>
              </w:rPr>
              <w:t xml:space="preserve"> captive power plant</w:t>
            </w:r>
            <w:r w:rsidRPr="00B23B70">
              <w:rPr>
                <w:rFonts w:cs="Arial"/>
                <w:i/>
              </w:rPr>
              <w:t> </w:t>
            </w:r>
            <w:r w:rsidR="0FD8AEA5" w:rsidRPr="00B23B70">
              <w:rPr>
                <w:rFonts w:cs="Arial"/>
                <w:i/>
                <w:iCs/>
              </w:rPr>
              <w:t>p</w:t>
            </w:r>
            <w:r w:rsidRPr="00B23B70">
              <w:rPr>
                <w:rFonts w:cs="Arial"/>
                <w:i/>
              </w:rPr>
              <w:t xml:space="preserve"> </w:t>
            </w:r>
            <w:r w:rsidRPr="00B23B70">
              <w:rPr>
                <w:rFonts w:cs="Arial"/>
              </w:rPr>
              <w:t>in period</w:t>
            </w:r>
            <w:r w:rsidRPr="00B23B70">
              <w:rPr>
                <w:rFonts w:cs="Arial"/>
                <w:i/>
              </w:rPr>
              <w:t xml:space="preserve"> t </w:t>
            </w:r>
            <w:r w:rsidRPr="00B23B70">
              <w:rPr>
                <w:rFonts w:cs="Arial"/>
              </w:rPr>
              <w:t>(MWh)</w:t>
            </w:r>
          </w:p>
        </w:tc>
      </w:tr>
      <w:tr w:rsidR="007116DD" w:rsidRPr="00B23B70" w14:paraId="4BB583FD" w14:textId="77777777" w:rsidTr="00B23B70">
        <w:tc>
          <w:tcPr>
            <w:tcW w:w="1701" w:type="dxa"/>
            <w:vAlign w:val="top"/>
          </w:tcPr>
          <w:p w14:paraId="7E731EFD" w14:textId="77777777" w:rsidR="007116DD" w:rsidRPr="00B23B70" w:rsidRDefault="00000DE0" w:rsidP="00B23B70">
            <w:pPr>
              <w:pStyle w:val="SDMTableBoxParaNotNumbered"/>
              <w:rPr>
                <w:rFonts w:cs="Arial"/>
              </w:rPr>
            </w:pPr>
            <m:oMathPara>
              <m:oMathParaPr>
                <m:jc m:val="left"/>
              </m:oMathParaPr>
              <m:oMath>
                <m:r>
                  <w:rPr>
                    <w:rFonts w:ascii="Cambria Math" w:hAnsi="Cambria Math" w:cs="Arial"/>
                  </w:rPr>
                  <m:t>p</m:t>
                </m:r>
              </m:oMath>
            </m:oMathPara>
          </w:p>
        </w:tc>
        <w:tc>
          <w:tcPr>
            <w:tcW w:w="345" w:type="dxa"/>
            <w:vAlign w:val="top"/>
          </w:tcPr>
          <w:p w14:paraId="2178C40D" w14:textId="77777777" w:rsidR="007116DD" w:rsidRPr="00B23B70" w:rsidRDefault="007116DD" w:rsidP="00B23B70">
            <w:pPr>
              <w:pStyle w:val="SDMTableBoxParaNotNumbered"/>
              <w:rPr>
                <w:rFonts w:cs="Arial"/>
              </w:rPr>
            </w:pPr>
            <w:r w:rsidRPr="00B23B70">
              <w:rPr>
                <w:rFonts w:cs="Arial"/>
              </w:rPr>
              <w:t>=</w:t>
            </w:r>
          </w:p>
        </w:tc>
        <w:tc>
          <w:tcPr>
            <w:tcW w:w="0" w:type="auto"/>
            <w:vAlign w:val="top"/>
          </w:tcPr>
          <w:p w14:paraId="3105EF2E" w14:textId="6EC74A0C" w:rsidR="007116DD" w:rsidRPr="00B23B70" w:rsidRDefault="4EE7AB7F" w:rsidP="00B23B70">
            <w:pPr>
              <w:pStyle w:val="SDMTableBoxParaNotNumbered"/>
              <w:rPr>
                <w:rFonts w:cs="Arial"/>
              </w:rPr>
            </w:pPr>
            <w:r w:rsidRPr="00B23B70">
              <w:rPr>
                <w:rFonts w:cs="Arial"/>
              </w:rPr>
              <w:t xml:space="preserve">Fossil fuel fired captive power plants </w:t>
            </w:r>
            <w:r w:rsidR="4F655ADB" w:rsidRPr="00B23B70">
              <w:rPr>
                <w:rFonts w:cs="Arial"/>
              </w:rPr>
              <w:t>identified</w:t>
            </w:r>
            <w:r w:rsidR="0EB039AF" w:rsidRPr="00B23B70">
              <w:rPr>
                <w:rFonts w:cs="Arial"/>
              </w:rPr>
              <w:t xml:space="preserve"> in </w:t>
            </w:r>
            <w:r w:rsidR="00F91AA9" w:rsidRPr="00B23B70">
              <w:rPr>
                <w:rFonts w:cs="Arial"/>
              </w:rPr>
              <w:t>step</w:t>
            </w:r>
            <w:r w:rsidR="006F7A0B">
              <w:rPr>
                <w:rFonts w:cs="Arial"/>
              </w:rPr>
              <w:t> </w:t>
            </w:r>
            <w:r w:rsidR="0EB039AF" w:rsidRPr="00B23B70">
              <w:rPr>
                <w:rFonts w:cs="Arial"/>
              </w:rPr>
              <w:t>2</w:t>
            </w:r>
          </w:p>
        </w:tc>
      </w:tr>
      <w:tr w:rsidR="007116DD" w:rsidRPr="00B23B70" w14:paraId="7D879805" w14:textId="77777777" w:rsidTr="00B23B70">
        <w:tc>
          <w:tcPr>
            <w:tcW w:w="1701" w:type="dxa"/>
            <w:vAlign w:val="top"/>
          </w:tcPr>
          <w:p w14:paraId="0D95574E" w14:textId="77777777" w:rsidR="007116DD" w:rsidRPr="00B23B70" w:rsidRDefault="007116DD" w:rsidP="00B23B70">
            <w:pPr>
              <w:pStyle w:val="SDMTableBoxParaNotNumbered"/>
              <w:rPr>
                <w:rFonts w:cs="Arial"/>
              </w:rPr>
            </w:pPr>
            <m:oMathPara>
              <m:oMathParaPr>
                <m:jc m:val="left"/>
              </m:oMathParaPr>
              <m:oMath>
                <m:r>
                  <w:rPr>
                    <w:rFonts w:ascii="Cambria Math" w:hAnsi="Cambria Math" w:cs="Arial"/>
                  </w:rPr>
                  <m:t>t</m:t>
                </m:r>
              </m:oMath>
            </m:oMathPara>
          </w:p>
        </w:tc>
        <w:tc>
          <w:tcPr>
            <w:tcW w:w="345" w:type="dxa"/>
            <w:vAlign w:val="top"/>
          </w:tcPr>
          <w:p w14:paraId="35430F5F" w14:textId="77777777" w:rsidR="007116DD" w:rsidRPr="00B23B70" w:rsidRDefault="007116DD" w:rsidP="00B23B70">
            <w:pPr>
              <w:pStyle w:val="SDMTableBoxParaNotNumbered"/>
              <w:rPr>
                <w:rFonts w:cs="Arial"/>
              </w:rPr>
            </w:pPr>
            <w:r w:rsidRPr="00B23B70">
              <w:rPr>
                <w:rFonts w:cs="Arial"/>
              </w:rPr>
              <w:t>=</w:t>
            </w:r>
          </w:p>
        </w:tc>
        <w:tc>
          <w:tcPr>
            <w:tcW w:w="0" w:type="auto"/>
            <w:vAlign w:val="top"/>
          </w:tcPr>
          <w:p w14:paraId="68B186A7" w14:textId="1EBB7490" w:rsidR="007116DD" w:rsidRPr="00B23B70" w:rsidRDefault="04B2545F" w:rsidP="00B23B70">
            <w:pPr>
              <w:pStyle w:val="SDMTableBoxParaNotNumbered"/>
              <w:rPr>
                <w:rFonts w:cs="Arial"/>
              </w:rPr>
            </w:pPr>
            <w:r w:rsidRPr="00B23B70">
              <w:rPr>
                <w:rFonts w:cs="Arial"/>
              </w:rPr>
              <w:t>P</w:t>
            </w:r>
            <w:r w:rsidR="56D91EEC" w:rsidRPr="00B23B70">
              <w:rPr>
                <w:rFonts w:cs="Arial"/>
              </w:rPr>
              <w:t>eriod</w:t>
            </w:r>
            <w:r w:rsidR="007116DD" w:rsidRPr="00B23B70">
              <w:rPr>
                <w:rFonts w:cs="Arial"/>
              </w:rPr>
              <w:t xml:space="preserve"> for which the emission factor for electricity generation is determined (see </w:t>
            </w:r>
            <w:r w:rsidR="00E02229" w:rsidRPr="00B23B70">
              <w:rPr>
                <w:rFonts w:cs="Arial"/>
              </w:rPr>
              <w:t>paragraph</w:t>
            </w:r>
            <w:r w:rsidR="007967A9">
              <w:rPr>
                <w:rFonts w:cs="Arial"/>
              </w:rPr>
              <w:t> </w:t>
            </w:r>
            <w:r w:rsidR="00962CCB" w:rsidRPr="00B23B70">
              <w:rPr>
                <w:rFonts w:cs="Arial"/>
              </w:rPr>
              <w:fldChar w:fldCharType="begin"/>
            </w:r>
            <w:r w:rsidR="00962CCB" w:rsidRPr="00B23B70">
              <w:rPr>
                <w:rFonts w:cs="Arial"/>
              </w:rPr>
              <w:instrText xml:space="preserve"> REF _Ref219693154 \w \h </w:instrText>
            </w:r>
            <w:r w:rsidR="00B23B70" w:rsidRPr="00B23B70">
              <w:rPr>
                <w:rFonts w:cs="Arial"/>
              </w:rPr>
              <w:instrText xml:space="preserve"> \* MERGEFORMAT </w:instrText>
            </w:r>
            <w:r w:rsidR="00962CCB" w:rsidRPr="00B23B70">
              <w:rPr>
                <w:rFonts w:cs="Arial"/>
              </w:rPr>
            </w:r>
            <w:r w:rsidR="00962CCB" w:rsidRPr="00B23B70">
              <w:rPr>
                <w:rFonts w:cs="Arial"/>
              </w:rPr>
              <w:fldChar w:fldCharType="separate"/>
            </w:r>
            <w:r w:rsidR="00D811A8">
              <w:rPr>
                <w:rFonts w:cs="Arial"/>
                <w:cs/>
              </w:rPr>
              <w:t>‎</w:t>
            </w:r>
            <w:r w:rsidR="00D811A8">
              <w:rPr>
                <w:rFonts w:cs="Arial"/>
              </w:rPr>
              <w:t>116</w:t>
            </w:r>
            <w:r w:rsidR="00962CCB" w:rsidRPr="00B23B70">
              <w:rPr>
                <w:rFonts w:cs="Arial"/>
              </w:rPr>
              <w:fldChar w:fldCharType="end"/>
            </w:r>
            <w:r w:rsidR="007116DD" w:rsidRPr="00B23B70">
              <w:rPr>
                <w:rFonts w:cs="Arial"/>
              </w:rPr>
              <w:t>)</w:t>
            </w:r>
          </w:p>
        </w:tc>
      </w:tr>
    </w:tbl>
    <w:p w14:paraId="55DFF279" w14:textId="77777777" w:rsidR="00C07F4A" w:rsidRDefault="00C07F4A" w:rsidP="00C72647">
      <w:pPr>
        <w:pStyle w:val="SDMPara"/>
        <w:keepNext/>
      </w:pPr>
      <w:bookmarkStart w:id="585" w:name="_Ref219693154"/>
      <w:r>
        <w:t>The period</w:t>
      </w:r>
      <w:r w:rsidR="00B141B0">
        <w:t> </w:t>
      </w:r>
      <w:r w:rsidRPr="00604E75">
        <w:rPr>
          <w:i/>
          <w:iCs/>
        </w:rPr>
        <w:t>t</w:t>
      </w:r>
      <w:r>
        <w:t xml:space="preserve"> </w:t>
      </w:r>
      <w:r w:rsidR="00B5700C">
        <w:t>shall</w:t>
      </w:r>
      <w:r>
        <w:t xml:space="preserve"> correspond to:</w:t>
      </w:r>
      <w:bookmarkEnd w:id="585"/>
    </w:p>
    <w:p w14:paraId="0B65F323" w14:textId="551C4E7E" w:rsidR="00C07F4A" w:rsidRDefault="11E3B292" w:rsidP="00C72647">
      <w:pPr>
        <w:pStyle w:val="SDMSubPara1"/>
        <w:keepNext/>
      </w:pPr>
      <w:r>
        <w:t>The monitored period (e.g.</w:t>
      </w:r>
      <w:r w:rsidR="0BD8E990">
        <w:t>,</w:t>
      </w:r>
      <w:r>
        <w:t xml:space="preserve"> the year</w:t>
      </w:r>
      <w:r w:rsidR="00B141B0">
        <w:t> </w:t>
      </w:r>
      <w:r w:rsidRPr="00465F76">
        <w:rPr>
          <w:i/>
        </w:rPr>
        <w:t>y</w:t>
      </w:r>
      <w:r>
        <w:t>) for</w:t>
      </w:r>
      <w:r w:rsidR="70609787">
        <w:t>:</w:t>
      </w:r>
    </w:p>
    <w:p w14:paraId="612D3DC2" w14:textId="77777777" w:rsidR="00C07F4A" w:rsidRDefault="6A808FA9">
      <w:pPr>
        <w:pStyle w:val="SDMSubPara2"/>
      </w:pPr>
      <w:r>
        <w:t xml:space="preserve">Determining </w:t>
      </w:r>
      <w:r w:rsidR="41E4288A">
        <w:t>p</w:t>
      </w:r>
      <w:r w:rsidR="0C4BA903">
        <w:t>roject</w:t>
      </w:r>
      <w:r w:rsidR="11E3B292">
        <w:t xml:space="preserve"> and leakage</w:t>
      </w:r>
      <w:r w:rsidR="5D54B44E">
        <w:t xml:space="preserve"> emissions of</w:t>
      </w:r>
      <w:r w:rsidR="11E3B292">
        <w:t xml:space="preserve"> electricity consumption </w:t>
      </w:r>
      <w:r w:rsidR="00B365B0">
        <w:t>source </w:t>
      </w:r>
      <w:r w:rsidR="00B365B0" w:rsidRPr="00F77076">
        <w:rPr>
          <w:i/>
          <w:iCs/>
        </w:rPr>
        <w:t>s</w:t>
      </w:r>
      <w:r w:rsidR="11E3B292">
        <w:t>;</w:t>
      </w:r>
      <w:r w:rsidR="6814BD07">
        <w:t xml:space="preserve"> or</w:t>
      </w:r>
    </w:p>
    <w:p w14:paraId="1FA73696" w14:textId="4780380A" w:rsidR="00C07F4A" w:rsidRDefault="1935C55D">
      <w:pPr>
        <w:pStyle w:val="SDMSubPara2"/>
      </w:pPr>
      <w:r>
        <w:t>Determining</w:t>
      </w:r>
      <w:r w:rsidR="6814BD07">
        <w:t xml:space="preserve"> </w:t>
      </w:r>
      <w:r w:rsidR="15D318F4">
        <w:t>b</w:t>
      </w:r>
      <w:r w:rsidR="0C4BA903">
        <w:t>aseline</w:t>
      </w:r>
      <w:r w:rsidR="79DD1B73">
        <w:t xml:space="preserve"> </w:t>
      </w:r>
      <w:r w:rsidR="3D408C1C">
        <w:t>emissions</w:t>
      </w:r>
      <w:r w:rsidR="0F69372B">
        <w:t xml:space="preserve"> </w:t>
      </w:r>
      <w:r w:rsidR="5B67ACCB">
        <w:t>where</w:t>
      </w:r>
      <w:r w:rsidR="0F69372B">
        <w:t xml:space="preserve"> </w:t>
      </w:r>
      <w:r w:rsidR="11E3B292">
        <w:t xml:space="preserve">existing or new captive power plant(s) are operated at the site of the </w:t>
      </w:r>
      <w:r w:rsidR="2E1A918D">
        <w:t xml:space="preserve">electricity </w:t>
      </w:r>
      <w:r w:rsidR="10B536E5">
        <w:t>generation</w:t>
      </w:r>
      <w:r w:rsidR="00EE5FC1">
        <w:t xml:space="preserve"> or </w:t>
      </w:r>
      <w:r w:rsidR="13FB72B8">
        <w:t xml:space="preserve">consumption </w:t>
      </w:r>
      <w:r w:rsidR="007F5A45">
        <w:t>source </w:t>
      </w:r>
      <w:r w:rsidR="007F5A45" w:rsidRPr="00563551">
        <w:rPr>
          <w:i/>
          <w:iCs/>
        </w:rPr>
        <w:t>s</w:t>
      </w:r>
      <w:r w:rsidR="56A50451">
        <w:t xml:space="preserve"> during the monitored period</w:t>
      </w:r>
      <w:r w:rsidR="00CD0585">
        <w:t>; or</w:t>
      </w:r>
    </w:p>
    <w:p w14:paraId="6CE5DCAD" w14:textId="649A1A85" w:rsidR="00C07F4A" w:rsidRDefault="11E3B292">
      <w:pPr>
        <w:pStyle w:val="SDMSubPara1"/>
      </w:pPr>
      <w:r>
        <w:t xml:space="preserve">The most recent </w:t>
      </w:r>
      <w:r w:rsidR="00CD0585">
        <w:t xml:space="preserve">three </w:t>
      </w:r>
      <w:r>
        <w:t xml:space="preserve">historical years prior to the implementation of the </w:t>
      </w:r>
      <w:r w:rsidR="000F0C4B">
        <w:t>Article 6.4</w:t>
      </w:r>
      <w:r>
        <w:t xml:space="preserve"> activity for </w:t>
      </w:r>
      <w:r w:rsidR="19068CCA">
        <w:t>determi</w:t>
      </w:r>
      <w:r w:rsidR="544F07C6">
        <w:t>ni</w:t>
      </w:r>
      <w:r w:rsidR="19068CCA">
        <w:t xml:space="preserve">ng </w:t>
      </w:r>
      <w:r>
        <w:t>baseline</w:t>
      </w:r>
      <w:r w:rsidR="7037271E">
        <w:t xml:space="preserve"> emissions</w:t>
      </w:r>
      <w:r>
        <w:t xml:space="preserve"> </w:t>
      </w:r>
      <w:r w:rsidR="23C3BB1E">
        <w:t>where</w:t>
      </w:r>
      <w:r>
        <w:t xml:space="preserve"> no captive power plant is operated at the site of the </w:t>
      </w:r>
      <w:r w:rsidR="290684E0">
        <w:t>electricity generation</w:t>
      </w:r>
      <w:r w:rsidR="00CF1DFE">
        <w:t xml:space="preserve"> or </w:t>
      </w:r>
      <w:r w:rsidR="290684E0">
        <w:t xml:space="preserve">consumption </w:t>
      </w:r>
      <w:r w:rsidR="007F5A45">
        <w:t>source </w:t>
      </w:r>
      <w:r w:rsidR="007F5A45" w:rsidRPr="00563551">
        <w:rPr>
          <w:i/>
          <w:iCs/>
        </w:rPr>
        <w:t>s</w:t>
      </w:r>
      <w:r w:rsidR="290684E0">
        <w:t xml:space="preserve"> during the monitored period</w:t>
      </w:r>
      <w:r>
        <w:t>.</w:t>
      </w:r>
    </w:p>
    <w:p w14:paraId="494FBDED" w14:textId="7E378427" w:rsidR="00C07F4A" w:rsidRDefault="00C07F4A" w:rsidP="00C72647">
      <w:pPr>
        <w:pStyle w:val="SDMPara"/>
        <w:keepNext/>
      </w:pPr>
      <w:r>
        <w:t>The average CO</w:t>
      </w:r>
      <w:r w:rsidRPr="00A02BC1">
        <w:rPr>
          <w:vertAlign w:val="subscript"/>
        </w:rPr>
        <w:t>2</w:t>
      </w:r>
      <w:r>
        <w:t xml:space="preserve"> emission factor of the fossil fuels fired in </w:t>
      </w:r>
      <w:r w:rsidR="3234B163">
        <w:t xml:space="preserve">fossil-fuel fired </w:t>
      </w:r>
      <w:r>
        <w:t>captive power plant</w:t>
      </w:r>
      <w:r w:rsidR="0002672B">
        <w:t> </w:t>
      </w:r>
      <w:r w:rsidR="6F0C42AD" w:rsidRPr="00465F76">
        <w:rPr>
          <w:i/>
          <w:iCs/>
        </w:rPr>
        <w:t>p</w:t>
      </w:r>
      <w:r>
        <w:t xml:space="preserve"> (</w:t>
      </w:r>
      <w:r w:rsidRPr="00315B83">
        <w:rPr>
          <w:i/>
          <w:iCs/>
        </w:rPr>
        <w:t>EF</w:t>
      </w:r>
      <w:r w:rsidRPr="00315B83">
        <w:rPr>
          <w:i/>
          <w:iCs/>
          <w:vertAlign w:val="subscript"/>
        </w:rPr>
        <w:t>CO</w:t>
      </w:r>
      <w:r w:rsidR="00A02BC1" w:rsidRPr="00315B83">
        <w:rPr>
          <w:i/>
          <w:iCs/>
          <w:vertAlign w:val="subscript"/>
        </w:rPr>
        <w:t>2</w:t>
      </w:r>
      <w:r w:rsidRPr="00315B83">
        <w:rPr>
          <w:i/>
          <w:iCs/>
          <w:vertAlign w:val="subscript"/>
        </w:rPr>
        <w:t>,</w:t>
      </w:r>
      <w:r w:rsidR="23623509" w:rsidRPr="07B1BF5F">
        <w:rPr>
          <w:i/>
          <w:iCs/>
          <w:vertAlign w:val="subscript"/>
        </w:rPr>
        <w:t>p</w:t>
      </w:r>
      <w:r w:rsidRPr="00315B83">
        <w:rPr>
          <w:i/>
          <w:iCs/>
          <w:vertAlign w:val="subscript"/>
        </w:rPr>
        <w:t>,t</w:t>
      </w:r>
      <w:r>
        <w:t xml:space="preserve">) </w:t>
      </w:r>
      <w:r w:rsidR="0002672B">
        <w:t>shall be</w:t>
      </w:r>
      <w:r>
        <w:t xml:space="preserve"> determined as follows:</w:t>
      </w:r>
    </w:p>
    <w:p w14:paraId="1336084A" w14:textId="755974C5" w:rsidR="00C07F4A" w:rsidRDefault="0085647E">
      <w:pPr>
        <w:pStyle w:val="SDMSubPara1"/>
      </w:pPr>
      <w:r>
        <w:t>Where a</w:t>
      </w:r>
      <w:r w:rsidR="00C07F4A">
        <w:t xml:space="preserve"> </w:t>
      </w:r>
      <w:r w:rsidR="37DCA865">
        <w:t>fossil-fuel fired</w:t>
      </w:r>
      <w:r w:rsidR="00C07F4A">
        <w:t xml:space="preserve"> captive power plant</w:t>
      </w:r>
      <w:r>
        <w:t xml:space="preserve"> has used</w:t>
      </w:r>
      <w:r w:rsidR="00C07F4A">
        <w:t xml:space="preserve"> only </w:t>
      </w:r>
      <w:r w:rsidR="00AC33E8">
        <w:t xml:space="preserve">a </w:t>
      </w:r>
      <w:r w:rsidR="00C07F4A">
        <w:t xml:space="preserve">single fuel type since the start of operation (except </w:t>
      </w:r>
      <w:r w:rsidR="73FB0075">
        <w:t xml:space="preserve">for a </w:t>
      </w:r>
      <w:r w:rsidR="00C07F4A">
        <w:t>small amount of start-up fuel), use the CO</w:t>
      </w:r>
      <w:r w:rsidR="00C07F4A" w:rsidRPr="00315B83">
        <w:rPr>
          <w:vertAlign w:val="subscript"/>
        </w:rPr>
        <w:t>2</w:t>
      </w:r>
      <w:r w:rsidR="00C07F4A">
        <w:t xml:space="preserve"> emission factor of that fuel type (</w:t>
      </w:r>
      <w:r w:rsidR="00EA6D31">
        <w:t xml:space="preserve">i.e., </w:t>
      </w:r>
      <w:r w:rsidR="00C07F4A" w:rsidRPr="00315B83">
        <w:rPr>
          <w:i/>
          <w:iCs/>
        </w:rPr>
        <w:t>EF</w:t>
      </w:r>
      <w:r w:rsidR="00C07F4A" w:rsidRPr="00315B83">
        <w:rPr>
          <w:i/>
          <w:iCs/>
          <w:vertAlign w:val="subscript"/>
        </w:rPr>
        <w:t>CO2,</w:t>
      </w:r>
      <w:r w:rsidR="23623509" w:rsidRPr="07B1BF5F">
        <w:rPr>
          <w:i/>
          <w:iCs/>
          <w:vertAlign w:val="subscript"/>
        </w:rPr>
        <w:t>p</w:t>
      </w:r>
      <w:r w:rsidR="00C07F4A" w:rsidRPr="00315B83">
        <w:rPr>
          <w:i/>
          <w:iCs/>
          <w:vertAlign w:val="subscript"/>
        </w:rPr>
        <w:t>,t</w:t>
      </w:r>
      <w:r w:rsidR="00C07F4A">
        <w:t xml:space="preserve"> = </w:t>
      </w:r>
      <w:r w:rsidR="00C07F4A" w:rsidRPr="00315B83">
        <w:rPr>
          <w:i/>
          <w:iCs/>
        </w:rPr>
        <w:t>EF</w:t>
      </w:r>
      <w:r w:rsidR="00C07F4A" w:rsidRPr="00315B83">
        <w:rPr>
          <w:i/>
          <w:iCs/>
          <w:vertAlign w:val="subscript"/>
        </w:rPr>
        <w:t>CO2,i</w:t>
      </w:r>
      <w:r w:rsidR="00C07F4A" w:rsidRPr="00315B83">
        <w:rPr>
          <w:i/>
          <w:iCs/>
        </w:rPr>
        <w:t>)</w:t>
      </w:r>
      <w:r w:rsidR="00C07F4A">
        <w:t>;</w:t>
      </w:r>
      <w:r w:rsidR="00EA6D31">
        <w:t xml:space="preserve"> or</w:t>
      </w:r>
    </w:p>
    <w:p w14:paraId="1AE8B489" w14:textId="2A00C231" w:rsidR="00C07F4A" w:rsidRDefault="00EA6D31" w:rsidP="00C72647">
      <w:pPr>
        <w:pStyle w:val="SDMSubPara1"/>
        <w:keepNext/>
      </w:pPr>
      <w:r>
        <w:t>Where a</w:t>
      </w:r>
      <w:r w:rsidR="11E3B292">
        <w:t xml:space="preserve"> </w:t>
      </w:r>
      <w:r w:rsidR="06368072">
        <w:t>fossil-fuel fired</w:t>
      </w:r>
      <w:r w:rsidR="11E3B292">
        <w:t xml:space="preserve"> captive power plant</w:t>
      </w:r>
      <w:r>
        <w:t xml:space="preserve"> has </w:t>
      </w:r>
      <w:r w:rsidR="11E3B292">
        <w:t xml:space="preserve">used multiple fuel types since the start of operation, </w:t>
      </w:r>
      <w:r w:rsidR="00884391">
        <w:t>apply one of</w:t>
      </w:r>
      <w:r w:rsidR="11E3B292">
        <w:t xml:space="preserve"> the following options:</w:t>
      </w:r>
    </w:p>
    <w:p w14:paraId="6C62A157" w14:textId="2C47F8C8" w:rsidR="00C07F4A" w:rsidRDefault="11E3B292">
      <w:pPr>
        <w:pStyle w:val="SDMSubPara2"/>
      </w:pPr>
      <w:r>
        <w:t>For</w:t>
      </w:r>
      <w:r w:rsidR="77A8A14F" w:rsidDel="00884391">
        <w:t xml:space="preserve"> </w:t>
      </w:r>
      <w:r w:rsidR="00884391" w:rsidRPr="00884391">
        <w:rPr>
          <w:b/>
          <w:bCs/>
        </w:rPr>
        <w:t>case</w:t>
      </w:r>
      <w:r w:rsidR="00B23B70">
        <w:rPr>
          <w:b/>
          <w:bCs/>
        </w:rPr>
        <w:t> </w:t>
      </w:r>
      <w:r w:rsidR="77A8A14F" w:rsidRPr="00884391">
        <w:rPr>
          <w:b/>
          <w:bCs/>
        </w:rPr>
        <w:t>1</w:t>
      </w:r>
      <w:r>
        <w:t>, use the fuel type with the highest</w:t>
      </w:r>
      <w:r w:rsidR="0033417D">
        <w:t xml:space="preserve"> </w:t>
      </w:r>
      <w:r>
        <w:t>CO</w:t>
      </w:r>
      <w:r w:rsidRPr="3B057DA6">
        <w:rPr>
          <w:vertAlign w:val="subscript"/>
        </w:rPr>
        <w:t>2</w:t>
      </w:r>
      <w:r>
        <w:t xml:space="preserve"> emission factor (</w:t>
      </w:r>
      <w:r w:rsidRPr="3B057DA6">
        <w:rPr>
          <w:i/>
          <w:iCs/>
        </w:rPr>
        <w:t>EF</w:t>
      </w:r>
      <w:r w:rsidRPr="3B057DA6">
        <w:rPr>
          <w:i/>
          <w:iCs/>
          <w:vertAlign w:val="subscript"/>
        </w:rPr>
        <w:t>CO2,i,t</w:t>
      </w:r>
      <w:r>
        <w:t xml:space="preserve">) among the fuel types </w:t>
      </w:r>
      <w:r w:rsidR="00884391">
        <w:t xml:space="preserve">from </w:t>
      </w:r>
      <w:r>
        <w:t xml:space="preserve">the start of the project activity </w:t>
      </w:r>
      <w:r w:rsidR="00EA4C4C">
        <w:t xml:space="preserve">to </w:t>
      </w:r>
      <w:r>
        <w:t>the end of the monitored period in question;</w:t>
      </w:r>
    </w:p>
    <w:p w14:paraId="1ED481F1" w14:textId="69C0C02D" w:rsidR="365AD78C" w:rsidRDefault="365AD78C">
      <w:pPr>
        <w:pStyle w:val="SDMSubPara2"/>
      </w:pPr>
      <w:r>
        <w:t>For</w:t>
      </w:r>
      <w:r w:rsidDel="00884391">
        <w:t xml:space="preserve"> </w:t>
      </w:r>
      <w:r w:rsidR="00884391" w:rsidRPr="1D3D9ED6">
        <w:rPr>
          <w:b/>
          <w:bCs/>
        </w:rPr>
        <w:t>c</w:t>
      </w:r>
      <w:r w:rsidR="00884391" w:rsidRPr="00574323">
        <w:rPr>
          <w:b/>
          <w:bCs/>
        </w:rPr>
        <w:t>ase</w:t>
      </w:r>
      <w:r w:rsidR="004F7EDA" w:rsidRPr="00261BB7">
        <w:rPr>
          <w:b/>
          <w:bCs/>
        </w:rPr>
        <w:t> </w:t>
      </w:r>
      <w:r w:rsidRPr="00574323">
        <w:rPr>
          <w:b/>
          <w:bCs/>
        </w:rPr>
        <w:t>2</w:t>
      </w:r>
      <w:r>
        <w:t>, use the fuel type with the lowest CO</w:t>
      </w:r>
      <w:r w:rsidRPr="00574323">
        <w:rPr>
          <w:vertAlign w:val="subscript"/>
        </w:rPr>
        <w:t>2</w:t>
      </w:r>
      <w:r>
        <w:t xml:space="preserve"> emission factor (</w:t>
      </w:r>
      <w:r w:rsidRPr="00261BB7">
        <w:t>EF</w:t>
      </w:r>
      <w:r w:rsidRPr="00261BB7">
        <w:rPr>
          <w:vertAlign w:val="subscript"/>
        </w:rPr>
        <w:t>CO2,i,t</w:t>
      </w:r>
      <w:r>
        <w:t xml:space="preserve">) among the fuel types </w:t>
      </w:r>
      <w:r w:rsidR="004A0CC7">
        <w:t xml:space="preserve">from the start of the </w:t>
      </w:r>
      <w:r w:rsidR="008E6013">
        <w:t>Article 6.4</w:t>
      </w:r>
      <w:r w:rsidR="004A0CC7">
        <w:t xml:space="preserve"> activity to the end of the monitored period in question</w:t>
      </w:r>
      <w:r w:rsidR="008E6013">
        <w:t xml:space="preserve">, or where the </w:t>
      </w:r>
      <w:r w:rsidR="0F198A09">
        <w:t xml:space="preserve">fossil-fuel fired </w:t>
      </w:r>
      <w:r w:rsidR="008E6013">
        <w:t>captive power plant would only operate in the baseline scenario,</w:t>
      </w:r>
      <w:r w:rsidR="004A0CC7" w:rsidDel="00B67357">
        <w:t xml:space="preserve"> </w:t>
      </w:r>
      <w:r w:rsidR="00051058">
        <w:t>use the fuel type with the lowest CO</w:t>
      </w:r>
      <w:r w:rsidR="00051058" w:rsidRPr="00A33C09">
        <w:rPr>
          <w:vertAlign w:val="subscript"/>
        </w:rPr>
        <w:t>2</w:t>
      </w:r>
      <w:r w:rsidR="00051058">
        <w:t xml:space="preserve"> emission factor among the fuel types</w:t>
      </w:r>
      <w:r w:rsidR="00051058" w:rsidDel="00B67357">
        <w:t xml:space="preserve"> </w:t>
      </w:r>
      <w:r>
        <w:t xml:space="preserve">used in the </w:t>
      </w:r>
      <w:r w:rsidR="72673FDB">
        <w:t>most recent three years</w:t>
      </w:r>
      <w:r w:rsidR="00924518">
        <w:t xml:space="preserve"> </w:t>
      </w:r>
      <w:r>
        <w:t>prior to the</w:t>
      </w:r>
      <w:r w:rsidR="00924518">
        <w:t xml:space="preserve"> </w:t>
      </w:r>
      <w:r w:rsidR="355B4EB6">
        <w:t>implementation of the Article 6.4 activity</w:t>
      </w:r>
      <w:r>
        <w:t>;</w:t>
      </w:r>
      <w:r w:rsidR="00B67357">
        <w:t xml:space="preserve"> </w:t>
      </w:r>
      <w:r w:rsidR="00460100">
        <w:t>or</w:t>
      </w:r>
    </w:p>
    <w:p w14:paraId="5989AD6D" w14:textId="67E9B89A" w:rsidR="008E0D2F" w:rsidRDefault="006D3A3F" w:rsidP="00C72647">
      <w:pPr>
        <w:pStyle w:val="SDMSubPara2"/>
        <w:keepNext/>
      </w:pPr>
      <w:r w:rsidRPr="006D3A3F">
        <w:t>Calculate an average CO</w:t>
      </w:r>
      <w:r w:rsidRPr="0086170A">
        <w:rPr>
          <w:vertAlign w:val="subscript"/>
        </w:rPr>
        <w:t>2</w:t>
      </w:r>
      <w:r w:rsidRPr="006D3A3F">
        <w:t xml:space="preserve"> emission factor for period</w:t>
      </w:r>
      <w:r w:rsidR="00275649">
        <w:t> </w:t>
      </w:r>
      <w:r w:rsidRPr="00E941E8">
        <w:rPr>
          <w:i/>
          <w:iCs/>
        </w:rPr>
        <w:t>t</w:t>
      </w:r>
      <w:r w:rsidRPr="006D3A3F">
        <w:t>, provided that the decision on the fuel mix is outside the control of the activity participants (e.g</w:t>
      </w:r>
      <w:r>
        <w:t>.</w:t>
      </w:r>
      <w:r w:rsidR="320BAB45">
        <w:t>,</w:t>
      </w:r>
      <w:r w:rsidRPr="006D3A3F">
        <w:t xml:space="preserve"> </w:t>
      </w:r>
      <w:r w:rsidR="00DF50F0">
        <w:t xml:space="preserve">for </w:t>
      </w:r>
      <w:r w:rsidRPr="006D3A3F">
        <w:t>leakage electricity consumers</w:t>
      </w:r>
      <w:r w:rsidR="006D03EA">
        <w:t>,</w:t>
      </w:r>
      <w:r w:rsidRPr="006D3A3F">
        <w:t xml:space="preserve"> or where the fuel mix is fixed </w:t>
      </w:r>
      <w:r w:rsidR="006D03EA">
        <w:t>by</w:t>
      </w:r>
      <w:r w:rsidRPr="006D3A3F">
        <w:t xml:space="preserve"> regulation or determined by a centralized dispatch authority</w:t>
      </w:r>
      <w:r w:rsidR="0084330B">
        <w:t>)</w:t>
      </w:r>
      <w:r w:rsidRPr="006D3A3F">
        <w:t>, as follows:</w:t>
      </w:r>
    </w:p>
    <w:tbl>
      <w:tblPr>
        <w:tblStyle w:val="SDMMethTableEquation"/>
        <w:tblW w:w="7361" w:type="dxa"/>
        <w:tblInd w:w="2019" w:type="dxa"/>
        <w:tblLook w:val="0600" w:firstRow="0" w:lastRow="0" w:firstColumn="0" w:lastColumn="0" w:noHBand="1" w:noVBand="1"/>
      </w:tblPr>
      <w:tblGrid>
        <w:gridCol w:w="5778"/>
        <w:gridCol w:w="1583"/>
      </w:tblGrid>
      <w:tr w:rsidR="00900C67" w:rsidRPr="00E32F75" w14:paraId="4F35981D" w14:textId="77777777" w:rsidTr="001012AE">
        <w:trPr>
          <w:trHeight w:val="300"/>
        </w:trPr>
        <w:tc>
          <w:tcPr>
            <w:tcW w:w="5778" w:type="dxa"/>
          </w:tcPr>
          <w:p w14:paraId="11CF1541" w14:textId="6795386E" w:rsidR="00900C67" w:rsidRPr="00B23B70" w:rsidRDefault="00000000" w:rsidP="00F423CA">
            <w:pPr>
              <w:pStyle w:val="SDMMethEquation"/>
            </w:pPr>
            <m:oMathPara>
              <m:oMathParaPr>
                <m:jc m:val="left"/>
              </m:oMathParaPr>
              <m:oMath>
                <m:sSub>
                  <m:sSubPr>
                    <m:ctrlPr>
                      <w:rPr>
                        <w:rFonts w:ascii="Cambria Math" w:hAnsi="Cambria Math"/>
                        <w:i/>
                      </w:rPr>
                    </m:ctrlPr>
                  </m:sSubPr>
                  <m:e>
                    <m:r>
                      <w:rPr>
                        <w:rFonts w:ascii="Cambria Math" w:hAnsi="Cambria Math"/>
                      </w:rPr>
                      <m:t>EF</m:t>
                    </m:r>
                  </m:e>
                  <m:sub>
                    <m:r>
                      <w:rPr>
                        <w:rFonts w:ascii="Cambria Math" w:hAnsi="Cambria Math"/>
                      </w:rPr>
                      <m:t>CO2,p,t</m:t>
                    </m:r>
                  </m:sub>
                </m:sSub>
                <m:r>
                  <w:rPr>
                    <w:rFonts w:ascii="Cambria Math" w:hAnsi="Cambria Math"/>
                  </w:rPr>
                  <m:t>=</m:t>
                </m:r>
                <m:f>
                  <m:fPr>
                    <m:ctrlPr>
                      <w:rPr>
                        <w:rFonts w:ascii="Cambria Math" w:hAnsi="Cambria Math"/>
                        <w:i/>
                      </w:rPr>
                    </m:ctrlPr>
                  </m:fPr>
                  <m:num>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FC</m:t>
                            </m:r>
                          </m:e>
                          <m:sub>
                            <m:r>
                              <w:rPr>
                                <w:rFonts w:ascii="Cambria Math" w:hAnsi="Cambria Math"/>
                              </w:rPr>
                              <m:t>i,p,t</m:t>
                            </m:r>
                          </m:sub>
                        </m:sSub>
                        <m:r>
                          <w:rPr>
                            <w:rFonts w:ascii="Cambria Math" w:hAnsi="Cambria Math"/>
                          </w:rPr>
                          <m:t>×</m:t>
                        </m:r>
                        <m:sSub>
                          <m:sSubPr>
                            <m:ctrlPr>
                              <w:rPr>
                                <w:rFonts w:ascii="Cambria Math" w:hAnsi="Cambria Math"/>
                                <w:i/>
                              </w:rPr>
                            </m:ctrlPr>
                          </m:sSubPr>
                          <m:e>
                            <m:r>
                              <w:rPr>
                                <w:rFonts w:ascii="Cambria Math" w:hAnsi="Cambria Math"/>
                              </w:rPr>
                              <m:t>NCV</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CO2,i,t</m:t>
                            </m:r>
                          </m:sub>
                        </m:sSub>
                      </m:e>
                    </m:nary>
                  </m:num>
                  <m:den>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FC</m:t>
                            </m:r>
                          </m:e>
                          <m:sub>
                            <m:r>
                              <w:rPr>
                                <w:rFonts w:ascii="Cambria Math" w:hAnsi="Cambria Math"/>
                              </w:rPr>
                              <m:t>p,i,t</m:t>
                            </m:r>
                          </m:sub>
                        </m:sSub>
                        <m:r>
                          <w:rPr>
                            <w:rFonts w:ascii="Cambria Math" w:hAnsi="Cambria Math"/>
                          </w:rPr>
                          <m:t>×</m:t>
                        </m:r>
                        <m:sSub>
                          <m:sSubPr>
                            <m:ctrlPr>
                              <w:rPr>
                                <w:rFonts w:ascii="Cambria Math" w:hAnsi="Cambria Math"/>
                                <w:i/>
                              </w:rPr>
                            </m:ctrlPr>
                          </m:sSubPr>
                          <m:e>
                            <m:r>
                              <w:rPr>
                                <w:rFonts w:ascii="Cambria Math" w:hAnsi="Cambria Math"/>
                              </w:rPr>
                              <m:t>NCV</m:t>
                            </m:r>
                          </m:e>
                          <m:sub>
                            <m:r>
                              <w:rPr>
                                <w:rFonts w:ascii="Cambria Math" w:hAnsi="Cambria Math"/>
                              </w:rPr>
                              <m:t>i,t</m:t>
                            </m:r>
                          </m:sub>
                        </m:sSub>
                      </m:e>
                    </m:nary>
                  </m:den>
                </m:f>
              </m:oMath>
            </m:oMathPara>
          </w:p>
        </w:tc>
        <w:tc>
          <w:tcPr>
            <w:tcW w:w="1583" w:type="dxa"/>
          </w:tcPr>
          <w:p w14:paraId="506F0C3E" w14:textId="77777777" w:rsidR="00900C67" w:rsidRPr="002B6960" w:rsidRDefault="00900C67">
            <w:pPr>
              <w:pStyle w:val="SDMMethEquationNr"/>
              <w:numPr>
                <w:ilvl w:val="0"/>
                <w:numId w:val="6"/>
              </w:numPr>
            </w:pPr>
          </w:p>
        </w:tc>
      </w:tr>
    </w:tbl>
    <w:p w14:paraId="56197876" w14:textId="77777777" w:rsidR="00900C67" w:rsidRDefault="00900C67" w:rsidP="00C72647">
      <w:pPr>
        <w:pStyle w:val="SDMMethCaptionEquationParametersTable"/>
      </w:pPr>
      <w:r>
        <w:t>Where:</w:t>
      </w:r>
    </w:p>
    <w:tbl>
      <w:tblPr>
        <w:tblStyle w:val="SDMMethTableEquationParameters"/>
        <w:tblW w:w="8760" w:type="dxa"/>
        <w:tblInd w:w="709" w:type="dxa"/>
        <w:tblLook w:val="04A0" w:firstRow="1" w:lastRow="0" w:firstColumn="1" w:lastColumn="0" w:noHBand="0" w:noVBand="1"/>
      </w:tblPr>
      <w:tblGrid>
        <w:gridCol w:w="1701"/>
        <w:gridCol w:w="345"/>
        <w:gridCol w:w="6714"/>
      </w:tblGrid>
      <w:tr w:rsidR="00900C67" w14:paraId="7EFEF071" w14:textId="77777777" w:rsidTr="00A25D4E">
        <w:trPr>
          <w:trHeight w:val="300"/>
        </w:trPr>
        <w:tc>
          <w:tcPr>
            <w:tcW w:w="1701" w:type="dxa"/>
            <w:vAlign w:val="top"/>
          </w:tcPr>
          <w:p w14:paraId="2A2F1E3C" w14:textId="77777777" w:rsidR="00900C67" w:rsidRPr="00AC38E9" w:rsidRDefault="00000000" w:rsidP="00A25D4E">
            <w:pPr>
              <w:pStyle w:val="SDMTableBoxParaNotNumbered"/>
            </w:pPr>
            <m:oMathPara>
              <m:oMathParaPr>
                <m:jc m:val="left"/>
              </m:oMathParaPr>
              <m:oMath>
                <m:sSub>
                  <m:sSubPr>
                    <m:ctrlPr>
                      <w:rPr>
                        <w:rFonts w:ascii="Cambria Math" w:hAnsi="Cambria Math" w:cs="Arial"/>
                        <w:i/>
                        <w:szCs w:val="22"/>
                      </w:rPr>
                    </m:ctrlPr>
                  </m:sSubPr>
                  <m:e>
                    <m:r>
                      <w:rPr>
                        <w:rFonts w:ascii="Cambria Math" w:hAnsi="Cambria Math" w:cs="Arial"/>
                        <w:szCs w:val="22"/>
                      </w:rPr>
                      <m:t>EF</m:t>
                    </m:r>
                  </m:e>
                  <m:sub>
                    <m:r>
                      <w:rPr>
                        <w:rFonts w:ascii="Cambria Math" w:hAnsi="Cambria Math" w:cs="Arial"/>
                        <w:szCs w:val="22"/>
                      </w:rPr>
                      <m:t>CO2,p,t</m:t>
                    </m:r>
                  </m:sub>
                </m:sSub>
              </m:oMath>
            </m:oMathPara>
          </w:p>
        </w:tc>
        <w:tc>
          <w:tcPr>
            <w:tcW w:w="345" w:type="dxa"/>
            <w:vAlign w:val="top"/>
          </w:tcPr>
          <w:p w14:paraId="6CA7B5B1" w14:textId="77777777" w:rsidR="00900C67" w:rsidRDefault="00900C67" w:rsidP="00A25D4E">
            <w:pPr>
              <w:pStyle w:val="SDMTableBoxParaNotNumbered"/>
            </w:pPr>
            <w:r>
              <w:t>=</w:t>
            </w:r>
          </w:p>
        </w:tc>
        <w:tc>
          <w:tcPr>
            <w:tcW w:w="0" w:type="auto"/>
            <w:vAlign w:val="top"/>
          </w:tcPr>
          <w:p w14:paraId="78F23598" w14:textId="407C322F" w:rsidR="00900C67" w:rsidRDefault="00622C7C" w:rsidP="00A25D4E">
            <w:pPr>
              <w:pStyle w:val="SDMTableBoxParaNotNumbered"/>
            </w:pPr>
            <w:r w:rsidRPr="007D447E">
              <w:t>Average CO</w:t>
            </w:r>
            <w:r w:rsidRPr="007D447E">
              <w:rPr>
                <w:vertAlign w:val="subscript"/>
              </w:rPr>
              <w:t>2</w:t>
            </w:r>
            <w:r w:rsidRPr="007D447E">
              <w:t xml:space="preserve"> emission factor of the fossil fuels fired in captive power plant</w:t>
            </w:r>
            <w:r w:rsidRPr="007D447E">
              <w:rPr>
                <w:i/>
              </w:rPr>
              <w:t> </w:t>
            </w:r>
            <w:r w:rsidR="00967885" w:rsidRPr="07B1BF5F">
              <w:rPr>
                <w:i/>
                <w:iCs/>
              </w:rPr>
              <w:t>p</w:t>
            </w:r>
            <w:r w:rsidRPr="007D447E">
              <w:rPr>
                <w:i/>
              </w:rPr>
              <w:t xml:space="preserve"> </w:t>
            </w:r>
            <w:r w:rsidRPr="007D447E">
              <w:t>in period</w:t>
            </w:r>
            <w:r w:rsidRPr="007D447E">
              <w:rPr>
                <w:i/>
              </w:rPr>
              <w:t xml:space="preserve"> t </w:t>
            </w:r>
            <w:r w:rsidRPr="007D447E">
              <w:t>(t CO</w:t>
            </w:r>
            <w:r w:rsidRPr="007D447E">
              <w:rPr>
                <w:vertAlign w:val="subscript"/>
              </w:rPr>
              <w:t>2</w:t>
            </w:r>
            <w:r w:rsidRPr="007D447E">
              <w:t>/GJ)</w:t>
            </w:r>
          </w:p>
        </w:tc>
      </w:tr>
      <w:tr w:rsidR="00900C67" w14:paraId="76F326E2" w14:textId="77777777" w:rsidTr="00A25D4E">
        <w:trPr>
          <w:trHeight w:val="300"/>
        </w:trPr>
        <w:tc>
          <w:tcPr>
            <w:tcW w:w="1701" w:type="dxa"/>
            <w:vAlign w:val="top"/>
          </w:tcPr>
          <w:p w14:paraId="155B125E" w14:textId="053CE57C" w:rsidR="00900C67" w:rsidRPr="00AC38E9" w:rsidRDefault="00000000" w:rsidP="00A25D4E">
            <w:pPr>
              <w:pStyle w:val="SDMTableBoxParaNotNumbered"/>
            </w:pPr>
            <m:oMathPara>
              <m:oMathParaPr>
                <m:jc m:val="left"/>
              </m:oMathParaPr>
              <m:oMath>
                <m:sSub>
                  <m:sSubPr>
                    <m:ctrlPr>
                      <w:rPr>
                        <w:rFonts w:ascii="Cambria Math" w:hAnsi="Cambria Math" w:cs="Arial"/>
                        <w:i/>
                        <w:szCs w:val="22"/>
                      </w:rPr>
                    </m:ctrlPr>
                  </m:sSubPr>
                  <m:e>
                    <m:r>
                      <w:rPr>
                        <w:rFonts w:ascii="Cambria Math" w:hAnsi="Cambria Math" w:cs="Arial"/>
                        <w:szCs w:val="22"/>
                      </w:rPr>
                      <m:t>FC</m:t>
                    </m:r>
                  </m:e>
                  <m:sub>
                    <m:r>
                      <w:rPr>
                        <w:rFonts w:ascii="Cambria Math" w:hAnsi="Cambria Math" w:cs="Arial"/>
                        <w:szCs w:val="22"/>
                      </w:rPr>
                      <m:t>i,p,t</m:t>
                    </m:r>
                  </m:sub>
                </m:sSub>
              </m:oMath>
            </m:oMathPara>
          </w:p>
        </w:tc>
        <w:tc>
          <w:tcPr>
            <w:tcW w:w="345" w:type="dxa"/>
            <w:vAlign w:val="top"/>
          </w:tcPr>
          <w:p w14:paraId="61DC689A" w14:textId="77777777" w:rsidR="00900C67" w:rsidRDefault="00900C67" w:rsidP="00A25D4E">
            <w:pPr>
              <w:pStyle w:val="SDMTableBoxParaNotNumbered"/>
            </w:pPr>
            <w:r>
              <w:t>=</w:t>
            </w:r>
          </w:p>
        </w:tc>
        <w:tc>
          <w:tcPr>
            <w:tcW w:w="0" w:type="auto"/>
            <w:vAlign w:val="top"/>
          </w:tcPr>
          <w:p w14:paraId="5FA5CE96" w14:textId="29A8CE10" w:rsidR="00900C67" w:rsidRDefault="000354A6" w:rsidP="00A25D4E">
            <w:pPr>
              <w:pStyle w:val="SDMTableBoxParaNotNumbered"/>
            </w:pPr>
            <w:r w:rsidRPr="007D447E">
              <w:t>Quantity of fossil fuel type</w:t>
            </w:r>
            <w:r w:rsidRPr="007D447E">
              <w:rPr>
                <w:i/>
              </w:rPr>
              <w:t xml:space="preserve"> i </w:t>
            </w:r>
            <w:r w:rsidRPr="007D447E">
              <w:t>fired in captive power plant</w:t>
            </w:r>
            <w:r w:rsidRPr="007D447E">
              <w:rPr>
                <w:i/>
              </w:rPr>
              <w:t> </w:t>
            </w:r>
            <w:r w:rsidR="00967885" w:rsidRPr="07B1BF5F">
              <w:rPr>
                <w:i/>
                <w:iCs/>
              </w:rPr>
              <w:t>p</w:t>
            </w:r>
            <w:r w:rsidRPr="007D447E">
              <w:rPr>
                <w:i/>
              </w:rPr>
              <w:t xml:space="preserve"> </w:t>
            </w:r>
            <w:r w:rsidRPr="007D447E">
              <w:t>in period</w:t>
            </w:r>
            <w:r w:rsidRPr="007D447E">
              <w:rPr>
                <w:i/>
              </w:rPr>
              <w:t xml:space="preserve"> t </w:t>
            </w:r>
            <w:r w:rsidRPr="007D447E">
              <w:t>(mass or volume unit)</w:t>
            </w:r>
          </w:p>
        </w:tc>
      </w:tr>
      <w:tr w:rsidR="00900C67" w14:paraId="4F1B5E1E" w14:textId="77777777" w:rsidTr="00A25D4E">
        <w:trPr>
          <w:trHeight w:val="300"/>
        </w:trPr>
        <w:tc>
          <w:tcPr>
            <w:tcW w:w="1701" w:type="dxa"/>
            <w:vAlign w:val="top"/>
          </w:tcPr>
          <w:p w14:paraId="6927967F" w14:textId="77777777" w:rsidR="00900C67" w:rsidRPr="00AC38E9" w:rsidRDefault="00000000" w:rsidP="00A25D4E">
            <w:pPr>
              <w:pStyle w:val="SDMTableBoxParaNotNumbered"/>
            </w:pPr>
            <m:oMathPara>
              <m:oMathParaPr>
                <m:jc m:val="left"/>
              </m:oMathParaPr>
              <m:oMath>
                <m:sSub>
                  <m:sSubPr>
                    <m:ctrlPr>
                      <w:rPr>
                        <w:rFonts w:ascii="Cambria Math" w:hAnsi="Cambria Math" w:cs="Arial"/>
                        <w:i/>
                        <w:szCs w:val="22"/>
                      </w:rPr>
                    </m:ctrlPr>
                  </m:sSubPr>
                  <m:e>
                    <m:r>
                      <w:rPr>
                        <w:rFonts w:ascii="Cambria Math" w:hAnsi="Cambria Math" w:cs="Arial"/>
                        <w:szCs w:val="22"/>
                      </w:rPr>
                      <m:t>NCV</m:t>
                    </m:r>
                  </m:e>
                  <m:sub>
                    <m:r>
                      <w:rPr>
                        <w:rFonts w:ascii="Cambria Math" w:hAnsi="Cambria Math" w:cs="Arial"/>
                        <w:szCs w:val="22"/>
                      </w:rPr>
                      <m:t>i,t</m:t>
                    </m:r>
                  </m:sub>
                </m:sSub>
              </m:oMath>
            </m:oMathPara>
          </w:p>
        </w:tc>
        <w:tc>
          <w:tcPr>
            <w:tcW w:w="345" w:type="dxa"/>
            <w:vAlign w:val="top"/>
          </w:tcPr>
          <w:p w14:paraId="2EC583A5" w14:textId="77777777" w:rsidR="00900C67" w:rsidRDefault="00900C67" w:rsidP="00A25D4E">
            <w:pPr>
              <w:pStyle w:val="SDMTableBoxParaNotNumbered"/>
            </w:pPr>
            <w:r>
              <w:t>=</w:t>
            </w:r>
          </w:p>
        </w:tc>
        <w:tc>
          <w:tcPr>
            <w:tcW w:w="0" w:type="auto"/>
            <w:vAlign w:val="top"/>
          </w:tcPr>
          <w:p w14:paraId="6A580DEE" w14:textId="59702352" w:rsidR="00900C67" w:rsidRDefault="00F42D65" w:rsidP="00A25D4E">
            <w:pPr>
              <w:pStyle w:val="SDMTableBoxParaNotNumbered"/>
            </w:pPr>
            <w:r w:rsidRPr="007D447E">
              <w:t>Average net calorific value of fossil fuel type</w:t>
            </w:r>
            <w:r w:rsidRPr="007D447E">
              <w:rPr>
                <w:i/>
              </w:rPr>
              <w:t xml:space="preserve"> i </w:t>
            </w:r>
            <w:r w:rsidRPr="007D447E">
              <w:t>used in period </w:t>
            </w:r>
            <w:r w:rsidRPr="007D447E">
              <w:rPr>
                <w:i/>
              </w:rPr>
              <w:t xml:space="preserve">t </w:t>
            </w:r>
            <w:r w:rsidRPr="007D447E">
              <w:t>(GJ/mass or volume unit)</w:t>
            </w:r>
          </w:p>
        </w:tc>
      </w:tr>
      <w:tr w:rsidR="009D58F4" w14:paraId="0A8BD156" w14:textId="77777777" w:rsidTr="00A25D4E">
        <w:trPr>
          <w:trHeight w:val="300"/>
        </w:trPr>
        <w:tc>
          <w:tcPr>
            <w:tcW w:w="1701" w:type="dxa"/>
            <w:vAlign w:val="top"/>
          </w:tcPr>
          <w:p w14:paraId="67F68BFF" w14:textId="77777777" w:rsidR="009D58F4" w:rsidRPr="009D58F4" w:rsidRDefault="00000000" w:rsidP="00A25D4E">
            <w:pPr>
              <w:pStyle w:val="SDMTableBoxParaNotNumbered"/>
              <w:rPr>
                <w:szCs w:val="22"/>
              </w:rPr>
            </w:pPr>
            <m:oMathPara>
              <m:oMathParaPr>
                <m:jc m:val="left"/>
              </m:oMathParaPr>
              <m:oMath>
                <m:sSub>
                  <m:sSubPr>
                    <m:ctrlPr>
                      <w:rPr>
                        <w:rFonts w:ascii="Cambria Math" w:hAnsi="Cambria Math" w:cs="Arial"/>
                        <w:i/>
                        <w:szCs w:val="22"/>
                      </w:rPr>
                    </m:ctrlPr>
                  </m:sSubPr>
                  <m:e>
                    <m:r>
                      <w:rPr>
                        <w:rFonts w:ascii="Cambria Math" w:hAnsi="Cambria Math" w:cs="Arial"/>
                        <w:szCs w:val="22"/>
                      </w:rPr>
                      <m:t>EF</m:t>
                    </m:r>
                  </m:e>
                  <m:sub>
                    <m:r>
                      <w:rPr>
                        <w:rFonts w:ascii="Cambria Math" w:hAnsi="Cambria Math" w:cs="Arial"/>
                        <w:szCs w:val="22"/>
                      </w:rPr>
                      <m:t>CO2,i,t</m:t>
                    </m:r>
                  </m:sub>
                </m:sSub>
              </m:oMath>
            </m:oMathPara>
          </w:p>
        </w:tc>
        <w:tc>
          <w:tcPr>
            <w:tcW w:w="345" w:type="dxa"/>
            <w:vAlign w:val="top"/>
          </w:tcPr>
          <w:p w14:paraId="7865B370" w14:textId="77777777" w:rsidR="009D58F4" w:rsidRDefault="009D58F4" w:rsidP="00A25D4E">
            <w:pPr>
              <w:pStyle w:val="SDMTableBoxParaNotNumbered"/>
            </w:pPr>
            <w:r>
              <w:t>=</w:t>
            </w:r>
          </w:p>
        </w:tc>
        <w:tc>
          <w:tcPr>
            <w:tcW w:w="0" w:type="auto"/>
            <w:vAlign w:val="top"/>
          </w:tcPr>
          <w:p w14:paraId="70A1CEEA" w14:textId="23CDE1D3" w:rsidR="009D58F4" w:rsidRPr="007D447E" w:rsidRDefault="009D58F4" w:rsidP="00A25D4E">
            <w:pPr>
              <w:pStyle w:val="SDMTableBoxParaNotNumbered"/>
            </w:pPr>
            <w:r w:rsidRPr="007D447E">
              <w:t>CO</w:t>
            </w:r>
            <w:r w:rsidRPr="007D447E">
              <w:rPr>
                <w:vertAlign w:val="subscript"/>
              </w:rPr>
              <w:t>2</w:t>
            </w:r>
            <w:r w:rsidRPr="007D447E">
              <w:t xml:space="preserve"> emission factor of fossil fuel type</w:t>
            </w:r>
            <w:r w:rsidRPr="007D447E">
              <w:rPr>
                <w:i/>
              </w:rPr>
              <w:t xml:space="preserve"> i </w:t>
            </w:r>
            <w:r w:rsidRPr="007D447E">
              <w:t>used in period</w:t>
            </w:r>
            <w:r w:rsidRPr="007D447E">
              <w:rPr>
                <w:i/>
              </w:rPr>
              <w:t xml:space="preserve"> t </w:t>
            </w:r>
            <w:r w:rsidRPr="007D447E">
              <w:t>(</w:t>
            </w:r>
            <w:r>
              <w:t>t</w:t>
            </w:r>
            <w:r w:rsidR="3AB95443">
              <w:t xml:space="preserve"> </w:t>
            </w:r>
            <w:r>
              <w:t>CO</w:t>
            </w:r>
            <w:r w:rsidRPr="2E8433BF">
              <w:rPr>
                <w:vertAlign w:val="subscript"/>
              </w:rPr>
              <w:t>2</w:t>
            </w:r>
            <w:r w:rsidRPr="007D447E">
              <w:t>/GJ)</w:t>
            </w:r>
          </w:p>
        </w:tc>
      </w:tr>
      <w:tr w:rsidR="009D58F4" w14:paraId="0C29743E" w14:textId="77777777" w:rsidTr="00A25D4E">
        <w:trPr>
          <w:trHeight w:val="300"/>
        </w:trPr>
        <w:tc>
          <w:tcPr>
            <w:tcW w:w="1701" w:type="dxa"/>
            <w:vAlign w:val="top"/>
          </w:tcPr>
          <w:p w14:paraId="30EA7A21" w14:textId="77777777" w:rsidR="009D58F4" w:rsidRPr="00AC38E9" w:rsidRDefault="009D58F4" w:rsidP="00A25D4E">
            <w:pPr>
              <w:pStyle w:val="SDMTableBoxParaNotNumbered"/>
              <w:rPr>
                <w:szCs w:val="22"/>
              </w:rPr>
            </w:pPr>
            <m:oMathPara>
              <m:oMathParaPr>
                <m:jc m:val="left"/>
              </m:oMathParaPr>
              <m:oMath>
                <m:r>
                  <w:rPr>
                    <w:rFonts w:ascii="Cambria Math" w:hAnsi="Cambria Math" w:cs="Arial"/>
                    <w:szCs w:val="22"/>
                  </w:rPr>
                  <m:t>i</m:t>
                </m:r>
              </m:oMath>
            </m:oMathPara>
          </w:p>
        </w:tc>
        <w:tc>
          <w:tcPr>
            <w:tcW w:w="345" w:type="dxa"/>
            <w:vAlign w:val="top"/>
          </w:tcPr>
          <w:p w14:paraId="2E5C0C12" w14:textId="77777777" w:rsidR="009D58F4" w:rsidRDefault="009D58F4" w:rsidP="00A25D4E">
            <w:pPr>
              <w:pStyle w:val="SDMTableBoxParaNotNumbered"/>
            </w:pPr>
            <w:r>
              <w:t>=</w:t>
            </w:r>
          </w:p>
        </w:tc>
        <w:tc>
          <w:tcPr>
            <w:tcW w:w="0" w:type="auto"/>
            <w:vAlign w:val="top"/>
          </w:tcPr>
          <w:p w14:paraId="1C47DE57" w14:textId="06F0CD4F" w:rsidR="009D58F4" w:rsidRDefault="009D58F4" w:rsidP="00A25D4E">
            <w:pPr>
              <w:pStyle w:val="SDMTableBoxParaNotNumbered"/>
              <w:rPr>
                <w:i/>
              </w:rPr>
            </w:pPr>
            <w:r w:rsidRPr="007D447E">
              <w:t>Fossil fuel types fired in captive power plant</w:t>
            </w:r>
            <w:r w:rsidRPr="007D447E">
              <w:rPr>
                <w:i/>
              </w:rPr>
              <w:t> </w:t>
            </w:r>
            <w:r w:rsidRPr="6F5890B1" w:rsidDel="30305C63">
              <w:rPr>
                <w:i/>
                <w:iCs/>
              </w:rPr>
              <w:t>p</w:t>
            </w:r>
            <w:r w:rsidRPr="007D447E">
              <w:rPr>
                <w:i/>
              </w:rPr>
              <w:t xml:space="preserve"> </w:t>
            </w:r>
            <w:r w:rsidRPr="007D447E">
              <w:t>in period</w:t>
            </w:r>
            <w:r w:rsidR="00B23B70">
              <w:t> </w:t>
            </w:r>
            <w:r w:rsidRPr="007D447E">
              <w:rPr>
                <w:i/>
              </w:rPr>
              <w:t>t</w:t>
            </w:r>
          </w:p>
        </w:tc>
      </w:tr>
      <w:tr w:rsidR="009D58F4" w14:paraId="07FC4D6C" w14:textId="77777777" w:rsidTr="00A25D4E">
        <w:trPr>
          <w:trHeight w:val="300"/>
        </w:trPr>
        <w:tc>
          <w:tcPr>
            <w:tcW w:w="1701" w:type="dxa"/>
            <w:vAlign w:val="top"/>
          </w:tcPr>
          <w:p w14:paraId="2D5D30B0" w14:textId="77777777" w:rsidR="009D58F4" w:rsidRPr="00AC38E9" w:rsidRDefault="00000DE0" w:rsidP="00A25D4E">
            <w:pPr>
              <w:pStyle w:val="SDMTableBoxParaNotNumbered"/>
              <w:rPr>
                <w:szCs w:val="22"/>
              </w:rPr>
            </w:pPr>
            <m:oMathPara>
              <m:oMathParaPr>
                <m:jc m:val="left"/>
              </m:oMathParaPr>
              <m:oMath>
                <m:r>
                  <w:rPr>
                    <w:rFonts w:ascii="Cambria Math" w:hAnsi="Cambria Math" w:cs="Arial"/>
                    <w:szCs w:val="22"/>
                  </w:rPr>
                  <m:t>p</m:t>
                </m:r>
              </m:oMath>
            </m:oMathPara>
          </w:p>
        </w:tc>
        <w:tc>
          <w:tcPr>
            <w:tcW w:w="345" w:type="dxa"/>
            <w:vAlign w:val="top"/>
          </w:tcPr>
          <w:p w14:paraId="6B219252" w14:textId="77777777" w:rsidR="009D58F4" w:rsidRDefault="009D58F4" w:rsidP="00A25D4E">
            <w:pPr>
              <w:pStyle w:val="SDMTableBoxParaNotNumbered"/>
            </w:pPr>
            <w:r>
              <w:t>=</w:t>
            </w:r>
          </w:p>
        </w:tc>
        <w:tc>
          <w:tcPr>
            <w:tcW w:w="0" w:type="auto"/>
            <w:vAlign w:val="top"/>
          </w:tcPr>
          <w:p w14:paraId="01F75173" w14:textId="478728A1" w:rsidR="009D58F4" w:rsidRDefault="051954E7" w:rsidP="00A25D4E">
            <w:pPr>
              <w:pStyle w:val="SDMTableBoxParaNotNumbered"/>
            </w:pPr>
            <w:r>
              <w:t xml:space="preserve">Fossil fuel fired captive power plants </w:t>
            </w:r>
            <w:r w:rsidR="374FC8A8">
              <w:t xml:space="preserve">identified in </w:t>
            </w:r>
            <w:r w:rsidR="00861223">
              <w:t>s</w:t>
            </w:r>
            <w:r w:rsidR="374FC8A8">
              <w:t>tep</w:t>
            </w:r>
            <w:r w:rsidR="00B23B70">
              <w:t> </w:t>
            </w:r>
            <w:r w:rsidR="374FC8A8">
              <w:t>2</w:t>
            </w:r>
          </w:p>
        </w:tc>
      </w:tr>
      <w:tr w:rsidR="009D58F4" w14:paraId="7F600EB0" w14:textId="77777777" w:rsidTr="00A25D4E">
        <w:trPr>
          <w:trHeight w:val="300"/>
        </w:trPr>
        <w:tc>
          <w:tcPr>
            <w:tcW w:w="1701" w:type="dxa"/>
            <w:vAlign w:val="top"/>
          </w:tcPr>
          <w:p w14:paraId="7532D4E4" w14:textId="77777777" w:rsidR="009D58F4" w:rsidRPr="00AC38E9" w:rsidRDefault="009D58F4" w:rsidP="00A25D4E">
            <w:pPr>
              <w:pStyle w:val="SDMTableBoxParaNotNumbered"/>
              <w:rPr>
                <w:szCs w:val="22"/>
              </w:rPr>
            </w:pPr>
            <m:oMathPara>
              <m:oMathParaPr>
                <m:jc m:val="left"/>
              </m:oMathParaPr>
              <m:oMath>
                <m:r>
                  <w:rPr>
                    <w:rFonts w:ascii="Cambria Math" w:hAnsi="Cambria Math" w:cs="Arial"/>
                    <w:szCs w:val="22"/>
                  </w:rPr>
                  <m:t>t</m:t>
                </m:r>
              </m:oMath>
            </m:oMathPara>
          </w:p>
        </w:tc>
        <w:tc>
          <w:tcPr>
            <w:tcW w:w="345" w:type="dxa"/>
            <w:vAlign w:val="top"/>
          </w:tcPr>
          <w:p w14:paraId="3A1E298D" w14:textId="77777777" w:rsidR="009D58F4" w:rsidRDefault="009D58F4" w:rsidP="00A25D4E">
            <w:pPr>
              <w:pStyle w:val="SDMTableBoxParaNotNumbered"/>
            </w:pPr>
            <w:r>
              <w:t>=</w:t>
            </w:r>
          </w:p>
        </w:tc>
        <w:tc>
          <w:tcPr>
            <w:tcW w:w="0" w:type="auto"/>
            <w:vAlign w:val="top"/>
          </w:tcPr>
          <w:p w14:paraId="322CE528" w14:textId="224AEFE8" w:rsidR="009D58F4" w:rsidRDefault="7F7A986B" w:rsidP="00A25D4E">
            <w:pPr>
              <w:pStyle w:val="SDMTableBoxParaNotNumbered"/>
            </w:pPr>
            <w:r>
              <w:t>P</w:t>
            </w:r>
            <w:r w:rsidR="3BAE65B3">
              <w:t>eriod</w:t>
            </w:r>
            <w:r w:rsidR="000E1350" w:rsidRPr="007D447E">
              <w:t xml:space="preserve"> for which the emission factor for electricity generation is determined </w:t>
            </w:r>
            <w:r w:rsidR="5F9B1318">
              <w:t>(see paragraph</w:t>
            </w:r>
            <w:r w:rsidR="006F7A0B">
              <w:t> </w:t>
            </w:r>
            <w:r>
              <w:fldChar w:fldCharType="begin"/>
            </w:r>
            <w:r>
              <w:instrText>REF _Ref219693154 \r</w:instrText>
            </w:r>
            <w:r>
              <w:fldChar w:fldCharType="separate"/>
            </w:r>
            <w:r w:rsidR="00D811A8">
              <w:rPr>
                <w:cs/>
              </w:rPr>
              <w:t>‎</w:t>
            </w:r>
            <w:r w:rsidR="00D811A8">
              <w:t>116</w:t>
            </w:r>
            <w:r>
              <w:fldChar w:fldCharType="end"/>
            </w:r>
            <w:r w:rsidR="5F9B1318">
              <w:t xml:space="preserve"> above)</w:t>
            </w:r>
          </w:p>
        </w:tc>
      </w:tr>
    </w:tbl>
    <w:p w14:paraId="23206A01" w14:textId="04A80357" w:rsidR="00073D6D" w:rsidRDefault="00F87711">
      <w:pPr>
        <w:pStyle w:val="SDMSubPara2"/>
      </w:pPr>
      <w:r w:rsidRPr="00F87711">
        <w:t>Calculate the average CO</w:t>
      </w:r>
      <w:r w:rsidRPr="00F87711">
        <w:rPr>
          <w:vertAlign w:val="subscript"/>
        </w:rPr>
        <w:t>2</w:t>
      </w:r>
      <w:r w:rsidRPr="00F87711">
        <w:t xml:space="preserve"> emission factor, </w:t>
      </w:r>
      <w:r w:rsidR="00AE77E6">
        <w:t>in accordance with</w:t>
      </w:r>
      <w:r w:rsidRPr="00F87711">
        <w:t xml:space="preserve"> </w:t>
      </w:r>
      <w:r w:rsidR="00AE77E6" w:rsidRPr="00AE77E6">
        <w:rPr>
          <w:b/>
          <w:bCs/>
        </w:rPr>
        <w:t>equation</w:t>
      </w:r>
      <w:r w:rsidR="0045644E">
        <w:rPr>
          <w:b/>
          <w:bCs/>
        </w:rPr>
        <w:t> </w:t>
      </w:r>
      <w:r w:rsidR="00DD0DCD" w:rsidRPr="00AE77E6">
        <w:rPr>
          <w:b/>
          <w:bCs/>
        </w:rPr>
        <w:t>(14)</w:t>
      </w:r>
      <w:r w:rsidRPr="00F87711">
        <w:t xml:space="preserve">, for (a) </w:t>
      </w:r>
      <w:r w:rsidRPr="00F87711" w:rsidDel="00F814AB">
        <w:t xml:space="preserve">the </w:t>
      </w:r>
      <w:r w:rsidRPr="00F87711">
        <w:t xml:space="preserve">most recent three years prior to the implementation of the activity and (b) the monitored period in question, and </w:t>
      </w:r>
      <w:r w:rsidR="00C132C8">
        <w:t xml:space="preserve">activity participants shall </w:t>
      </w:r>
      <w:r w:rsidRPr="00F87711">
        <w:t xml:space="preserve">use the </w:t>
      </w:r>
      <w:r w:rsidR="2F7487AB">
        <w:t>higher</w:t>
      </w:r>
      <w:r w:rsidR="5E0F43D4">
        <w:t xml:space="preserve"> value</w:t>
      </w:r>
      <w:r w:rsidR="589847F2">
        <w:t xml:space="preserve"> for case</w:t>
      </w:r>
      <w:r w:rsidR="0045644E">
        <w:t> </w:t>
      </w:r>
      <w:r w:rsidR="589847F2">
        <w:t>1 and lower value for case</w:t>
      </w:r>
      <w:r w:rsidR="00B23B70">
        <w:t> </w:t>
      </w:r>
      <w:r w:rsidR="589847F2">
        <w:t>2</w:t>
      </w:r>
      <w:r w:rsidRPr="00F87711">
        <w:t>.</w:t>
      </w:r>
    </w:p>
    <w:p w14:paraId="2D8F69C7" w14:textId="3764C93B" w:rsidR="00073D6D" w:rsidRDefault="728541ED">
      <w:pPr>
        <w:pStyle w:val="SDMPara"/>
      </w:pPr>
      <w:r>
        <w:t xml:space="preserve">The selected approach </w:t>
      </w:r>
      <w:r w:rsidR="00864386">
        <w:t>shall</w:t>
      </w:r>
      <w:r>
        <w:t xml:space="preserve"> be documented in the PDD an</w:t>
      </w:r>
      <w:r w:rsidR="7BDDDDC9">
        <w:t>d shall</w:t>
      </w:r>
      <w:r>
        <w:t xml:space="preserve"> not be changed during the crediting period.</w:t>
      </w:r>
    </w:p>
    <w:p w14:paraId="69317092" w14:textId="1912925D" w:rsidR="00F74E46" w:rsidRDefault="4B8E8CC5">
      <w:pPr>
        <w:pStyle w:val="SDMPara"/>
      </w:pPr>
      <w:r>
        <w:t>Under</w:t>
      </w:r>
      <w:r w:rsidR="05888AA4">
        <w:t xml:space="preserve"> </w:t>
      </w:r>
      <w:r w:rsidR="00B30757" w:rsidRPr="00B30757">
        <w:rPr>
          <w:b/>
          <w:bCs/>
        </w:rPr>
        <w:t>option</w:t>
      </w:r>
      <w:r w:rsidR="00B23B70">
        <w:rPr>
          <w:b/>
          <w:bCs/>
        </w:rPr>
        <w:t> </w:t>
      </w:r>
      <w:r w:rsidR="05888AA4" w:rsidRPr="00B30757">
        <w:rPr>
          <w:b/>
          <w:bCs/>
        </w:rPr>
        <w:t>A</w:t>
      </w:r>
      <w:r w:rsidR="05888AA4">
        <w:t xml:space="preserve">, uncertainty </w:t>
      </w:r>
      <w:r w:rsidR="000A2562">
        <w:t>associated with</w:t>
      </w:r>
      <w:r w:rsidR="05888AA4">
        <w:t xml:space="preserve"> the emission factor shall be addressed </w:t>
      </w:r>
      <w:r w:rsidR="000A2562">
        <w:t xml:space="preserve">in accordance with </w:t>
      </w:r>
      <w:r w:rsidR="05888AA4">
        <w:t>the requiremen</w:t>
      </w:r>
      <w:r w:rsidR="7E3D743F">
        <w:t>t</w:t>
      </w:r>
      <w:r w:rsidR="00ED59A0">
        <w:t>s</w:t>
      </w:r>
      <w:r w:rsidR="7E3D743F">
        <w:t xml:space="preserve"> in </w:t>
      </w:r>
      <w:r w:rsidR="14E9C9C4">
        <w:t>s</w:t>
      </w:r>
      <w:r w:rsidR="7E3D743F">
        <w:t>ection</w:t>
      </w:r>
      <w:r w:rsidR="006B3BAA">
        <w:t xml:space="preserve"> </w:t>
      </w:r>
      <w:r w:rsidR="00EA46DD">
        <w:fldChar w:fldCharType="begin"/>
      </w:r>
      <w:r w:rsidR="00EA46DD">
        <w:instrText xml:space="preserve"> REF _Ref221038823 \w \h </w:instrText>
      </w:r>
      <w:r w:rsidR="00EA46DD">
        <w:fldChar w:fldCharType="separate"/>
      </w:r>
      <w:r w:rsidR="00D811A8">
        <w:rPr>
          <w:cs/>
        </w:rPr>
        <w:t>‎</w:t>
      </w:r>
      <w:r w:rsidR="00D811A8">
        <w:t>5.11</w:t>
      </w:r>
      <w:r w:rsidR="00EA46DD">
        <w:fldChar w:fldCharType="end"/>
      </w:r>
      <w:r w:rsidR="00D9066E">
        <w:t>.</w:t>
      </w:r>
    </w:p>
    <w:p w14:paraId="49C35358" w14:textId="3289BD57" w:rsidR="00073D6D" w:rsidRDefault="000B0294">
      <w:pPr>
        <w:pStyle w:val="SDMHead3"/>
      </w:pPr>
      <w:bookmarkStart w:id="586" w:name="_Toc215923334"/>
      <w:bookmarkStart w:id="587" w:name="_Toc216093030"/>
      <w:bookmarkStart w:id="588" w:name="_Ref216179138"/>
      <w:bookmarkStart w:id="589" w:name="_Toc216271759"/>
      <w:bookmarkStart w:id="590" w:name="_Toc216279376"/>
      <w:bookmarkStart w:id="591" w:name="_Toc216283414"/>
      <w:bookmarkStart w:id="592" w:name="_Toc216288032"/>
      <w:bookmarkStart w:id="593" w:name="_Toc219666139"/>
      <w:bookmarkStart w:id="594" w:name="_Toc220001399"/>
      <w:bookmarkStart w:id="595" w:name="_Toc221096423"/>
      <w:bookmarkStart w:id="596" w:name="_Toc221097975"/>
      <w:bookmarkStart w:id="597" w:name="_Toc221116271"/>
      <w:bookmarkStart w:id="598" w:name="_Toc221117287"/>
      <w:bookmarkStart w:id="599" w:name="_Toc222132125"/>
      <w:bookmarkStart w:id="600" w:name="_Toc222494926"/>
      <w:bookmarkStart w:id="601" w:name="_Toc222512442"/>
      <w:bookmarkStart w:id="602" w:name="_Toc222741762"/>
      <w:r>
        <w:t xml:space="preserve">Option </w:t>
      </w:r>
      <w:r w:rsidR="009076AA">
        <w:t>B</w:t>
      </w:r>
      <w:r>
        <w:t xml:space="preserve">: </w:t>
      </w:r>
      <w:r w:rsidR="001D3295" w:rsidRPr="001D3295">
        <w:t>Use a conservative default emission factor</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14:paraId="65614496" w14:textId="3E82306A" w:rsidR="006510A9" w:rsidRDefault="010EAA52">
      <w:pPr>
        <w:pStyle w:val="SDMPara"/>
      </w:pPr>
      <w:r>
        <w:t>The default values provided</w:t>
      </w:r>
      <w:r w:rsidR="001F1739">
        <w:t xml:space="preserve"> in</w:t>
      </w:r>
      <w:r w:rsidR="00194FE8">
        <w:t xml:space="preserve"> </w:t>
      </w:r>
      <w:r w:rsidR="001E6FB9" w:rsidRPr="001E6FB9">
        <w:rPr>
          <w:b/>
          <w:bCs/>
        </w:rPr>
        <w:t>table</w:t>
      </w:r>
      <w:r w:rsidR="00B23B70">
        <w:rPr>
          <w:b/>
          <w:bCs/>
        </w:rPr>
        <w:t> </w:t>
      </w:r>
      <w:r w:rsidR="00194FE8" w:rsidRPr="001E6FB9">
        <w:rPr>
          <w:b/>
          <w:bCs/>
        </w:rPr>
        <w:t>2</w:t>
      </w:r>
      <w:r w:rsidR="00E41BC9" w:rsidDel="001E6FB9">
        <w:t xml:space="preserve"> </w:t>
      </w:r>
      <w:r w:rsidR="00E41BC9">
        <w:t xml:space="preserve">in </w:t>
      </w:r>
      <w:r w:rsidR="00E41BC9" w:rsidRPr="00E80CE7">
        <w:t xml:space="preserve">section </w:t>
      </w:r>
      <w:r w:rsidR="00FD4A03">
        <w:fldChar w:fldCharType="begin"/>
      </w:r>
      <w:r w:rsidR="00FD4A03">
        <w:instrText xml:space="preserve"> REF _Ref215698796 \w \h </w:instrText>
      </w:r>
      <w:r w:rsidR="00FD4A03">
        <w:fldChar w:fldCharType="separate"/>
      </w:r>
      <w:r w:rsidR="00D811A8">
        <w:rPr>
          <w:cs/>
        </w:rPr>
        <w:t>‎</w:t>
      </w:r>
      <w:r w:rsidR="00D811A8">
        <w:t>5.7.1.1.3</w:t>
      </w:r>
      <w:r w:rsidR="00FD4A03">
        <w:fldChar w:fldCharType="end"/>
      </w:r>
      <w:r w:rsidR="002409A8">
        <w:t xml:space="preserve"> </w:t>
      </w:r>
      <w:r w:rsidR="7726B9A1">
        <w:t>shall be applied</w:t>
      </w:r>
      <w:r>
        <w:t xml:space="preserve"> </w:t>
      </w:r>
      <w:r w:rsidR="06594FB8">
        <w:t>for each specified type of fossil fuel-based power plant</w:t>
      </w:r>
      <w:r>
        <w:t xml:space="preserve">. </w:t>
      </w:r>
      <w:r w:rsidR="00B12FCE">
        <w:t>W</w:t>
      </w:r>
      <w:r w:rsidR="498C571E">
        <w:t xml:space="preserve">here multiple fossil fuel types are consumed, or </w:t>
      </w:r>
      <w:r w:rsidR="00B12FCE">
        <w:t xml:space="preserve">where </w:t>
      </w:r>
      <w:r w:rsidR="498C571E">
        <w:t>the fuel type cannot be determined,</w:t>
      </w:r>
      <w:r>
        <w:t xml:space="preserve"> the higher emission factor shall be used for </w:t>
      </w:r>
      <w:r w:rsidR="00B12FCE" w:rsidRPr="00B12FCE">
        <w:rPr>
          <w:b/>
          <w:bCs/>
        </w:rPr>
        <w:t>case</w:t>
      </w:r>
      <w:r w:rsidR="00B23B70">
        <w:rPr>
          <w:b/>
          <w:bCs/>
        </w:rPr>
        <w:t> </w:t>
      </w:r>
      <w:r w:rsidRPr="00B12FCE">
        <w:rPr>
          <w:b/>
          <w:bCs/>
        </w:rPr>
        <w:t>1</w:t>
      </w:r>
      <w:r>
        <w:t xml:space="preserve"> and the lower emission factor shall be used for </w:t>
      </w:r>
      <w:r w:rsidR="0028411E" w:rsidRPr="0028411E">
        <w:rPr>
          <w:b/>
          <w:bCs/>
        </w:rPr>
        <w:t>case </w:t>
      </w:r>
      <w:r w:rsidRPr="0028411E">
        <w:rPr>
          <w:b/>
          <w:bCs/>
        </w:rPr>
        <w:t>2</w:t>
      </w:r>
      <w:r w:rsidR="7E9BCBA6">
        <w:t>.</w:t>
      </w:r>
    </w:p>
    <w:p w14:paraId="5F9124BA" w14:textId="37BE7F2A" w:rsidR="006D0F1E" w:rsidRDefault="006D0F1E">
      <w:pPr>
        <w:pStyle w:val="SDMPara"/>
      </w:pPr>
      <w:r>
        <w:t xml:space="preserve">Under </w:t>
      </w:r>
      <w:r w:rsidR="0028411E" w:rsidRPr="00AF3483">
        <w:rPr>
          <w:b/>
          <w:bCs/>
        </w:rPr>
        <w:t>option</w:t>
      </w:r>
      <w:r w:rsidR="00B23B70">
        <w:rPr>
          <w:b/>
          <w:bCs/>
        </w:rPr>
        <w:t> </w:t>
      </w:r>
      <w:r w:rsidRPr="00AF3483">
        <w:rPr>
          <w:b/>
          <w:bCs/>
        </w:rPr>
        <w:t>B</w:t>
      </w:r>
      <w:r>
        <w:t>, uncertainty</w:t>
      </w:r>
      <w:r w:rsidR="0099122F">
        <w:t xml:space="preserve"> </w:t>
      </w:r>
      <w:r w:rsidR="0028411E">
        <w:t>associated with</w:t>
      </w:r>
      <w:r w:rsidR="0099122F">
        <w:t xml:space="preserve"> the emission factor does </w:t>
      </w:r>
      <w:r w:rsidR="00AF3483">
        <w:t xml:space="preserve">is already addressed through the use of these conservative values and does not need to be considered in calculating the combined uncertainty in section </w:t>
      </w:r>
      <w:r w:rsidR="00E15B58">
        <w:fldChar w:fldCharType="begin"/>
      </w:r>
      <w:r w:rsidR="00E15B58">
        <w:instrText xml:space="preserve"> REF _Ref221038901 \w \h </w:instrText>
      </w:r>
      <w:r w:rsidR="00E15B58">
        <w:fldChar w:fldCharType="separate"/>
      </w:r>
      <w:r w:rsidR="00D811A8">
        <w:rPr>
          <w:cs/>
        </w:rPr>
        <w:t>‎</w:t>
      </w:r>
      <w:r w:rsidR="00D811A8">
        <w:t>5.7.1.4</w:t>
      </w:r>
      <w:r w:rsidR="00E15B58">
        <w:fldChar w:fldCharType="end"/>
      </w:r>
      <w:r w:rsidR="00AF3483">
        <w:t>.</w:t>
      </w:r>
    </w:p>
    <w:p w14:paraId="5E3AE589" w14:textId="490D9922" w:rsidR="00073D6D" w:rsidRDefault="006A773E">
      <w:pPr>
        <w:pStyle w:val="SDMHead2"/>
      </w:pPr>
      <w:bookmarkStart w:id="603" w:name="_Toc215574893"/>
      <w:bookmarkStart w:id="604" w:name="_Toc215579107"/>
      <w:bookmarkStart w:id="605" w:name="_Toc215208607"/>
      <w:bookmarkStart w:id="606" w:name="_Toc215216126"/>
      <w:bookmarkStart w:id="607" w:name="_Toc215222862"/>
      <w:bookmarkStart w:id="608" w:name="_Toc215223050"/>
      <w:bookmarkStart w:id="609" w:name="_Toc215223272"/>
      <w:bookmarkStart w:id="610" w:name="_Toc215574894"/>
      <w:bookmarkStart w:id="611" w:name="_Toc215579108"/>
      <w:bookmarkStart w:id="612" w:name="_Toc215208608"/>
      <w:bookmarkStart w:id="613" w:name="_Toc215216127"/>
      <w:bookmarkStart w:id="614" w:name="_Toc215222863"/>
      <w:bookmarkStart w:id="615" w:name="_Toc215223051"/>
      <w:bookmarkStart w:id="616" w:name="_Toc215223273"/>
      <w:bookmarkStart w:id="617" w:name="_Toc215208609"/>
      <w:bookmarkStart w:id="618" w:name="_Toc215216128"/>
      <w:bookmarkStart w:id="619" w:name="_Toc215222864"/>
      <w:bookmarkStart w:id="620" w:name="_Toc215223052"/>
      <w:bookmarkStart w:id="621" w:name="_Toc215223274"/>
      <w:bookmarkStart w:id="622" w:name="_Toc215574895"/>
      <w:bookmarkStart w:id="623" w:name="_Toc215579109"/>
      <w:bookmarkStart w:id="624" w:name="_Toc212389911"/>
      <w:bookmarkStart w:id="625" w:name="_Ref212234583"/>
      <w:bookmarkStart w:id="626" w:name="_Toc215208610"/>
      <w:bookmarkStart w:id="627" w:name="_Toc215216129"/>
      <w:bookmarkStart w:id="628" w:name="_Toc215222865"/>
      <w:bookmarkStart w:id="629" w:name="_Toc215223053"/>
      <w:bookmarkStart w:id="630" w:name="_Toc215223275"/>
      <w:bookmarkStart w:id="631" w:name="_Toc215574896"/>
      <w:bookmarkStart w:id="632" w:name="_Toc215923335"/>
      <w:bookmarkStart w:id="633" w:name="_Toc216093031"/>
      <w:bookmarkStart w:id="634" w:name="_Toc216271760"/>
      <w:bookmarkStart w:id="635" w:name="_Toc216279377"/>
      <w:bookmarkStart w:id="636" w:name="_Toc216283415"/>
      <w:bookmarkStart w:id="637" w:name="_Toc216288033"/>
      <w:bookmarkStart w:id="638" w:name="_Toc219666140"/>
      <w:bookmarkStart w:id="639" w:name="_Toc220001400"/>
      <w:bookmarkStart w:id="640" w:name="_Ref221036644"/>
      <w:bookmarkStart w:id="641" w:name="_Toc221096424"/>
      <w:bookmarkStart w:id="642" w:name="_Toc221097976"/>
      <w:bookmarkStart w:id="643" w:name="_Toc221116272"/>
      <w:bookmarkStart w:id="644" w:name="_Toc221117288"/>
      <w:bookmarkStart w:id="645" w:name="_Toc222132126"/>
      <w:bookmarkStart w:id="646" w:name="_Toc222494927"/>
      <w:bookmarkStart w:id="647" w:name="_Toc222512443"/>
      <w:bookmarkStart w:id="648" w:name="_Toc222741763"/>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t>Step</w:t>
      </w:r>
      <w:r w:rsidR="00B23B70">
        <w:t> </w:t>
      </w:r>
      <w:r w:rsidR="00614109">
        <w:t>9</w:t>
      </w:r>
      <w:r>
        <w:t xml:space="preserve">. </w:t>
      </w:r>
      <w:r w:rsidR="0094340B" w:rsidRPr="0094340B">
        <w:t xml:space="preserve">Determine the transmission and distribution losses from the electricity system, </w:t>
      </w:r>
      <w:r w:rsidR="0094340B" w:rsidRPr="00EC08A5">
        <w:t>where applicable</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14849D2D" w14:textId="049C2FA2" w:rsidR="00AE24CD" w:rsidRDefault="00D70DD7">
      <w:pPr>
        <w:pStyle w:val="SDMPara"/>
      </w:pPr>
      <w:bookmarkStart w:id="649" w:name="_Ref220953578"/>
      <w:r>
        <w:t xml:space="preserve">This step is only applicable where </w:t>
      </w:r>
      <w:r w:rsidR="009B58B2" w:rsidRPr="009B58B2">
        <w:rPr>
          <w:b/>
          <w:bCs/>
        </w:rPr>
        <w:t>scenario</w:t>
      </w:r>
      <w:r w:rsidR="00B23B70">
        <w:rPr>
          <w:b/>
          <w:bCs/>
        </w:rPr>
        <w:t> </w:t>
      </w:r>
      <w:r w:rsidR="003466C0" w:rsidRPr="009B58B2">
        <w:rPr>
          <w:b/>
          <w:bCs/>
        </w:rPr>
        <w:t>A</w:t>
      </w:r>
      <w:r w:rsidR="003466C0">
        <w:t xml:space="preserve"> or</w:t>
      </w:r>
      <w:r w:rsidR="003466C0" w:rsidDel="009B58B2">
        <w:t xml:space="preserve"> </w:t>
      </w:r>
      <w:r w:rsidR="009B58B2" w:rsidRPr="009B58B2">
        <w:rPr>
          <w:b/>
          <w:bCs/>
        </w:rPr>
        <w:t>scenario</w:t>
      </w:r>
      <w:r w:rsidR="00B23B70">
        <w:rPr>
          <w:b/>
          <w:bCs/>
        </w:rPr>
        <w:t> </w:t>
      </w:r>
      <w:r w:rsidR="003466C0" w:rsidRPr="009B58B2">
        <w:rPr>
          <w:b/>
          <w:bCs/>
        </w:rPr>
        <w:t>C</w:t>
      </w:r>
      <w:r>
        <w:t xml:space="preserve"> applies and where electricity is consumed from the </w:t>
      </w:r>
      <w:r w:rsidR="00EC08A5">
        <w:t>project electricity system</w:t>
      </w:r>
      <w:r w:rsidR="004D4B9F">
        <w:t xml:space="preserve"> in the Article 6.4 </w:t>
      </w:r>
      <w:r w:rsidR="00BB0EC2">
        <w:t>activity</w:t>
      </w:r>
      <w:r w:rsidR="004D4B9F">
        <w:t xml:space="preserve"> scenario and/or the baseline scenario. </w:t>
      </w:r>
      <w:r w:rsidR="00A20367">
        <w:t>This step is</w:t>
      </w:r>
      <w:r w:rsidR="004D4B9F">
        <w:t xml:space="preserve"> </w:t>
      </w:r>
      <w:r w:rsidR="004D4B9F" w:rsidRPr="00A20367">
        <w:rPr>
          <w:b/>
          <w:bCs/>
        </w:rPr>
        <w:t>not applicable</w:t>
      </w:r>
      <w:r w:rsidR="004D4B9F">
        <w:t xml:space="preserve"> where electricity </w:t>
      </w:r>
      <w:r w:rsidR="009C19A9">
        <w:t xml:space="preserve">is supplied to the </w:t>
      </w:r>
      <w:r w:rsidR="00EC08A5">
        <w:t xml:space="preserve">project </w:t>
      </w:r>
      <w:r w:rsidR="009C19A9">
        <w:t xml:space="preserve">electricity </w:t>
      </w:r>
      <w:r w:rsidR="00AE24CD">
        <w:t xml:space="preserve">system in the Article 6.4 </w:t>
      </w:r>
      <w:r w:rsidR="00EC08A5">
        <w:t xml:space="preserve">activity scenario </w:t>
      </w:r>
      <w:r w:rsidR="00AE24CD">
        <w:t>and/or baseline scenario.</w:t>
      </w:r>
      <w:bookmarkEnd w:id="649"/>
    </w:p>
    <w:p w14:paraId="3E8E8A1C" w14:textId="77777777" w:rsidR="00780B7E" w:rsidRDefault="00AE24CD" w:rsidP="00C72647">
      <w:pPr>
        <w:pStyle w:val="SDMPara"/>
        <w:keepNext/>
      </w:pPr>
      <w:r>
        <w:t>A</w:t>
      </w:r>
      <w:r w:rsidR="76239DE7">
        <w:t>ctivity</w:t>
      </w:r>
      <w:r w:rsidR="00780B7E">
        <w:t xml:space="preserve"> participants shall determine transmission and distribution losses </w:t>
      </w:r>
      <w:r w:rsidR="00952989">
        <w:t xml:space="preserve">from the electricity system </w:t>
      </w:r>
      <w:r w:rsidR="00780B7E">
        <w:t>using one of the following two options:</w:t>
      </w:r>
    </w:p>
    <w:p w14:paraId="571E7D75" w14:textId="75A44268" w:rsidR="00686678" w:rsidRDefault="407590A6" w:rsidP="00C72647">
      <w:pPr>
        <w:pStyle w:val="SDMSubPara1"/>
        <w:keepNext/>
      </w:pPr>
      <w:r w:rsidRPr="00EB54DE">
        <w:rPr>
          <w:b/>
          <w:bCs/>
        </w:rPr>
        <w:t>Option</w:t>
      </w:r>
      <w:r w:rsidR="00B23B70">
        <w:rPr>
          <w:b/>
          <w:bCs/>
        </w:rPr>
        <w:t> </w:t>
      </w:r>
      <w:r w:rsidRPr="00EB54DE">
        <w:rPr>
          <w:b/>
          <w:bCs/>
        </w:rPr>
        <w:t>1</w:t>
      </w:r>
      <w:r>
        <w:t xml:space="preserve">: </w:t>
      </w:r>
      <w:r w:rsidR="00E22F8D">
        <w:t xml:space="preserve">determine </w:t>
      </w:r>
      <w:r>
        <w:t xml:space="preserve">the transmission and distribution losses for the specific </w:t>
      </w:r>
      <w:r w:rsidR="00EE0D3B">
        <w:t xml:space="preserve">circumstances </w:t>
      </w:r>
      <w:r>
        <w:t xml:space="preserve">of the Article 6.4 activity, taking into </w:t>
      </w:r>
      <w:r w:rsidR="53EE216A">
        <w:t>account</w:t>
      </w:r>
      <w:r>
        <w:t xml:space="preserve"> the relevant parameters such as the geographical region and the voltage level at which electricity is consumed</w:t>
      </w:r>
      <w:r w:rsidR="00D54598">
        <w:t xml:space="preserve"> from</w:t>
      </w:r>
      <w:r>
        <w:t xml:space="preserve"> </w:t>
      </w:r>
      <w:r w:rsidR="00D54598">
        <w:t>the electricity system</w:t>
      </w:r>
      <w:r w:rsidR="003523DB">
        <w:t xml:space="preserve">, </w:t>
      </w:r>
      <w:r w:rsidR="00E50681">
        <w:t>based on</w:t>
      </w:r>
      <w:r>
        <w:t xml:space="preserve"> transmission and distribution loss data from sources such as electricity wholesale or retail companies</w:t>
      </w:r>
      <w:r w:rsidR="005676FC">
        <w:t>. This option may be</w:t>
      </w:r>
      <w:r w:rsidR="00B3102A" w:rsidDel="000950BA">
        <w:t xml:space="preserve"> </w:t>
      </w:r>
      <w:r w:rsidR="005676FC">
        <w:t>applied</w:t>
      </w:r>
      <w:r w:rsidR="00B3102A">
        <w:t xml:space="preserve"> </w:t>
      </w:r>
      <w:r w:rsidR="000950BA">
        <w:t xml:space="preserve">either </w:t>
      </w:r>
      <w:r w:rsidR="00772CD9">
        <w:t>(i) ex</w:t>
      </w:r>
      <w:r w:rsidR="002E67A4">
        <w:t> </w:t>
      </w:r>
      <w:r w:rsidR="00772CD9">
        <w:t>post</w:t>
      </w:r>
      <w:r>
        <w:t xml:space="preserve"> for</w:t>
      </w:r>
      <w:r w:rsidDel="00772CD9">
        <w:t xml:space="preserve"> </w:t>
      </w:r>
      <w:r>
        <w:t>the calendar year for which emission reductions are determined</w:t>
      </w:r>
      <w:r w:rsidR="00EF04A8">
        <w:t>, or</w:t>
      </w:r>
      <w:r>
        <w:t xml:space="preserve"> (ii) </w:t>
      </w:r>
      <w:r w:rsidR="00772CD9">
        <w:t>ex</w:t>
      </w:r>
      <w:r w:rsidR="002E67A4">
        <w:t> </w:t>
      </w:r>
      <w:r w:rsidR="00772CD9">
        <w:t>ante for the crediting period</w:t>
      </w:r>
      <w:r w:rsidR="00952E1C">
        <w:t>,</w:t>
      </w:r>
      <w:r w:rsidR="009B0BEA">
        <w:t xml:space="preserve"> using </w:t>
      </w:r>
      <w:r w:rsidR="00904DE1">
        <w:t xml:space="preserve">average </w:t>
      </w:r>
      <w:r w:rsidR="009B0BEA">
        <w:t xml:space="preserve">transmission and distribution losses </w:t>
      </w:r>
      <w:r w:rsidR="00952E1C">
        <w:t xml:space="preserve">from </w:t>
      </w:r>
      <w:r w:rsidR="00904DE1">
        <w:t xml:space="preserve">the </w:t>
      </w:r>
      <w:r>
        <w:t xml:space="preserve">most recent three years </w:t>
      </w:r>
      <w:r w:rsidR="00D07B57">
        <w:t xml:space="preserve">for which data </w:t>
      </w:r>
      <w:r w:rsidR="00546BB8">
        <w:t xml:space="preserve">are </w:t>
      </w:r>
      <w:r w:rsidR="00D07B57">
        <w:t xml:space="preserve">available at the time of submission of the PDD to the </w:t>
      </w:r>
      <w:r w:rsidR="15F26F4F">
        <w:t xml:space="preserve">DOE for </w:t>
      </w:r>
      <w:r w:rsidR="00D07B57">
        <w:t>validation</w:t>
      </w:r>
      <w:r w:rsidR="008D4F36">
        <w:t>.</w:t>
      </w:r>
      <w:r w:rsidR="00F74E46">
        <w:t xml:space="preserve"> </w:t>
      </w:r>
      <w:r w:rsidR="00686678">
        <w:t>The following conditions apply:</w:t>
      </w:r>
    </w:p>
    <w:p w14:paraId="369E2E91" w14:textId="7C203B6E" w:rsidR="00686678" w:rsidRDefault="66FDFEB6">
      <w:pPr>
        <w:pStyle w:val="SDMSubPara2"/>
      </w:pPr>
      <w:r>
        <w:t>For</w:t>
      </w:r>
      <w:r w:rsidR="003D5DAC">
        <w:t xml:space="preserve"> </w:t>
      </w:r>
      <w:r w:rsidR="00925663" w:rsidRPr="00EB54DE">
        <w:rPr>
          <w:b/>
          <w:bCs/>
        </w:rPr>
        <w:t>case</w:t>
      </w:r>
      <w:r w:rsidR="002234F1">
        <w:rPr>
          <w:b/>
          <w:bCs/>
        </w:rPr>
        <w:t> </w:t>
      </w:r>
      <w:r w:rsidR="003D5DAC" w:rsidRPr="00EB54DE">
        <w:rPr>
          <w:b/>
          <w:bCs/>
        </w:rPr>
        <w:t>1</w:t>
      </w:r>
      <w:r w:rsidR="003D5DAC">
        <w:t xml:space="preserve">, the data </w:t>
      </w:r>
      <w:r w:rsidR="00E77242">
        <w:t xml:space="preserve">used </w:t>
      </w:r>
      <w:r w:rsidR="00B11948">
        <w:t xml:space="preserve">may </w:t>
      </w:r>
      <w:r w:rsidR="00C90B80">
        <w:t xml:space="preserve">include </w:t>
      </w:r>
      <w:r w:rsidR="00B11948">
        <w:t xml:space="preserve">or </w:t>
      </w:r>
      <w:r w:rsidR="00C90B80">
        <w:t>exclude</w:t>
      </w:r>
      <w:r w:rsidR="00B11948">
        <w:t xml:space="preserve"> losses from </w:t>
      </w:r>
      <w:r w:rsidR="003D5DAC">
        <w:t>electricity pilferage</w:t>
      </w:r>
      <w:r w:rsidR="000419C3">
        <w:t xml:space="preserve">. </w:t>
      </w:r>
      <w:r w:rsidR="00CF6E1F">
        <w:t>Accordingly,</w:t>
      </w:r>
      <w:r w:rsidR="00111107">
        <w:t xml:space="preserve"> data may be used even if no information</w:t>
      </w:r>
      <w:r w:rsidR="00C87ABE">
        <w:t xml:space="preserve"> is available </w:t>
      </w:r>
      <w:r w:rsidR="00AF06CD">
        <w:t>on</w:t>
      </w:r>
      <w:r w:rsidR="00C87ABE">
        <w:t xml:space="preserve"> whether losses from electricity pilferage</w:t>
      </w:r>
      <w:r w:rsidR="00E95398">
        <w:t xml:space="preserve"> are included</w:t>
      </w:r>
      <w:r w:rsidR="00686678">
        <w:t>; and</w:t>
      </w:r>
    </w:p>
    <w:p w14:paraId="7D5527F0" w14:textId="5F3CEDCD" w:rsidR="003D5DAC" w:rsidRDefault="66FDFEB6">
      <w:pPr>
        <w:pStyle w:val="SDMSubPara2"/>
      </w:pPr>
      <w:r>
        <w:t>For</w:t>
      </w:r>
      <w:r w:rsidR="003D5DAC">
        <w:t xml:space="preserve"> </w:t>
      </w:r>
      <w:r w:rsidR="00E95398" w:rsidRPr="00EB54DE">
        <w:rPr>
          <w:b/>
          <w:bCs/>
        </w:rPr>
        <w:t>case </w:t>
      </w:r>
      <w:r w:rsidR="000419C3" w:rsidRPr="00EB54DE">
        <w:rPr>
          <w:b/>
          <w:bCs/>
        </w:rPr>
        <w:t>2</w:t>
      </w:r>
      <w:r w:rsidR="003D5DAC">
        <w:t xml:space="preserve">, the data </w:t>
      </w:r>
      <w:r w:rsidR="000419C3">
        <w:t xml:space="preserve">shall include physical losses </w:t>
      </w:r>
      <w:r w:rsidR="00675DA8">
        <w:t xml:space="preserve">only </w:t>
      </w:r>
      <w:r w:rsidR="000419C3">
        <w:t xml:space="preserve">and </w:t>
      </w:r>
      <w:r w:rsidR="00675DA8">
        <w:t xml:space="preserve">shall exclude </w:t>
      </w:r>
      <w:r w:rsidR="000419C3">
        <w:t>any losses from</w:t>
      </w:r>
      <w:r w:rsidR="003D5DAC">
        <w:t xml:space="preserve"> electricity pilferage;</w:t>
      </w:r>
      <w:r w:rsidR="00AE12E7">
        <w:t xml:space="preserve"> or</w:t>
      </w:r>
    </w:p>
    <w:p w14:paraId="46EA253D" w14:textId="53E3D2BE" w:rsidR="00780B7E" w:rsidRDefault="00780B7E">
      <w:pPr>
        <w:pStyle w:val="SDMSubPara1"/>
      </w:pPr>
      <w:r w:rsidRPr="00714B01">
        <w:rPr>
          <w:b/>
          <w:bCs/>
        </w:rPr>
        <w:t>Option</w:t>
      </w:r>
      <w:r w:rsidR="00B23B70">
        <w:rPr>
          <w:b/>
          <w:bCs/>
        </w:rPr>
        <w:t> </w:t>
      </w:r>
      <w:r w:rsidRPr="00714B01">
        <w:rPr>
          <w:b/>
          <w:bCs/>
        </w:rPr>
        <w:t>2</w:t>
      </w:r>
      <w:r>
        <w:t xml:space="preserve">: </w:t>
      </w:r>
      <w:r w:rsidR="00E22F8D">
        <w:t xml:space="preserve">apply </w:t>
      </w:r>
      <w:r>
        <w:t xml:space="preserve">the </w:t>
      </w:r>
      <w:r w:rsidR="00671458">
        <w:t xml:space="preserve">appropriate </w:t>
      </w:r>
      <w:r>
        <w:t xml:space="preserve">default value </w:t>
      </w:r>
      <w:r w:rsidR="003459B3">
        <w:t>from</w:t>
      </w:r>
      <w:r w:rsidR="00092C6F">
        <w:t xml:space="preserve"> </w:t>
      </w:r>
      <w:r w:rsidR="00E57F67">
        <w:fldChar w:fldCharType="begin"/>
      </w:r>
      <w:r w:rsidR="00E57F67">
        <w:instrText xml:space="preserve"> REF _Ref220950383 \h </w:instrText>
      </w:r>
      <w:r w:rsidR="00E57F67">
        <w:fldChar w:fldCharType="separate"/>
      </w:r>
      <w:r w:rsidR="00D811A8">
        <w:t>Table </w:t>
      </w:r>
      <w:r w:rsidR="00D811A8">
        <w:rPr>
          <w:noProof/>
        </w:rPr>
        <w:t>6</w:t>
      </w:r>
      <w:r w:rsidR="00E57F67">
        <w:fldChar w:fldCharType="end"/>
      </w:r>
      <w:r w:rsidR="00D039D7">
        <w:t xml:space="preserve"> </w:t>
      </w:r>
      <w:r>
        <w:t>for</w:t>
      </w:r>
      <w:r w:rsidR="003459B3" w:rsidDel="00714B01">
        <w:t xml:space="preserve"> </w:t>
      </w:r>
      <w:r>
        <w:t>transmission and distribution losses</w:t>
      </w:r>
      <w:r w:rsidR="003459B3">
        <w:t>,</w:t>
      </w:r>
      <w:r w:rsidR="759E7B23">
        <w:t xml:space="preserve"> </w:t>
      </w:r>
      <w:r w:rsidR="380A2797">
        <w:t>based on</w:t>
      </w:r>
      <w:r w:rsidR="006A24B9">
        <w:t xml:space="preserve"> </w:t>
      </w:r>
      <w:r w:rsidR="003459B3">
        <w:t>the</w:t>
      </w:r>
      <w:r w:rsidR="00A72AA9">
        <w:t xml:space="preserve"> voltage level</w:t>
      </w:r>
      <w:r w:rsidR="003459B3">
        <w:t xml:space="preserve"> at which electricity is consumed and depending on whether</w:t>
      </w:r>
      <w:r w:rsidR="00A2641E">
        <w:t xml:space="preserve"> </w:t>
      </w:r>
      <w:r w:rsidR="005D5483" w:rsidRPr="005D5483">
        <w:rPr>
          <w:b/>
          <w:bCs/>
        </w:rPr>
        <w:t>case</w:t>
      </w:r>
      <w:r w:rsidR="00B23B70">
        <w:rPr>
          <w:b/>
          <w:bCs/>
        </w:rPr>
        <w:t> </w:t>
      </w:r>
      <w:r w:rsidR="00A2641E" w:rsidRPr="005D5483">
        <w:rPr>
          <w:b/>
          <w:bCs/>
        </w:rPr>
        <w:t>1</w:t>
      </w:r>
      <w:r w:rsidR="00A2641E">
        <w:t xml:space="preserve"> </w:t>
      </w:r>
      <w:r w:rsidR="003459B3">
        <w:t>or</w:t>
      </w:r>
      <w:r w:rsidR="00A2641E" w:rsidDel="005D5483">
        <w:t xml:space="preserve"> </w:t>
      </w:r>
      <w:r w:rsidR="005D5483" w:rsidRPr="005D5483">
        <w:rPr>
          <w:b/>
          <w:bCs/>
        </w:rPr>
        <w:t>case</w:t>
      </w:r>
      <w:r w:rsidR="00B23B70">
        <w:rPr>
          <w:b/>
          <w:bCs/>
        </w:rPr>
        <w:t> </w:t>
      </w:r>
      <w:r w:rsidR="00A2641E" w:rsidRPr="005D5483">
        <w:rPr>
          <w:b/>
          <w:bCs/>
        </w:rPr>
        <w:t>2</w:t>
      </w:r>
      <w:r w:rsidR="35494CB7">
        <w:t xml:space="preserve"> </w:t>
      </w:r>
      <w:r w:rsidR="003459B3">
        <w:t>applies</w:t>
      </w:r>
      <w:r w:rsidR="003B0DB5">
        <w:t>.</w:t>
      </w:r>
    </w:p>
    <w:p w14:paraId="1FA3632A" w14:textId="1C997D20" w:rsidR="000F6788" w:rsidRDefault="003C00B5" w:rsidP="003C00B5">
      <w:pPr>
        <w:pStyle w:val="Caption"/>
      </w:pPr>
      <w:bookmarkStart w:id="650" w:name="_Ref220950383"/>
      <w:r>
        <w:t>Table</w:t>
      </w:r>
      <w:r w:rsidR="00B23B70">
        <w:t> </w:t>
      </w:r>
      <w:r>
        <w:fldChar w:fldCharType="begin"/>
      </w:r>
      <w:r>
        <w:instrText>SEQ Table \* ARABIC</w:instrText>
      </w:r>
      <w:r>
        <w:fldChar w:fldCharType="separate"/>
      </w:r>
      <w:r w:rsidR="00D811A8">
        <w:rPr>
          <w:noProof/>
        </w:rPr>
        <w:t>6</w:t>
      </w:r>
      <w:r>
        <w:fldChar w:fldCharType="end"/>
      </w:r>
      <w:bookmarkEnd w:id="650"/>
      <w:r w:rsidR="00194FE8">
        <w:rPr>
          <w:noProof/>
        </w:rPr>
        <w:t>.</w:t>
      </w:r>
      <w:r w:rsidR="00194FE8">
        <w:tab/>
      </w:r>
      <w:r w:rsidR="00194FE8">
        <w:rPr>
          <w:lang w:val="en-US"/>
        </w:rPr>
        <w:t xml:space="preserve">Default transmission and distribution losses </w:t>
      </w:r>
      <w:r w:rsidR="00AF3A26">
        <w:rPr>
          <w:lang w:val="en-US"/>
        </w:rPr>
        <w:t xml:space="preserve">by voltage level and </w:t>
      </w:r>
      <w:r w:rsidR="00194FE8">
        <w:t>case</w:t>
      </w:r>
    </w:p>
    <w:tbl>
      <w:tblPr>
        <w:tblStyle w:val="SDMTable"/>
        <w:tblW w:w="8618" w:type="dxa"/>
        <w:tblLayout w:type="fixed"/>
        <w:tblLook w:val="04A0" w:firstRow="1" w:lastRow="0" w:firstColumn="1" w:lastColumn="0" w:noHBand="0" w:noVBand="1"/>
      </w:tblPr>
      <w:tblGrid>
        <w:gridCol w:w="4166"/>
        <w:gridCol w:w="2010"/>
        <w:gridCol w:w="1149"/>
        <w:gridCol w:w="1293"/>
      </w:tblGrid>
      <w:tr w:rsidR="00BD1674" w14:paraId="7F260165" w14:textId="77777777" w:rsidTr="00A919A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tcPr>
          <w:p w14:paraId="5A1FF91B" w14:textId="1A5B7B37" w:rsidR="00BD1674" w:rsidRPr="00895A85" w:rsidRDefault="00BD1674" w:rsidP="002976A7">
            <w:pPr>
              <w:pStyle w:val="SDMTableBoxParaNotNumbered"/>
              <w:rPr>
                <w:b w:val="0"/>
                <w:bCs/>
              </w:rPr>
            </w:pPr>
            <w:r w:rsidRPr="00895A85">
              <w:rPr>
                <w:bCs/>
              </w:rPr>
              <w:t>Voltage level</w:t>
            </w:r>
            <w:r w:rsidR="00AF3A26">
              <w:rPr>
                <w:bCs/>
              </w:rPr>
              <w:t xml:space="preserve"> at which electricity </w:t>
            </w:r>
            <w:r w:rsidR="00AF3A26" w:rsidDel="00A42D49">
              <w:rPr>
                <w:bCs/>
              </w:rPr>
              <w:t xml:space="preserve">is </w:t>
            </w:r>
            <w:r w:rsidR="00664D06">
              <w:rPr>
                <w:bCs/>
              </w:rPr>
              <w:t>delivered to the electricity consumption source</w:t>
            </w:r>
            <w:r w:rsidR="002976A7">
              <w:rPr>
                <w:bCs/>
              </w:rPr>
              <w:t> </w:t>
            </w:r>
            <w:r w:rsidR="00664D06" w:rsidRPr="00664D06">
              <w:rPr>
                <w:bCs/>
                <w:i/>
                <w:iCs/>
              </w:rPr>
              <w:t>s</w:t>
            </w:r>
          </w:p>
        </w:tc>
        <w:tc>
          <w:tcPr>
            <w:tcW w:w="1984" w:type="dxa"/>
          </w:tcPr>
          <w:p w14:paraId="5C2598A8" w14:textId="61F56370" w:rsidR="00BD1674" w:rsidRPr="07B1BF5F" w:rsidRDefault="00CD2142" w:rsidP="002976A7">
            <w:pPr>
              <w:pStyle w:val="SDMTableBoxParaNotNumbered"/>
              <w:cnfStyle w:val="100000000000" w:firstRow="1" w:lastRow="0" w:firstColumn="0" w:lastColumn="0" w:oddVBand="0" w:evenVBand="0" w:oddHBand="0" w:evenHBand="0" w:firstRowFirstColumn="0" w:firstRowLastColumn="0" w:lastRowFirstColumn="0" w:lastRowLastColumn="0"/>
              <w:rPr>
                <w:b w:val="0"/>
                <w:bCs/>
              </w:rPr>
            </w:pPr>
            <w:r>
              <w:rPr>
                <w:bCs/>
              </w:rPr>
              <w:t>Voltage r</w:t>
            </w:r>
            <w:r w:rsidR="00BD1674">
              <w:rPr>
                <w:bCs/>
              </w:rPr>
              <w:t>ange</w:t>
            </w:r>
            <w:r w:rsidR="00B012D0">
              <w:rPr>
                <w:bCs/>
              </w:rPr>
              <w:t xml:space="preserve"> (kV)</w:t>
            </w:r>
            <w:r w:rsidR="00B16C25">
              <w:rPr>
                <w:rStyle w:val="FootnoteReference"/>
                <w:bCs/>
              </w:rPr>
              <w:footnoteReference w:id="34"/>
            </w:r>
          </w:p>
        </w:tc>
        <w:tc>
          <w:tcPr>
            <w:tcW w:w="1134" w:type="dxa"/>
          </w:tcPr>
          <w:p w14:paraId="17A45927" w14:textId="71C07193" w:rsidR="00BD1674" w:rsidRPr="00895A85" w:rsidRDefault="00BD1674" w:rsidP="002976A7">
            <w:pPr>
              <w:pStyle w:val="SDMTableBoxParaNotNumbered"/>
              <w:cnfStyle w:val="100000000000" w:firstRow="1" w:lastRow="0" w:firstColumn="0" w:lastColumn="0" w:oddVBand="0" w:evenVBand="0" w:oddHBand="0" w:evenHBand="0" w:firstRowFirstColumn="0" w:firstRowLastColumn="0" w:lastRowFirstColumn="0" w:lastRowLastColumn="0"/>
              <w:rPr>
                <w:b w:val="0"/>
                <w:bCs/>
              </w:rPr>
            </w:pPr>
            <w:r w:rsidRPr="07B1BF5F">
              <w:rPr>
                <w:bCs/>
              </w:rPr>
              <w:t>Case</w:t>
            </w:r>
            <w:r w:rsidR="002976A7">
              <w:rPr>
                <w:bCs/>
              </w:rPr>
              <w:t> </w:t>
            </w:r>
            <w:r w:rsidRPr="07B1BF5F">
              <w:rPr>
                <w:bCs/>
              </w:rPr>
              <w:t>1</w:t>
            </w:r>
          </w:p>
        </w:tc>
        <w:tc>
          <w:tcPr>
            <w:tcW w:w="1276" w:type="dxa"/>
          </w:tcPr>
          <w:p w14:paraId="16FCE691" w14:textId="09DA5493" w:rsidR="00BD1674" w:rsidRPr="00895A85" w:rsidRDefault="00BD1674" w:rsidP="002976A7">
            <w:pPr>
              <w:pStyle w:val="SDMTableBoxParaNotNumbered"/>
              <w:cnfStyle w:val="100000000000" w:firstRow="1" w:lastRow="0" w:firstColumn="0" w:lastColumn="0" w:oddVBand="0" w:evenVBand="0" w:oddHBand="0" w:evenHBand="0" w:firstRowFirstColumn="0" w:firstRowLastColumn="0" w:lastRowFirstColumn="0" w:lastRowLastColumn="0"/>
              <w:rPr>
                <w:b w:val="0"/>
                <w:bCs/>
              </w:rPr>
            </w:pPr>
            <w:r w:rsidRPr="07B1BF5F">
              <w:rPr>
                <w:bCs/>
              </w:rPr>
              <w:t>Case</w:t>
            </w:r>
            <w:r w:rsidR="002976A7">
              <w:rPr>
                <w:bCs/>
              </w:rPr>
              <w:t> </w:t>
            </w:r>
            <w:r w:rsidRPr="07B1BF5F">
              <w:rPr>
                <w:bCs/>
              </w:rPr>
              <w:t>2</w:t>
            </w:r>
          </w:p>
        </w:tc>
      </w:tr>
      <w:tr w:rsidR="00BD1674" w14:paraId="47289F3D" w14:textId="77777777" w:rsidTr="00A919AB">
        <w:trPr>
          <w:trHeight w:val="300"/>
        </w:trPr>
        <w:tc>
          <w:tcPr>
            <w:cnfStyle w:val="001000000000" w:firstRow="0" w:lastRow="0" w:firstColumn="1" w:lastColumn="0" w:oddVBand="0" w:evenVBand="0" w:oddHBand="0" w:evenHBand="0" w:firstRowFirstColumn="0" w:firstRowLastColumn="0" w:lastRowFirstColumn="0" w:lastRowLastColumn="0"/>
            <w:tcW w:w="4111" w:type="dxa"/>
          </w:tcPr>
          <w:p w14:paraId="70106CC9" w14:textId="78E74941" w:rsidR="00BD1674" w:rsidRDefault="00BD1674" w:rsidP="002976A7">
            <w:pPr>
              <w:pStyle w:val="SDMTableBoxParaNotNumbered"/>
            </w:pPr>
            <w:r>
              <w:t xml:space="preserve">High </w:t>
            </w:r>
            <w:r w:rsidR="00B3431B">
              <w:t xml:space="preserve">and extra high </w:t>
            </w:r>
            <w:r>
              <w:t>voltage (HV)</w:t>
            </w:r>
          </w:p>
        </w:tc>
        <w:tc>
          <w:tcPr>
            <w:tcW w:w="1984" w:type="dxa"/>
          </w:tcPr>
          <w:p w14:paraId="3E0898E8" w14:textId="192A054C" w:rsidR="00BD1674" w:rsidRPr="00AA542B" w:rsidRDefault="00B012D0" w:rsidP="002976A7">
            <w:pPr>
              <w:pStyle w:val="SDMTableBoxParaNotNumbered"/>
              <w:cnfStyle w:val="000000000000" w:firstRow="0" w:lastRow="0" w:firstColumn="0" w:lastColumn="0" w:oddVBand="0" w:evenVBand="0" w:oddHBand="0" w:evenHBand="0" w:firstRowFirstColumn="0" w:firstRowLastColumn="0" w:lastRowFirstColumn="0" w:lastRowLastColumn="0"/>
              <w:rPr>
                <w:u w:val="single"/>
              </w:rPr>
            </w:pPr>
            <w:r w:rsidRPr="00AA542B">
              <w:rPr>
                <w:u w:val="single"/>
              </w:rPr>
              <w:t>&gt;</w:t>
            </w:r>
            <w:r w:rsidRPr="00AA542B">
              <w:t xml:space="preserve"> 35</w:t>
            </w:r>
          </w:p>
        </w:tc>
        <w:tc>
          <w:tcPr>
            <w:tcW w:w="1134" w:type="dxa"/>
          </w:tcPr>
          <w:p w14:paraId="412A46D7" w14:textId="029715C3" w:rsidR="00BD1674" w:rsidRPr="00AA542B" w:rsidRDefault="00BD1674" w:rsidP="002976A7">
            <w:pPr>
              <w:pStyle w:val="SDMTableBoxParaNotNumbered"/>
              <w:cnfStyle w:val="000000000000" w:firstRow="0" w:lastRow="0" w:firstColumn="0" w:lastColumn="0" w:oddVBand="0" w:evenVBand="0" w:oddHBand="0" w:evenHBand="0" w:firstRowFirstColumn="0" w:firstRowLastColumn="0" w:lastRowFirstColumn="0" w:lastRowLastColumn="0"/>
            </w:pPr>
            <w:r w:rsidRPr="00AA542B">
              <w:t>7%</w:t>
            </w:r>
          </w:p>
        </w:tc>
        <w:tc>
          <w:tcPr>
            <w:tcW w:w="1276" w:type="dxa"/>
          </w:tcPr>
          <w:p w14:paraId="0DEC8EA2" w14:textId="218DD5A0" w:rsidR="00BD1674" w:rsidRPr="00AA542B" w:rsidRDefault="00BD1674" w:rsidP="002976A7">
            <w:pPr>
              <w:pStyle w:val="SDMTableBoxParaNotNumbered"/>
              <w:cnfStyle w:val="000000000000" w:firstRow="0" w:lastRow="0" w:firstColumn="0" w:lastColumn="0" w:oddVBand="0" w:evenVBand="0" w:oddHBand="0" w:evenHBand="0" w:firstRowFirstColumn="0" w:firstRowLastColumn="0" w:lastRowFirstColumn="0" w:lastRowLastColumn="0"/>
            </w:pPr>
            <w:r w:rsidRPr="00AA542B">
              <w:t>2%</w:t>
            </w:r>
          </w:p>
        </w:tc>
      </w:tr>
      <w:tr w:rsidR="00BD1674" w14:paraId="460B59B5" w14:textId="77777777" w:rsidTr="00A919AB">
        <w:trPr>
          <w:trHeight w:val="300"/>
        </w:trPr>
        <w:tc>
          <w:tcPr>
            <w:cnfStyle w:val="001000000000" w:firstRow="0" w:lastRow="0" w:firstColumn="1" w:lastColumn="0" w:oddVBand="0" w:evenVBand="0" w:oddHBand="0" w:evenHBand="0" w:firstRowFirstColumn="0" w:firstRowLastColumn="0" w:lastRowFirstColumn="0" w:lastRowLastColumn="0"/>
            <w:tcW w:w="4111" w:type="dxa"/>
          </w:tcPr>
          <w:p w14:paraId="7C71BE73" w14:textId="4F9A0974" w:rsidR="00BD1674" w:rsidRDefault="00BD1674" w:rsidP="002976A7">
            <w:pPr>
              <w:pStyle w:val="SDMTableBoxParaNotNumbered"/>
            </w:pPr>
            <w:r>
              <w:t>Medium voltage (MV)</w:t>
            </w:r>
          </w:p>
        </w:tc>
        <w:tc>
          <w:tcPr>
            <w:tcW w:w="1984" w:type="dxa"/>
          </w:tcPr>
          <w:p w14:paraId="567F00C4" w14:textId="2EBBBD57" w:rsidR="00BD1674" w:rsidRPr="00AA542B" w:rsidRDefault="00B012D0" w:rsidP="002976A7">
            <w:pPr>
              <w:pStyle w:val="SDMTableBoxParaNotNumbered"/>
              <w:cnfStyle w:val="000000000000" w:firstRow="0" w:lastRow="0" w:firstColumn="0" w:lastColumn="0" w:oddVBand="0" w:evenVBand="0" w:oddHBand="0" w:evenHBand="0" w:firstRowFirstColumn="0" w:firstRowLastColumn="0" w:lastRowFirstColumn="0" w:lastRowLastColumn="0"/>
            </w:pPr>
            <w:r w:rsidRPr="00AA542B">
              <w:t>&lt; 35 and &gt; 1</w:t>
            </w:r>
          </w:p>
        </w:tc>
        <w:tc>
          <w:tcPr>
            <w:tcW w:w="1134" w:type="dxa"/>
          </w:tcPr>
          <w:p w14:paraId="32A43312" w14:textId="43B4EC4E" w:rsidR="00BD1674" w:rsidRPr="00AA542B" w:rsidRDefault="00BD1674" w:rsidP="002976A7">
            <w:pPr>
              <w:pStyle w:val="SDMTableBoxParaNotNumbered"/>
              <w:cnfStyle w:val="000000000000" w:firstRow="0" w:lastRow="0" w:firstColumn="0" w:lastColumn="0" w:oddVBand="0" w:evenVBand="0" w:oddHBand="0" w:evenHBand="0" w:firstRowFirstColumn="0" w:firstRowLastColumn="0" w:lastRowFirstColumn="0" w:lastRowLastColumn="0"/>
            </w:pPr>
            <w:r w:rsidRPr="00AA542B">
              <w:t>11%</w:t>
            </w:r>
          </w:p>
        </w:tc>
        <w:tc>
          <w:tcPr>
            <w:tcW w:w="1276" w:type="dxa"/>
          </w:tcPr>
          <w:p w14:paraId="60480597" w14:textId="366F970C" w:rsidR="00BD1674" w:rsidRPr="00AA542B" w:rsidRDefault="00BD1674" w:rsidP="002976A7">
            <w:pPr>
              <w:pStyle w:val="SDMTableBoxParaNotNumbered"/>
              <w:cnfStyle w:val="000000000000" w:firstRow="0" w:lastRow="0" w:firstColumn="0" w:lastColumn="0" w:oddVBand="0" w:evenVBand="0" w:oddHBand="0" w:evenHBand="0" w:firstRowFirstColumn="0" w:firstRowLastColumn="0" w:lastRowFirstColumn="0" w:lastRowLastColumn="0"/>
            </w:pPr>
            <w:r w:rsidRPr="00AA542B">
              <w:t>4%</w:t>
            </w:r>
          </w:p>
        </w:tc>
      </w:tr>
      <w:tr w:rsidR="00BD1674" w14:paraId="31BF0B06" w14:textId="77777777" w:rsidTr="00A919AB">
        <w:trPr>
          <w:trHeight w:val="300"/>
        </w:trPr>
        <w:tc>
          <w:tcPr>
            <w:cnfStyle w:val="001000000000" w:firstRow="0" w:lastRow="0" w:firstColumn="1" w:lastColumn="0" w:oddVBand="0" w:evenVBand="0" w:oddHBand="0" w:evenHBand="0" w:firstRowFirstColumn="0" w:firstRowLastColumn="0" w:lastRowFirstColumn="0" w:lastRowLastColumn="0"/>
            <w:tcW w:w="4111" w:type="dxa"/>
          </w:tcPr>
          <w:p w14:paraId="3C7D4527" w14:textId="42F89AA9" w:rsidR="00BD1674" w:rsidRDefault="00BD1674" w:rsidP="002976A7">
            <w:pPr>
              <w:pStyle w:val="SDMTableBoxParaNotNumbered"/>
            </w:pPr>
            <w:r>
              <w:t xml:space="preserve">Low </w:t>
            </w:r>
            <w:r w:rsidR="00B3431B">
              <w:t xml:space="preserve">and extra low </w:t>
            </w:r>
            <w:r>
              <w:t>voltage (LV)</w:t>
            </w:r>
          </w:p>
        </w:tc>
        <w:tc>
          <w:tcPr>
            <w:tcW w:w="1984" w:type="dxa"/>
          </w:tcPr>
          <w:p w14:paraId="6D7A3504" w14:textId="011EB37E" w:rsidR="00BD1674" w:rsidRPr="00AA542B" w:rsidRDefault="00B012D0" w:rsidP="002976A7">
            <w:pPr>
              <w:pStyle w:val="SDMTableBoxParaNotNumbered"/>
              <w:cnfStyle w:val="000000000000" w:firstRow="0" w:lastRow="0" w:firstColumn="0" w:lastColumn="0" w:oddVBand="0" w:evenVBand="0" w:oddHBand="0" w:evenHBand="0" w:firstRowFirstColumn="0" w:firstRowLastColumn="0" w:lastRowFirstColumn="0" w:lastRowLastColumn="0"/>
              <w:rPr>
                <w:u w:val="single"/>
              </w:rPr>
            </w:pPr>
            <w:r w:rsidRPr="00AA542B">
              <w:rPr>
                <w:u w:val="single"/>
              </w:rPr>
              <w:t>&lt;</w:t>
            </w:r>
            <w:r w:rsidRPr="00AA542B">
              <w:t xml:space="preserve"> 1</w:t>
            </w:r>
          </w:p>
        </w:tc>
        <w:tc>
          <w:tcPr>
            <w:tcW w:w="1134" w:type="dxa"/>
          </w:tcPr>
          <w:p w14:paraId="2CD2BF30" w14:textId="15D1356F" w:rsidR="00BD1674" w:rsidRPr="00AA542B" w:rsidRDefault="00BD1674" w:rsidP="002976A7">
            <w:pPr>
              <w:pStyle w:val="SDMTableBoxParaNotNumbered"/>
              <w:cnfStyle w:val="000000000000" w:firstRow="0" w:lastRow="0" w:firstColumn="0" w:lastColumn="0" w:oddVBand="0" w:evenVBand="0" w:oddHBand="0" w:evenHBand="0" w:firstRowFirstColumn="0" w:firstRowLastColumn="0" w:lastRowFirstColumn="0" w:lastRowLastColumn="0"/>
            </w:pPr>
            <w:r w:rsidRPr="00AA542B">
              <w:t>16%</w:t>
            </w:r>
          </w:p>
        </w:tc>
        <w:tc>
          <w:tcPr>
            <w:tcW w:w="1276" w:type="dxa"/>
          </w:tcPr>
          <w:p w14:paraId="2BFD5BFF" w14:textId="44799FB4" w:rsidR="00BD1674" w:rsidRPr="00AA542B" w:rsidRDefault="00BD1674" w:rsidP="002976A7">
            <w:pPr>
              <w:pStyle w:val="SDMTableBoxParaNotNumbered"/>
              <w:cnfStyle w:val="000000000000" w:firstRow="0" w:lastRow="0" w:firstColumn="0" w:lastColumn="0" w:oddVBand="0" w:evenVBand="0" w:oddHBand="0" w:evenHBand="0" w:firstRowFirstColumn="0" w:firstRowLastColumn="0" w:lastRowFirstColumn="0" w:lastRowLastColumn="0"/>
            </w:pPr>
            <w:r w:rsidRPr="00AA542B">
              <w:t>8%</w:t>
            </w:r>
          </w:p>
        </w:tc>
      </w:tr>
    </w:tbl>
    <w:p w14:paraId="0916A04D" w14:textId="48BF8FBB" w:rsidR="00E41E58" w:rsidRDefault="006A773E">
      <w:pPr>
        <w:pStyle w:val="SDMHead2"/>
      </w:pPr>
      <w:bookmarkStart w:id="651" w:name="_Toc215574897"/>
      <w:bookmarkStart w:id="652" w:name="_Toc215579111"/>
      <w:bookmarkStart w:id="653" w:name="_Ref212234592"/>
      <w:bookmarkStart w:id="654" w:name="_Toc212389912"/>
      <w:bookmarkStart w:id="655" w:name="_Toc215208611"/>
      <w:bookmarkStart w:id="656" w:name="_Toc215216130"/>
      <w:bookmarkStart w:id="657" w:name="_Toc215222866"/>
      <w:bookmarkStart w:id="658" w:name="_Toc215223054"/>
      <w:bookmarkStart w:id="659" w:name="_Toc215223276"/>
      <w:bookmarkStart w:id="660" w:name="_Toc215574902"/>
      <w:bookmarkStart w:id="661" w:name="_Toc215923336"/>
      <w:bookmarkStart w:id="662" w:name="_Toc216093032"/>
      <w:bookmarkStart w:id="663" w:name="_Toc216271761"/>
      <w:bookmarkStart w:id="664" w:name="_Toc216279378"/>
      <w:bookmarkStart w:id="665" w:name="_Toc216283416"/>
      <w:bookmarkStart w:id="666" w:name="_Toc216288034"/>
      <w:bookmarkStart w:id="667" w:name="_Toc219666141"/>
      <w:bookmarkStart w:id="668" w:name="_Toc220001401"/>
      <w:bookmarkStart w:id="669" w:name="_Toc221096425"/>
      <w:bookmarkStart w:id="670" w:name="_Toc221097977"/>
      <w:bookmarkStart w:id="671" w:name="_Toc221116273"/>
      <w:bookmarkStart w:id="672" w:name="_Toc221117289"/>
      <w:bookmarkStart w:id="673" w:name="_Toc222132127"/>
      <w:bookmarkStart w:id="674" w:name="_Toc222494928"/>
      <w:bookmarkStart w:id="675" w:name="_Toc222512444"/>
      <w:bookmarkStart w:id="676" w:name="_Toc222741764"/>
      <w:bookmarkEnd w:id="651"/>
      <w:bookmarkEnd w:id="652"/>
      <w:r>
        <w:t>Step</w:t>
      </w:r>
      <w:r w:rsidR="00B23B70">
        <w:t> </w:t>
      </w:r>
      <w:r w:rsidR="00843CC2">
        <w:t>10</w:t>
      </w:r>
      <w:r>
        <w:t xml:space="preserve">. </w:t>
      </w:r>
      <w:r w:rsidR="002B0CA8">
        <w:t>Determine</w:t>
      </w:r>
      <w:r w:rsidR="00156808">
        <w:t xml:space="preserve"> the emissions from electricity generation and/or consumption</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46D0E080" w14:textId="36AE50AE" w:rsidR="00F74E46" w:rsidRDefault="00F97EB3" w:rsidP="00C72647">
      <w:pPr>
        <w:pStyle w:val="SDMPara"/>
        <w:keepNext/>
      </w:pPr>
      <w:r>
        <w:t>B</w:t>
      </w:r>
      <w:r w:rsidR="00754F6A" w:rsidRPr="00754F6A">
        <w:t xml:space="preserve">aseline, </w:t>
      </w:r>
      <w:r w:rsidR="00754F6A">
        <w:t>project</w:t>
      </w:r>
      <w:r w:rsidR="001C1EBE">
        <w:t xml:space="preserve"> </w:t>
      </w:r>
      <w:r w:rsidR="00754F6A" w:rsidRPr="00754F6A">
        <w:t xml:space="preserve">and/or leakage emissions from generation and/or consumption </w:t>
      </w:r>
      <w:r>
        <w:t>shall be</w:t>
      </w:r>
      <w:r w:rsidRPr="00754F6A">
        <w:t xml:space="preserve"> </w:t>
      </w:r>
      <w:r w:rsidR="00754F6A" w:rsidRPr="00754F6A">
        <w:t>calculated based on the quantity of electricity</w:t>
      </w:r>
      <w:r w:rsidR="00241DAF">
        <w:t xml:space="preserve"> </w:t>
      </w:r>
      <w:r w:rsidR="00AE13EF">
        <w:t xml:space="preserve">generation </w:t>
      </w:r>
      <w:r w:rsidR="00582AD5">
        <w:t>and/</w:t>
      </w:r>
      <w:r w:rsidR="00AE13EF">
        <w:t xml:space="preserve">or </w:t>
      </w:r>
      <w:r w:rsidR="00AE13EF" w:rsidDel="00A315A9">
        <w:t>consumption</w:t>
      </w:r>
      <w:r w:rsidR="000C6F66">
        <w:t>,</w:t>
      </w:r>
      <w:r w:rsidR="00754F6A" w:rsidRPr="00754F6A" w:rsidDel="00A315A9">
        <w:t xml:space="preserve"> </w:t>
      </w:r>
      <w:r w:rsidR="00A315A9">
        <w:t>the applicable</w:t>
      </w:r>
      <w:r w:rsidR="00A315A9" w:rsidRPr="00754F6A">
        <w:t xml:space="preserve"> </w:t>
      </w:r>
      <w:r w:rsidR="00754F6A" w:rsidRPr="00754F6A">
        <w:t>emission factor for electricity generation</w:t>
      </w:r>
      <w:r w:rsidR="000C6F66">
        <w:t xml:space="preserve"> or consumption,</w:t>
      </w:r>
      <w:r w:rsidR="00754F6A" w:rsidRPr="00754F6A">
        <w:t xml:space="preserve"> and</w:t>
      </w:r>
      <w:r w:rsidR="00C91885">
        <w:t>, where relevant,</w:t>
      </w:r>
      <w:r w:rsidR="00754F6A" w:rsidRPr="00754F6A">
        <w:t xml:space="preserve"> a factor to account for transmission </w:t>
      </w:r>
      <w:r w:rsidR="000C6F66">
        <w:t>and distribution losses</w:t>
      </w:r>
      <w:r w:rsidR="005421FA">
        <w:t>, as follows:</w:t>
      </w:r>
    </w:p>
    <w:p w14:paraId="44ACA1A1" w14:textId="704C6D06" w:rsidR="00156808" w:rsidRPr="009D536D" w:rsidRDefault="000A0AB3" w:rsidP="00C72647">
      <w:pPr>
        <w:pStyle w:val="SDMSubPara1"/>
        <w:keepNext/>
      </w:pPr>
      <w:r>
        <w:rPr>
          <w:b/>
          <w:bCs/>
        </w:rPr>
        <w:t xml:space="preserve">Annual determination: </w:t>
      </w:r>
      <w:r>
        <w:t>w</w:t>
      </w:r>
      <w:r w:rsidRPr="009D536D">
        <w:t xml:space="preserve">here </w:t>
      </w:r>
      <w:r w:rsidR="000C13C8" w:rsidRPr="009D536D">
        <w:t xml:space="preserve">electricity generation </w:t>
      </w:r>
      <w:r w:rsidR="00C670CB">
        <w:t>and/</w:t>
      </w:r>
      <w:r w:rsidR="00D20EB0" w:rsidRPr="009D536D">
        <w:t>or</w:t>
      </w:r>
      <w:r w:rsidR="000C13C8" w:rsidRPr="009D536D">
        <w:t xml:space="preserve"> consumption and emission factors are determined on an annual basis </w:t>
      </w:r>
      <w:r w:rsidR="00560DCD" w:rsidRPr="009D536D">
        <w:t>for each calendar year </w:t>
      </w:r>
      <w:r w:rsidR="00560DCD" w:rsidRPr="00FA3A4E">
        <w:rPr>
          <w:i/>
          <w:iCs/>
        </w:rPr>
        <w:t>y</w:t>
      </w:r>
      <w:r w:rsidR="00560DCD" w:rsidRPr="009D536D">
        <w:t xml:space="preserve"> of the crediting period, </w:t>
      </w:r>
      <w:r w:rsidR="0037108C" w:rsidRPr="009D536D">
        <w:t>emissions shall be calculated as follows:</w:t>
      </w:r>
    </w:p>
    <w:tbl>
      <w:tblPr>
        <w:tblStyle w:val="SDMMethTableEquation"/>
        <w:tblW w:w="8656" w:type="dxa"/>
        <w:tblLook w:val="0600" w:firstRow="0" w:lastRow="0" w:firstColumn="0" w:lastColumn="0" w:noHBand="1" w:noVBand="1"/>
      </w:tblPr>
      <w:tblGrid>
        <w:gridCol w:w="6970"/>
        <w:gridCol w:w="1686"/>
      </w:tblGrid>
      <w:tr w:rsidR="003A2A42" w:rsidRPr="00E32F75" w14:paraId="225150FF" w14:textId="77777777" w:rsidTr="00FA3A4E">
        <w:trPr>
          <w:trHeight w:val="300"/>
        </w:trPr>
        <w:tc>
          <w:tcPr>
            <w:tcW w:w="6970" w:type="dxa"/>
          </w:tcPr>
          <w:p w14:paraId="2DC16B91" w14:textId="77777777" w:rsidR="003A2A42" w:rsidRPr="00252AA4" w:rsidRDefault="00000000" w:rsidP="00B23B70">
            <w:pPr>
              <w:pStyle w:val="SDMMethEquation"/>
              <w:ind w:left="709"/>
            </w:pPr>
            <m:oMathPara>
              <m:oMathParaPr>
                <m:jc m:val="left"/>
              </m:oMathParaPr>
              <m:oMath>
                <m:sSub>
                  <m:sSubPr>
                    <m:ctrlPr>
                      <w:rPr>
                        <w:rFonts w:ascii="Cambria Math" w:hAnsi="Cambria Math"/>
                        <w:i/>
                        <w:szCs w:val="20"/>
                      </w:rPr>
                    </m:ctrlPr>
                  </m:sSubPr>
                  <m:e>
                    <m:r>
                      <w:rPr>
                        <w:rFonts w:ascii="Cambria Math" w:hAnsi="Cambria Math"/>
                      </w:rPr>
                      <m:t>BE</m:t>
                    </m:r>
                  </m:e>
                  <m:sub>
                    <m:r>
                      <w:rPr>
                        <w:rFonts w:ascii="Cambria Math" w:hAnsi="Cambria Math"/>
                      </w:rPr>
                      <m:t>EG,y</m:t>
                    </m:r>
                  </m:sub>
                </m:sSub>
                <m:r>
                  <w:rPr>
                    <w:rFonts w:ascii="Cambria Math" w:hAnsi="Cambria Math"/>
                  </w:rPr>
                  <m:t>=</m:t>
                </m:r>
                <m:nary>
                  <m:naryPr>
                    <m:chr m:val="∑"/>
                    <m:limLoc m:val="undOvr"/>
                    <m:supHide m:val="1"/>
                    <m:ctrlPr>
                      <w:rPr>
                        <w:rFonts w:ascii="Cambria Math" w:hAnsi="Cambria Math"/>
                        <w:i/>
                        <w:szCs w:val="20"/>
                      </w:rPr>
                    </m:ctrlPr>
                  </m:naryPr>
                  <m:sub>
                    <m:r>
                      <w:rPr>
                        <w:rFonts w:ascii="Cambria Math" w:hAnsi="Cambria Math"/>
                      </w:rPr>
                      <m:t>s</m:t>
                    </m:r>
                  </m:sub>
                  <m:sup/>
                  <m:e>
                    <m:sSub>
                      <m:sSubPr>
                        <m:ctrlPr>
                          <w:rPr>
                            <w:rFonts w:ascii="Cambria Math" w:hAnsi="Cambria Math"/>
                            <w:i/>
                            <w:szCs w:val="20"/>
                          </w:rPr>
                        </m:ctrlPr>
                      </m:sSubPr>
                      <m:e>
                        <m:r>
                          <w:rPr>
                            <w:rFonts w:ascii="Cambria Math" w:hAnsi="Cambria Math"/>
                          </w:rPr>
                          <m:t>EG</m:t>
                        </m:r>
                      </m:e>
                      <m:sub>
                        <m:r>
                          <w:rPr>
                            <w:rFonts w:ascii="Cambria Math" w:hAnsi="Cambria Math"/>
                          </w:rPr>
                          <m:t>s,y</m:t>
                        </m:r>
                      </m:sub>
                    </m:sSub>
                    <m:r>
                      <w:rPr>
                        <w:rFonts w:ascii="Cambria Math" w:hAnsi="Cambria Math"/>
                      </w:rPr>
                      <m:t>×</m:t>
                    </m:r>
                    <m:sSub>
                      <m:sSubPr>
                        <m:ctrlPr>
                          <w:rPr>
                            <w:rFonts w:ascii="Cambria Math" w:hAnsi="Cambria Math"/>
                            <w:i/>
                            <w:szCs w:val="20"/>
                          </w:rPr>
                        </m:ctrlPr>
                      </m:sSubPr>
                      <m:e>
                        <m:r>
                          <w:rPr>
                            <w:rFonts w:ascii="Cambria Math" w:hAnsi="Cambria Math"/>
                          </w:rPr>
                          <m:t>EF</m:t>
                        </m:r>
                      </m:e>
                      <m:sub>
                        <m:r>
                          <w:rPr>
                            <w:rFonts w:ascii="Cambria Math" w:hAnsi="Cambria Math"/>
                          </w:rPr>
                          <m:t>EG,BL,s,y</m:t>
                        </m:r>
                      </m:sub>
                    </m:sSub>
                  </m:e>
                </m:nary>
              </m:oMath>
            </m:oMathPara>
          </w:p>
        </w:tc>
        <w:tc>
          <w:tcPr>
            <w:tcW w:w="1686" w:type="dxa"/>
          </w:tcPr>
          <w:p w14:paraId="7048577D" w14:textId="77777777" w:rsidR="003A2A42" w:rsidRPr="002B6960" w:rsidRDefault="003A2A42">
            <w:pPr>
              <w:pStyle w:val="SDMMethEquationNr"/>
              <w:numPr>
                <w:ilvl w:val="0"/>
                <w:numId w:val="6"/>
              </w:numPr>
            </w:pPr>
          </w:p>
        </w:tc>
      </w:tr>
      <w:tr w:rsidR="003A2A42" w:rsidRPr="00E32F75" w14:paraId="557A1575" w14:textId="77777777" w:rsidTr="00FA3A4E">
        <w:trPr>
          <w:trHeight w:val="300"/>
        </w:trPr>
        <w:tc>
          <w:tcPr>
            <w:tcW w:w="6970" w:type="dxa"/>
          </w:tcPr>
          <w:p w14:paraId="249D0069" w14:textId="77777777" w:rsidR="003A2A42" w:rsidRPr="00252AA4" w:rsidRDefault="00000000" w:rsidP="00B23B70">
            <w:pPr>
              <w:pStyle w:val="SDMMethEquation"/>
              <w:ind w:left="709"/>
            </w:pPr>
            <m:oMathPara>
              <m:oMathParaPr>
                <m:jc m:val="left"/>
              </m:oMathParaPr>
              <m:oMath>
                <m:sSub>
                  <m:sSubPr>
                    <m:ctrlPr>
                      <w:rPr>
                        <w:rFonts w:ascii="Cambria Math" w:hAnsi="Cambria Math"/>
                        <w:i/>
                        <w:szCs w:val="20"/>
                      </w:rPr>
                    </m:ctrlPr>
                  </m:sSubPr>
                  <m:e>
                    <m:r>
                      <w:rPr>
                        <w:rFonts w:ascii="Cambria Math" w:hAnsi="Cambria Math"/>
                      </w:rPr>
                      <m:t>BE</m:t>
                    </m:r>
                  </m:e>
                  <m:sub>
                    <m:r>
                      <w:rPr>
                        <w:rFonts w:ascii="Cambria Math" w:hAnsi="Cambria Math"/>
                      </w:rPr>
                      <m:t>EC,y</m:t>
                    </m:r>
                  </m:sub>
                </m:sSub>
                <m:r>
                  <w:rPr>
                    <w:rFonts w:ascii="Cambria Math" w:hAnsi="Cambria Math"/>
                  </w:rPr>
                  <m:t>=</m:t>
                </m:r>
                <m:nary>
                  <m:naryPr>
                    <m:chr m:val="∑"/>
                    <m:limLoc m:val="undOvr"/>
                    <m:supHide m:val="1"/>
                    <m:ctrlPr>
                      <w:rPr>
                        <w:rFonts w:ascii="Cambria Math" w:hAnsi="Cambria Math"/>
                        <w:i/>
                        <w:szCs w:val="20"/>
                      </w:rPr>
                    </m:ctrlPr>
                  </m:naryPr>
                  <m:sub>
                    <m:r>
                      <w:rPr>
                        <w:rFonts w:ascii="Cambria Math" w:hAnsi="Cambria Math"/>
                      </w:rPr>
                      <m:t>s</m:t>
                    </m:r>
                  </m:sub>
                  <m:sup/>
                  <m:e>
                    <m:sSub>
                      <m:sSubPr>
                        <m:ctrlPr>
                          <w:rPr>
                            <w:rFonts w:ascii="Cambria Math" w:hAnsi="Cambria Math"/>
                            <w:i/>
                            <w:szCs w:val="20"/>
                          </w:rPr>
                        </m:ctrlPr>
                      </m:sSubPr>
                      <m:e>
                        <m:r>
                          <w:rPr>
                            <w:rFonts w:ascii="Cambria Math" w:hAnsi="Cambria Math"/>
                          </w:rPr>
                          <m:t>EC</m:t>
                        </m:r>
                      </m:e>
                      <m:sub>
                        <m:r>
                          <w:rPr>
                            <w:rFonts w:ascii="Cambria Math" w:hAnsi="Cambria Math"/>
                          </w:rPr>
                          <m:t>s,y</m:t>
                        </m:r>
                      </m:sub>
                    </m:sSub>
                    <m:r>
                      <w:rPr>
                        <w:rFonts w:ascii="Cambria Math" w:hAnsi="Cambria Math"/>
                      </w:rPr>
                      <m:t>×</m:t>
                    </m:r>
                    <m:sSub>
                      <m:sSubPr>
                        <m:ctrlPr>
                          <w:rPr>
                            <w:rFonts w:ascii="Cambria Math" w:hAnsi="Cambria Math"/>
                            <w:i/>
                            <w:szCs w:val="20"/>
                          </w:rPr>
                        </m:ctrlPr>
                      </m:sSubPr>
                      <m:e>
                        <m:r>
                          <w:rPr>
                            <w:rFonts w:ascii="Cambria Math" w:hAnsi="Cambria Math"/>
                          </w:rPr>
                          <m:t>EF</m:t>
                        </m:r>
                      </m:e>
                      <m:sub>
                        <m:r>
                          <w:rPr>
                            <w:rFonts w:ascii="Cambria Math" w:hAnsi="Cambria Math"/>
                          </w:rPr>
                          <m:t>EC,BL,s,y</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m:t>
                        </m:r>
                        <m:sSub>
                          <m:sSubPr>
                            <m:ctrlPr>
                              <w:rPr>
                                <w:rFonts w:ascii="Cambria Math" w:hAnsi="Cambria Math"/>
                                <w:i/>
                                <w:szCs w:val="20"/>
                              </w:rPr>
                            </m:ctrlPr>
                          </m:sSubPr>
                          <m:e>
                            <m:r>
                              <w:rPr>
                                <w:rFonts w:ascii="Cambria Math" w:hAnsi="Cambria Math"/>
                              </w:rPr>
                              <m:t>F</m:t>
                            </m:r>
                          </m:e>
                          <m:sub>
                            <m:r>
                              <w:rPr>
                                <w:rFonts w:ascii="Cambria Math" w:hAnsi="Cambria Math"/>
                              </w:rPr>
                              <m:t>TDL,s,y</m:t>
                            </m:r>
                          </m:sub>
                        </m:sSub>
                      </m:den>
                    </m:f>
                  </m:e>
                </m:nary>
              </m:oMath>
            </m:oMathPara>
          </w:p>
        </w:tc>
        <w:tc>
          <w:tcPr>
            <w:tcW w:w="1686" w:type="dxa"/>
          </w:tcPr>
          <w:p w14:paraId="36257158" w14:textId="77777777" w:rsidR="003A2A42" w:rsidRPr="002B6960" w:rsidRDefault="003A2A42">
            <w:pPr>
              <w:pStyle w:val="SDMMethEquationNr"/>
              <w:numPr>
                <w:ilvl w:val="0"/>
                <w:numId w:val="6"/>
              </w:numPr>
            </w:pPr>
          </w:p>
        </w:tc>
      </w:tr>
      <w:tr w:rsidR="007C717A" w:rsidRPr="002B6960" w14:paraId="28A0C1FF" w14:textId="77777777" w:rsidTr="00FA3A4E">
        <w:tblPrEx>
          <w:tblLook w:val="04A0" w:firstRow="1" w:lastRow="0" w:firstColumn="1" w:lastColumn="0" w:noHBand="0" w:noVBand="1"/>
        </w:tblPrEx>
        <w:trPr>
          <w:trHeight w:val="300"/>
        </w:trPr>
        <w:tc>
          <w:tcPr>
            <w:tcW w:w="6970" w:type="dxa"/>
          </w:tcPr>
          <w:p w14:paraId="47961733" w14:textId="77777777" w:rsidR="007C717A" w:rsidRPr="00252AA4" w:rsidRDefault="00000000" w:rsidP="00B23B70">
            <w:pPr>
              <w:pStyle w:val="SDMMethEquation"/>
              <w:ind w:left="709"/>
            </w:pPr>
            <m:oMathPara>
              <m:oMathParaPr>
                <m:jc m:val="left"/>
              </m:oMathParaPr>
              <m:oMath>
                <m:sSub>
                  <m:sSubPr>
                    <m:ctrlPr>
                      <w:rPr>
                        <w:rFonts w:ascii="Cambria Math" w:hAnsi="Cambria Math"/>
                        <w:i/>
                        <w:szCs w:val="20"/>
                      </w:rPr>
                    </m:ctrlPr>
                  </m:sSubPr>
                  <m:e>
                    <m:r>
                      <w:rPr>
                        <w:rFonts w:ascii="Cambria Math" w:hAnsi="Cambria Math"/>
                      </w:rPr>
                      <m:t>PE</m:t>
                    </m:r>
                  </m:e>
                  <m:sub>
                    <m:r>
                      <w:rPr>
                        <w:rFonts w:ascii="Cambria Math" w:hAnsi="Cambria Math"/>
                      </w:rPr>
                      <m:t>EG,y</m:t>
                    </m:r>
                  </m:sub>
                </m:sSub>
                <m:r>
                  <w:rPr>
                    <w:rFonts w:ascii="Cambria Math" w:hAnsi="Cambria Math"/>
                  </w:rPr>
                  <m:t>=</m:t>
                </m:r>
                <m:nary>
                  <m:naryPr>
                    <m:chr m:val="∑"/>
                    <m:limLoc m:val="undOvr"/>
                    <m:supHide m:val="1"/>
                    <m:ctrlPr>
                      <w:rPr>
                        <w:rFonts w:ascii="Cambria Math" w:hAnsi="Cambria Math"/>
                        <w:i/>
                      </w:rPr>
                    </m:ctrlPr>
                  </m:naryPr>
                  <m:sub>
                    <m:r>
                      <w:rPr>
                        <w:rFonts w:ascii="Cambria Math" w:eastAsiaTheme="minorEastAsia" w:hAnsi="Cambria Math" w:hint="eastAsia"/>
                        <w:lang w:eastAsia="zh-CN"/>
                      </w:rPr>
                      <m:t>s</m:t>
                    </m:r>
                  </m:sub>
                  <m:sup/>
                  <m:e>
                    <m:sSub>
                      <m:sSubPr>
                        <m:ctrlPr>
                          <w:rPr>
                            <w:rFonts w:ascii="Cambria Math" w:hAnsi="Cambria Math"/>
                            <w:i/>
                          </w:rPr>
                        </m:ctrlPr>
                      </m:sSubPr>
                      <m:e>
                        <m:r>
                          <w:rPr>
                            <w:rFonts w:ascii="Cambria Math" w:hAnsi="Cambria Math"/>
                          </w:rPr>
                          <m:t>EG</m:t>
                        </m:r>
                      </m:e>
                      <m:sub>
                        <m:r>
                          <w:rPr>
                            <w:rFonts w:ascii="Cambria Math" w:hAnsi="Cambria Math"/>
                          </w:rPr>
                          <m:t>s,y</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EG,PJ,s,y</m:t>
                        </m:r>
                      </m:sub>
                    </m:sSub>
                  </m:e>
                </m:nary>
              </m:oMath>
            </m:oMathPara>
          </w:p>
        </w:tc>
        <w:tc>
          <w:tcPr>
            <w:tcW w:w="1686" w:type="dxa"/>
          </w:tcPr>
          <w:p w14:paraId="6404D65E" w14:textId="77777777" w:rsidR="007C717A" w:rsidRPr="002B6960" w:rsidRDefault="007C717A">
            <w:pPr>
              <w:pStyle w:val="SDMMethEquationNr"/>
              <w:numPr>
                <w:ilvl w:val="0"/>
                <w:numId w:val="6"/>
              </w:numPr>
            </w:pPr>
          </w:p>
        </w:tc>
      </w:tr>
      <w:tr w:rsidR="007C717A" w:rsidRPr="002B6960" w14:paraId="5D5CEFAE" w14:textId="77777777" w:rsidTr="00FA3A4E">
        <w:tblPrEx>
          <w:tblLook w:val="04A0" w:firstRow="1" w:lastRow="0" w:firstColumn="1" w:lastColumn="0" w:noHBand="0" w:noVBand="1"/>
        </w:tblPrEx>
        <w:trPr>
          <w:trHeight w:val="300"/>
        </w:trPr>
        <w:tc>
          <w:tcPr>
            <w:tcW w:w="6970" w:type="dxa"/>
          </w:tcPr>
          <w:p w14:paraId="3A3F120D" w14:textId="77777777" w:rsidR="007C717A" w:rsidRPr="00252AA4" w:rsidRDefault="00000000" w:rsidP="00B23B70">
            <w:pPr>
              <w:pStyle w:val="SDMMethEquation"/>
              <w:ind w:left="709"/>
            </w:pPr>
            <m:oMathPara>
              <m:oMathParaPr>
                <m:jc m:val="left"/>
              </m:oMathParaPr>
              <m:oMath>
                <m:sSub>
                  <m:sSubPr>
                    <m:ctrlPr>
                      <w:rPr>
                        <w:rFonts w:ascii="Cambria Math" w:hAnsi="Cambria Math"/>
                        <w:i/>
                        <w:szCs w:val="20"/>
                      </w:rPr>
                    </m:ctrlPr>
                  </m:sSubPr>
                  <m:e>
                    <m:r>
                      <w:rPr>
                        <w:rFonts w:ascii="Cambria Math" w:hAnsi="Cambria Math"/>
                      </w:rPr>
                      <m:t>PE</m:t>
                    </m:r>
                  </m:e>
                  <m:sub>
                    <m:r>
                      <w:rPr>
                        <w:rFonts w:ascii="Cambria Math" w:hAnsi="Cambria Math"/>
                      </w:rPr>
                      <m:t>EC,y</m:t>
                    </m:r>
                  </m:sub>
                </m:sSub>
                <m:r>
                  <w:rPr>
                    <w:rFonts w:ascii="Cambria Math" w:hAnsi="Cambria Math"/>
                  </w:rPr>
                  <m:t>=</m:t>
                </m:r>
                <m:nary>
                  <m:naryPr>
                    <m:chr m:val="∑"/>
                    <m:limLoc m:val="undOvr"/>
                    <m:supHide m:val="1"/>
                    <m:ctrlPr>
                      <w:rPr>
                        <w:rFonts w:ascii="Cambria Math" w:hAnsi="Cambria Math"/>
                        <w:i/>
                      </w:rPr>
                    </m:ctrlPr>
                  </m:naryPr>
                  <m:sub>
                    <m:r>
                      <w:rPr>
                        <w:rFonts w:ascii="Cambria Math" w:eastAsiaTheme="minorEastAsia" w:hAnsi="Cambria Math" w:hint="eastAsia"/>
                        <w:lang w:eastAsia="zh-CN"/>
                      </w:rPr>
                      <m:t>s</m:t>
                    </m:r>
                  </m:sub>
                  <m:sup/>
                  <m:e>
                    <m:sSub>
                      <m:sSubPr>
                        <m:ctrlPr>
                          <w:rPr>
                            <w:rFonts w:ascii="Cambria Math" w:hAnsi="Cambria Math"/>
                            <w:i/>
                          </w:rPr>
                        </m:ctrlPr>
                      </m:sSubPr>
                      <m:e>
                        <m:r>
                          <w:rPr>
                            <w:rFonts w:ascii="Cambria Math" w:hAnsi="Cambria Math"/>
                          </w:rPr>
                          <m:t>EC</m:t>
                        </m:r>
                      </m:e>
                      <m:sub>
                        <m:r>
                          <w:rPr>
                            <w:rFonts w:ascii="Cambria Math" w:hAnsi="Cambria Math"/>
                          </w:rPr>
                          <m:t>s,y</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EC,PJ,s,y</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m:t>
                        </m:r>
                        <m:sSub>
                          <m:sSubPr>
                            <m:ctrlPr>
                              <w:rPr>
                                <w:rFonts w:ascii="Cambria Math" w:hAnsi="Cambria Math"/>
                                <w:i/>
                              </w:rPr>
                            </m:ctrlPr>
                          </m:sSubPr>
                          <m:e>
                            <m:r>
                              <w:rPr>
                                <w:rFonts w:ascii="Cambria Math" w:hAnsi="Cambria Math"/>
                              </w:rPr>
                              <m:t>F</m:t>
                            </m:r>
                          </m:e>
                          <m:sub>
                            <m:r>
                              <w:rPr>
                                <w:rFonts w:ascii="Cambria Math" w:hAnsi="Cambria Math"/>
                              </w:rPr>
                              <m:t>TDL,s,y</m:t>
                            </m:r>
                          </m:sub>
                        </m:sSub>
                      </m:den>
                    </m:f>
                  </m:e>
                </m:nary>
              </m:oMath>
            </m:oMathPara>
          </w:p>
        </w:tc>
        <w:tc>
          <w:tcPr>
            <w:tcW w:w="1686" w:type="dxa"/>
          </w:tcPr>
          <w:p w14:paraId="20A46254" w14:textId="77777777" w:rsidR="007C717A" w:rsidRPr="002B6960" w:rsidRDefault="007C717A">
            <w:pPr>
              <w:pStyle w:val="SDMMethEquationNr"/>
              <w:numPr>
                <w:ilvl w:val="0"/>
                <w:numId w:val="6"/>
              </w:numPr>
            </w:pPr>
          </w:p>
        </w:tc>
      </w:tr>
      <w:tr w:rsidR="007C717A" w:rsidRPr="002B6960" w14:paraId="0FF6FF32" w14:textId="77777777" w:rsidTr="00FA3A4E">
        <w:tblPrEx>
          <w:tblLook w:val="04A0" w:firstRow="1" w:lastRow="0" w:firstColumn="1" w:lastColumn="0" w:noHBand="0" w:noVBand="1"/>
        </w:tblPrEx>
        <w:trPr>
          <w:trHeight w:val="300"/>
        </w:trPr>
        <w:tc>
          <w:tcPr>
            <w:tcW w:w="6970" w:type="dxa"/>
          </w:tcPr>
          <w:p w14:paraId="5163C4C5" w14:textId="77777777" w:rsidR="007C717A" w:rsidRPr="00252AA4" w:rsidRDefault="00000000" w:rsidP="00B23B70">
            <w:pPr>
              <w:pStyle w:val="SDMMethEquation"/>
              <w:ind w:left="709"/>
            </w:pPr>
            <m:oMathPara>
              <m:oMathParaPr>
                <m:jc m:val="left"/>
              </m:oMathParaPr>
              <m:oMath>
                <m:sSub>
                  <m:sSubPr>
                    <m:ctrlPr>
                      <w:rPr>
                        <w:rFonts w:ascii="Cambria Math" w:hAnsi="Cambria Math"/>
                        <w:i/>
                        <w:szCs w:val="20"/>
                      </w:rPr>
                    </m:ctrlPr>
                  </m:sSubPr>
                  <m:e>
                    <m:r>
                      <w:rPr>
                        <w:rFonts w:ascii="Cambria Math" w:hAnsi="Cambria Math"/>
                      </w:rPr>
                      <m:t>LE</m:t>
                    </m:r>
                  </m:e>
                  <m:sub>
                    <m:r>
                      <w:rPr>
                        <w:rFonts w:ascii="Cambria Math" w:hAnsi="Cambria Math"/>
                      </w:rPr>
                      <m:t>EG,BL,y</m:t>
                    </m:r>
                  </m:sub>
                </m:sSub>
                <m:r>
                  <w:rPr>
                    <w:rFonts w:ascii="Cambria Math" w:hAnsi="Cambria Math"/>
                  </w:rPr>
                  <m:t>=</m:t>
                </m:r>
                <m:nary>
                  <m:naryPr>
                    <m:chr m:val="∑"/>
                    <m:limLoc m:val="undOvr"/>
                    <m:supHide m:val="1"/>
                    <m:ctrlPr>
                      <w:rPr>
                        <w:rFonts w:ascii="Cambria Math" w:hAnsi="Cambria Math"/>
                        <w:i/>
                      </w:rPr>
                    </m:ctrlPr>
                  </m:naryPr>
                  <m:sub>
                    <m:r>
                      <w:rPr>
                        <w:rFonts w:ascii="Cambria Math" w:eastAsiaTheme="minorEastAsia" w:hAnsi="Cambria Math" w:hint="eastAsia"/>
                        <w:lang w:eastAsia="zh-CN"/>
                      </w:rPr>
                      <m:t>s</m:t>
                    </m:r>
                  </m:sub>
                  <m:sup/>
                  <m:e>
                    <m:sSub>
                      <m:sSubPr>
                        <m:ctrlPr>
                          <w:rPr>
                            <w:rFonts w:ascii="Cambria Math" w:hAnsi="Cambria Math"/>
                            <w:i/>
                          </w:rPr>
                        </m:ctrlPr>
                      </m:sSubPr>
                      <m:e>
                        <m:r>
                          <w:rPr>
                            <w:rFonts w:ascii="Cambria Math" w:hAnsi="Cambria Math"/>
                          </w:rPr>
                          <m:t>EG</m:t>
                        </m:r>
                      </m:e>
                      <m:sub>
                        <m:r>
                          <w:rPr>
                            <w:rFonts w:ascii="Cambria Math" w:hAnsi="Cambria Math"/>
                          </w:rPr>
                          <m:t>s,y</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EG,BL,s,y</m:t>
                        </m:r>
                      </m:sub>
                    </m:sSub>
                  </m:e>
                </m:nary>
              </m:oMath>
            </m:oMathPara>
          </w:p>
        </w:tc>
        <w:tc>
          <w:tcPr>
            <w:tcW w:w="1686" w:type="dxa"/>
          </w:tcPr>
          <w:p w14:paraId="7B809C3E" w14:textId="77777777" w:rsidR="007C717A" w:rsidRPr="002B6960" w:rsidRDefault="007C717A">
            <w:pPr>
              <w:pStyle w:val="SDMMethEquationNr"/>
              <w:numPr>
                <w:ilvl w:val="0"/>
                <w:numId w:val="6"/>
              </w:numPr>
            </w:pPr>
          </w:p>
        </w:tc>
      </w:tr>
      <w:tr w:rsidR="007C717A" w:rsidRPr="002B6960" w14:paraId="1EBEC426" w14:textId="77777777" w:rsidTr="00FA3A4E">
        <w:tblPrEx>
          <w:tblLook w:val="04A0" w:firstRow="1" w:lastRow="0" w:firstColumn="1" w:lastColumn="0" w:noHBand="0" w:noVBand="1"/>
        </w:tblPrEx>
        <w:trPr>
          <w:trHeight w:val="300"/>
        </w:trPr>
        <w:tc>
          <w:tcPr>
            <w:tcW w:w="6970" w:type="dxa"/>
          </w:tcPr>
          <w:p w14:paraId="11A8E0A2" w14:textId="77777777" w:rsidR="007C717A" w:rsidRPr="00252AA4" w:rsidRDefault="00000000" w:rsidP="00B23B70">
            <w:pPr>
              <w:pStyle w:val="SDMMethEquation"/>
              <w:ind w:left="709"/>
            </w:pPr>
            <m:oMathPara>
              <m:oMathParaPr>
                <m:jc m:val="left"/>
              </m:oMathParaPr>
              <m:oMath>
                <m:sSub>
                  <m:sSubPr>
                    <m:ctrlPr>
                      <w:rPr>
                        <w:rFonts w:ascii="Cambria Math" w:hAnsi="Cambria Math"/>
                        <w:i/>
                        <w:szCs w:val="20"/>
                      </w:rPr>
                    </m:ctrlPr>
                  </m:sSubPr>
                  <m:e>
                    <m:r>
                      <w:rPr>
                        <w:rFonts w:ascii="Cambria Math" w:hAnsi="Cambria Math"/>
                      </w:rPr>
                      <m:t>LE</m:t>
                    </m:r>
                  </m:e>
                  <m:sub>
                    <m:r>
                      <w:rPr>
                        <w:rFonts w:ascii="Cambria Math" w:hAnsi="Cambria Math"/>
                      </w:rPr>
                      <m:t>EC,BL,y</m:t>
                    </m:r>
                  </m:sub>
                </m:sSub>
                <m:r>
                  <w:rPr>
                    <w:rFonts w:ascii="Cambria Math" w:hAnsi="Cambria Math"/>
                  </w:rPr>
                  <m:t>=</m:t>
                </m:r>
                <m:nary>
                  <m:naryPr>
                    <m:chr m:val="∑"/>
                    <m:limLoc m:val="undOvr"/>
                    <m:supHide m:val="1"/>
                    <m:ctrlPr>
                      <w:rPr>
                        <w:rFonts w:ascii="Cambria Math" w:hAnsi="Cambria Math"/>
                        <w:i/>
                      </w:rPr>
                    </m:ctrlPr>
                  </m:naryPr>
                  <m:sub>
                    <m:r>
                      <w:rPr>
                        <w:rFonts w:ascii="Cambria Math" w:eastAsiaTheme="minorEastAsia" w:hAnsi="Cambria Math" w:hint="eastAsia"/>
                        <w:lang w:eastAsia="zh-CN"/>
                      </w:rPr>
                      <m:t>s</m:t>
                    </m:r>
                  </m:sub>
                  <m:sup/>
                  <m:e>
                    <m:sSub>
                      <m:sSubPr>
                        <m:ctrlPr>
                          <w:rPr>
                            <w:rFonts w:ascii="Cambria Math" w:hAnsi="Cambria Math"/>
                            <w:i/>
                          </w:rPr>
                        </m:ctrlPr>
                      </m:sSubPr>
                      <m:e>
                        <m:r>
                          <w:rPr>
                            <w:rFonts w:ascii="Cambria Math" w:hAnsi="Cambria Math"/>
                          </w:rPr>
                          <m:t>EC</m:t>
                        </m:r>
                      </m:e>
                      <m:sub>
                        <m:r>
                          <w:rPr>
                            <w:rFonts w:ascii="Cambria Math" w:hAnsi="Cambria Math"/>
                          </w:rPr>
                          <m:t>s,y</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EC,PJ,s,y</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m:t>
                        </m:r>
                        <m:sSub>
                          <m:sSubPr>
                            <m:ctrlPr>
                              <w:rPr>
                                <w:rFonts w:ascii="Cambria Math" w:hAnsi="Cambria Math"/>
                                <w:i/>
                              </w:rPr>
                            </m:ctrlPr>
                          </m:sSubPr>
                          <m:e>
                            <m:r>
                              <w:rPr>
                                <w:rFonts w:ascii="Cambria Math" w:hAnsi="Cambria Math"/>
                              </w:rPr>
                              <m:t>F</m:t>
                            </m:r>
                          </m:e>
                          <m:sub>
                            <m:r>
                              <w:rPr>
                                <w:rFonts w:ascii="Cambria Math" w:hAnsi="Cambria Math"/>
                              </w:rPr>
                              <m:t>TDL,s,y</m:t>
                            </m:r>
                          </m:sub>
                        </m:sSub>
                      </m:den>
                    </m:f>
                  </m:e>
                </m:nary>
              </m:oMath>
            </m:oMathPara>
          </w:p>
        </w:tc>
        <w:tc>
          <w:tcPr>
            <w:tcW w:w="1686" w:type="dxa"/>
          </w:tcPr>
          <w:p w14:paraId="16BE5490" w14:textId="77777777" w:rsidR="007C717A" w:rsidRPr="002B6960" w:rsidRDefault="007C717A">
            <w:pPr>
              <w:pStyle w:val="SDMMethEquationNr"/>
              <w:numPr>
                <w:ilvl w:val="0"/>
                <w:numId w:val="6"/>
              </w:numPr>
            </w:pPr>
          </w:p>
        </w:tc>
      </w:tr>
      <w:tr w:rsidR="007C717A" w:rsidRPr="002B6960" w14:paraId="1E3311DE" w14:textId="77777777" w:rsidTr="00FA3A4E">
        <w:tblPrEx>
          <w:tblLook w:val="04A0" w:firstRow="1" w:lastRow="0" w:firstColumn="1" w:lastColumn="0" w:noHBand="0" w:noVBand="1"/>
        </w:tblPrEx>
        <w:trPr>
          <w:trHeight w:val="300"/>
        </w:trPr>
        <w:tc>
          <w:tcPr>
            <w:tcW w:w="6970" w:type="dxa"/>
          </w:tcPr>
          <w:p w14:paraId="1777A340" w14:textId="77777777" w:rsidR="007C717A" w:rsidRPr="00252AA4" w:rsidRDefault="00000000" w:rsidP="00B23B70">
            <w:pPr>
              <w:pStyle w:val="SDMMethEquation"/>
              <w:ind w:left="709"/>
            </w:pPr>
            <m:oMathPara>
              <m:oMathParaPr>
                <m:jc m:val="left"/>
              </m:oMathParaPr>
              <m:oMath>
                <m:sSub>
                  <m:sSubPr>
                    <m:ctrlPr>
                      <w:rPr>
                        <w:rFonts w:ascii="Cambria Math" w:hAnsi="Cambria Math"/>
                        <w:i/>
                        <w:szCs w:val="20"/>
                      </w:rPr>
                    </m:ctrlPr>
                  </m:sSubPr>
                  <m:e>
                    <m:r>
                      <w:rPr>
                        <w:rFonts w:ascii="Cambria Math" w:hAnsi="Cambria Math"/>
                      </w:rPr>
                      <m:t>LE</m:t>
                    </m:r>
                  </m:e>
                  <m:sub>
                    <m:r>
                      <w:rPr>
                        <w:rFonts w:ascii="Cambria Math" w:hAnsi="Cambria Math"/>
                      </w:rPr>
                      <m:t>EG,PJ,y</m:t>
                    </m:r>
                  </m:sub>
                </m:sSub>
                <m:r>
                  <w:rPr>
                    <w:rFonts w:ascii="Cambria Math" w:hAnsi="Cambria Math"/>
                  </w:rPr>
                  <m:t>=</m:t>
                </m:r>
                <m:nary>
                  <m:naryPr>
                    <m:chr m:val="∑"/>
                    <m:limLoc m:val="undOvr"/>
                    <m:supHide m:val="1"/>
                    <m:ctrlPr>
                      <w:rPr>
                        <w:rFonts w:ascii="Cambria Math" w:hAnsi="Cambria Math"/>
                        <w:i/>
                      </w:rPr>
                    </m:ctrlPr>
                  </m:naryPr>
                  <m:sub>
                    <m:r>
                      <w:rPr>
                        <w:rFonts w:ascii="Cambria Math" w:eastAsiaTheme="minorEastAsia" w:hAnsi="Cambria Math" w:hint="eastAsia"/>
                        <w:lang w:eastAsia="zh-CN"/>
                      </w:rPr>
                      <m:t>s</m:t>
                    </m:r>
                  </m:sub>
                  <m:sup/>
                  <m:e>
                    <m:sSub>
                      <m:sSubPr>
                        <m:ctrlPr>
                          <w:rPr>
                            <w:rFonts w:ascii="Cambria Math" w:hAnsi="Cambria Math"/>
                            <w:i/>
                          </w:rPr>
                        </m:ctrlPr>
                      </m:sSubPr>
                      <m:e>
                        <m:r>
                          <w:rPr>
                            <w:rFonts w:ascii="Cambria Math" w:hAnsi="Cambria Math"/>
                          </w:rPr>
                          <m:t>EG</m:t>
                        </m:r>
                      </m:e>
                      <m:sub>
                        <m:r>
                          <w:rPr>
                            <w:rFonts w:ascii="Cambria Math" w:hAnsi="Cambria Math"/>
                          </w:rPr>
                          <m:t>s,y</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EG,PJ,s,y</m:t>
                        </m:r>
                      </m:sub>
                    </m:sSub>
                  </m:e>
                </m:nary>
              </m:oMath>
            </m:oMathPara>
          </w:p>
        </w:tc>
        <w:tc>
          <w:tcPr>
            <w:tcW w:w="1686" w:type="dxa"/>
          </w:tcPr>
          <w:p w14:paraId="63BE7FA0" w14:textId="77777777" w:rsidR="007C717A" w:rsidRPr="002B6960" w:rsidRDefault="007C717A">
            <w:pPr>
              <w:pStyle w:val="SDMMethEquationNr"/>
              <w:numPr>
                <w:ilvl w:val="0"/>
                <w:numId w:val="6"/>
              </w:numPr>
            </w:pPr>
          </w:p>
        </w:tc>
      </w:tr>
      <w:tr w:rsidR="007C717A" w:rsidRPr="002B6960" w14:paraId="7FB67F37" w14:textId="77777777" w:rsidTr="00FA3A4E">
        <w:tblPrEx>
          <w:tblLook w:val="04A0" w:firstRow="1" w:lastRow="0" w:firstColumn="1" w:lastColumn="0" w:noHBand="0" w:noVBand="1"/>
        </w:tblPrEx>
        <w:trPr>
          <w:trHeight w:val="300"/>
        </w:trPr>
        <w:tc>
          <w:tcPr>
            <w:tcW w:w="6970" w:type="dxa"/>
          </w:tcPr>
          <w:p w14:paraId="284124FA" w14:textId="77777777" w:rsidR="007C717A" w:rsidRPr="00252AA4" w:rsidRDefault="00000000" w:rsidP="00B23B70">
            <w:pPr>
              <w:pStyle w:val="SDMMethEquation"/>
              <w:ind w:left="709"/>
            </w:pPr>
            <m:oMathPara>
              <m:oMathParaPr>
                <m:jc m:val="left"/>
              </m:oMathParaPr>
              <m:oMath>
                <m:sSub>
                  <m:sSubPr>
                    <m:ctrlPr>
                      <w:rPr>
                        <w:rFonts w:ascii="Cambria Math" w:hAnsi="Cambria Math"/>
                        <w:i/>
                        <w:szCs w:val="20"/>
                      </w:rPr>
                    </m:ctrlPr>
                  </m:sSubPr>
                  <m:e>
                    <m:r>
                      <w:rPr>
                        <w:rFonts w:ascii="Cambria Math" w:hAnsi="Cambria Math"/>
                      </w:rPr>
                      <m:t>LE</m:t>
                    </m:r>
                  </m:e>
                  <m:sub>
                    <m:r>
                      <w:rPr>
                        <w:rFonts w:ascii="Cambria Math" w:hAnsi="Cambria Math"/>
                      </w:rPr>
                      <m:t>EC,PJ,y</m:t>
                    </m:r>
                  </m:sub>
                </m:sSub>
                <m:r>
                  <w:rPr>
                    <w:rFonts w:ascii="Cambria Math" w:hAnsi="Cambria Math"/>
                  </w:rPr>
                  <m:t>=</m:t>
                </m:r>
                <m:nary>
                  <m:naryPr>
                    <m:chr m:val="∑"/>
                    <m:limLoc m:val="undOvr"/>
                    <m:supHide m:val="1"/>
                    <m:ctrlPr>
                      <w:rPr>
                        <w:rFonts w:ascii="Cambria Math" w:hAnsi="Cambria Math"/>
                        <w:i/>
                      </w:rPr>
                    </m:ctrlPr>
                  </m:naryPr>
                  <m:sub>
                    <m:r>
                      <w:rPr>
                        <w:rFonts w:ascii="Cambria Math" w:eastAsiaTheme="minorEastAsia" w:hAnsi="Cambria Math" w:hint="eastAsia"/>
                        <w:lang w:eastAsia="zh-CN"/>
                      </w:rPr>
                      <m:t>s</m:t>
                    </m:r>
                  </m:sub>
                  <m:sup/>
                  <m:e>
                    <m:sSub>
                      <m:sSubPr>
                        <m:ctrlPr>
                          <w:rPr>
                            <w:rFonts w:ascii="Cambria Math" w:hAnsi="Cambria Math"/>
                            <w:i/>
                          </w:rPr>
                        </m:ctrlPr>
                      </m:sSubPr>
                      <m:e>
                        <m:r>
                          <w:rPr>
                            <w:rFonts w:ascii="Cambria Math" w:hAnsi="Cambria Math"/>
                          </w:rPr>
                          <m:t>EC</m:t>
                        </m:r>
                      </m:e>
                      <m:sub>
                        <m:r>
                          <w:rPr>
                            <w:rFonts w:ascii="Cambria Math" w:hAnsi="Cambria Math"/>
                          </w:rPr>
                          <m:t>s,y</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EC,PJ,s,y</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m:t>
                        </m:r>
                        <m:sSub>
                          <m:sSubPr>
                            <m:ctrlPr>
                              <w:rPr>
                                <w:rFonts w:ascii="Cambria Math" w:hAnsi="Cambria Math"/>
                                <w:i/>
                              </w:rPr>
                            </m:ctrlPr>
                          </m:sSubPr>
                          <m:e>
                            <m:r>
                              <w:rPr>
                                <w:rFonts w:ascii="Cambria Math" w:hAnsi="Cambria Math"/>
                              </w:rPr>
                              <m:t>F</m:t>
                            </m:r>
                          </m:e>
                          <m:sub>
                            <m:r>
                              <w:rPr>
                                <w:rFonts w:ascii="Cambria Math" w:hAnsi="Cambria Math"/>
                              </w:rPr>
                              <m:t>TDL,s,y</m:t>
                            </m:r>
                          </m:sub>
                        </m:sSub>
                      </m:den>
                    </m:f>
                  </m:e>
                </m:nary>
              </m:oMath>
            </m:oMathPara>
          </w:p>
        </w:tc>
        <w:tc>
          <w:tcPr>
            <w:tcW w:w="1686" w:type="dxa"/>
          </w:tcPr>
          <w:p w14:paraId="66344E8E" w14:textId="77777777" w:rsidR="007C717A" w:rsidRPr="002B6960" w:rsidRDefault="007C717A">
            <w:pPr>
              <w:pStyle w:val="SDMMethEquationNr"/>
              <w:numPr>
                <w:ilvl w:val="0"/>
                <w:numId w:val="6"/>
              </w:numPr>
            </w:pPr>
          </w:p>
        </w:tc>
      </w:tr>
    </w:tbl>
    <w:p w14:paraId="173B54D3" w14:textId="77777777" w:rsidR="003A2A42" w:rsidRDefault="003A2A42" w:rsidP="00C72647">
      <w:pPr>
        <w:pStyle w:val="SDMMethCaptionEquationParametersTable"/>
      </w:pPr>
      <w:r>
        <w:t>Where:</w:t>
      </w:r>
    </w:p>
    <w:tbl>
      <w:tblPr>
        <w:tblStyle w:val="SDMMethTableEquationParameters"/>
        <w:tblW w:w="8760" w:type="dxa"/>
        <w:tblLook w:val="04A0" w:firstRow="1" w:lastRow="0" w:firstColumn="1" w:lastColumn="0" w:noHBand="0" w:noVBand="1"/>
      </w:tblPr>
      <w:tblGrid>
        <w:gridCol w:w="1701"/>
        <w:gridCol w:w="345"/>
        <w:gridCol w:w="6714"/>
      </w:tblGrid>
      <w:tr w:rsidR="00D9066E" w:rsidRPr="002408C8" w14:paraId="62365F97" w14:textId="77777777" w:rsidTr="002408C8">
        <w:tc>
          <w:tcPr>
            <w:tcW w:w="1701" w:type="dxa"/>
            <w:vAlign w:val="top"/>
          </w:tcPr>
          <w:p w14:paraId="5A31CF3C" w14:textId="77777777" w:rsidR="00D9066E" w:rsidRPr="002408C8" w:rsidRDefault="00000000" w:rsidP="002408C8">
            <w:pPr>
              <w:pStyle w:val="SDMTableBoxParaNotNumbered"/>
              <w:rPr>
                <w:rFonts w:cs="Arial"/>
              </w:rPr>
            </w:pPr>
            <m:oMathPara>
              <m:oMathParaPr>
                <m:jc m:val="left"/>
              </m:oMathParaPr>
              <m:oMath>
                <m:sSub>
                  <m:sSubPr>
                    <m:ctrlPr>
                      <w:rPr>
                        <w:rFonts w:ascii="Cambria Math" w:hAnsi="Cambria Math" w:cs="Arial"/>
                        <w:i/>
                      </w:rPr>
                    </m:ctrlPr>
                  </m:sSubPr>
                  <m:e>
                    <m:r>
                      <w:rPr>
                        <w:rFonts w:ascii="Cambria Math" w:hAnsi="Cambria Math" w:cs="Arial"/>
                      </w:rPr>
                      <m:t>BE</m:t>
                    </m:r>
                  </m:e>
                  <m:sub>
                    <m:r>
                      <w:rPr>
                        <w:rFonts w:ascii="Cambria Math" w:hAnsi="Cambria Math" w:cs="Arial"/>
                      </w:rPr>
                      <m:t>EG,y</m:t>
                    </m:r>
                  </m:sub>
                </m:sSub>
              </m:oMath>
            </m:oMathPara>
          </w:p>
        </w:tc>
        <w:tc>
          <w:tcPr>
            <w:tcW w:w="345" w:type="dxa"/>
            <w:vAlign w:val="top"/>
          </w:tcPr>
          <w:p w14:paraId="43E80D8F" w14:textId="77777777" w:rsidR="00D9066E" w:rsidRPr="002408C8" w:rsidRDefault="00D9066E" w:rsidP="002408C8">
            <w:pPr>
              <w:pStyle w:val="SDMTableBoxParaNotNumbered"/>
              <w:rPr>
                <w:rFonts w:cs="Arial"/>
              </w:rPr>
            </w:pPr>
            <w:r w:rsidRPr="002408C8">
              <w:rPr>
                <w:rFonts w:cs="Arial"/>
              </w:rPr>
              <w:t>=</w:t>
            </w:r>
          </w:p>
        </w:tc>
        <w:tc>
          <w:tcPr>
            <w:tcW w:w="0" w:type="auto"/>
            <w:vAlign w:val="top"/>
          </w:tcPr>
          <w:p w14:paraId="385CFBD8" w14:textId="290EADB1" w:rsidR="00D9066E" w:rsidRPr="002408C8" w:rsidRDefault="00D9066E" w:rsidP="002408C8">
            <w:pPr>
              <w:pStyle w:val="SDMTableBoxParaNotNumbered"/>
              <w:rPr>
                <w:rFonts w:cs="Arial"/>
              </w:rPr>
            </w:pPr>
            <w:r w:rsidRPr="002408C8">
              <w:rPr>
                <w:rFonts w:cs="Arial"/>
              </w:rPr>
              <w:t>Baseline emissions from electricity generation in year </w:t>
            </w:r>
            <w:r w:rsidRPr="002408C8">
              <w:rPr>
                <w:rFonts w:cs="Arial"/>
                <w:i/>
                <w:iCs/>
              </w:rPr>
              <w:t>y</w:t>
            </w:r>
            <w:r w:rsidRPr="002408C8">
              <w:rPr>
                <w:rFonts w:cs="Arial"/>
              </w:rPr>
              <w:t xml:space="preserve"> (t CO</w:t>
            </w:r>
            <w:r w:rsidRPr="002408C8">
              <w:rPr>
                <w:rFonts w:cs="Arial"/>
                <w:vertAlign w:val="subscript"/>
              </w:rPr>
              <w:t>2</w:t>
            </w:r>
            <w:r w:rsidRPr="002408C8">
              <w:rPr>
                <w:rFonts w:cs="Arial"/>
              </w:rPr>
              <w:t>)</w:t>
            </w:r>
          </w:p>
        </w:tc>
      </w:tr>
      <w:tr w:rsidR="00D9066E" w:rsidRPr="002408C8" w14:paraId="00F8C831" w14:textId="77777777" w:rsidTr="002408C8">
        <w:tc>
          <w:tcPr>
            <w:tcW w:w="1701" w:type="dxa"/>
            <w:vAlign w:val="top"/>
          </w:tcPr>
          <w:p w14:paraId="5AFE00B1" w14:textId="77777777" w:rsidR="00D9066E" w:rsidRPr="002408C8" w:rsidRDefault="00000000" w:rsidP="002408C8">
            <w:pPr>
              <w:pStyle w:val="SDMTableBoxParaNotNumbered"/>
              <w:rPr>
                <w:rFonts w:cs="Arial"/>
              </w:rPr>
            </w:pPr>
            <m:oMathPara>
              <m:oMathParaPr>
                <m:jc m:val="left"/>
              </m:oMathParaPr>
              <m:oMath>
                <m:sSub>
                  <m:sSubPr>
                    <m:ctrlPr>
                      <w:rPr>
                        <w:rFonts w:ascii="Cambria Math" w:hAnsi="Cambria Math" w:cs="Arial"/>
                        <w:i/>
                      </w:rPr>
                    </m:ctrlPr>
                  </m:sSubPr>
                  <m:e>
                    <m:r>
                      <w:rPr>
                        <w:rFonts w:ascii="Cambria Math" w:hAnsi="Cambria Math" w:cs="Arial"/>
                      </w:rPr>
                      <m:t>BE</m:t>
                    </m:r>
                  </m:e>
                  <m:sub>
                    <m:r>
                      <w:rPr>
                        <w:rFonts w:ascii="Cambria Math" w:hAnsi="Cambria Math" w:cs="Arial"/>
                      </w:rPr>
                      <m:t>EC,y</m:t>
                    </m:r>
                  </m:sub>
                </m:sSub>
              </m:oMath>
            </m:oMathPara>
          </w:p>
        </w:tc>
        <w:tc>
          <w:tcPr>
            <w:tcW w:w="345" w:type="dxa"/>
            <w:vAlign w:val="top"/>
          </w:tcPr>
          <w:p w14:paraId="5D6D6229" w14:textId="77777777" w:rsidR="00D9066E" w:rsidRPr="002408C8" w:rsidRDefault="00D9066E" w:rsidP="002408C8">
            <w:pPr>
              <w:pStyle w:val="SDMTableBoxParaNotNumbered"/>
              <w:rPr>
                <w:rFonts w:cs="Arial"/>
              </w:rPr>
            </w:pPr>
            <w:r w:rsidRPr="002408C8">
              <w:rPr>
                <w:rFonts w:cs="Arial"/>
              </w:rPr>
              <w:t>=</w:t>
            </w:r>
          </w:p>
        </w:tc>
        <w:tc>
          <w:tcPr>
            <w:tcW w:w="0" w:type="auto"/>
            <w:vAlign w:val="top"/>
          </w:tcPr>
          <w:p w14:paraId="485BB342" w14:textId="332A25A9" w:rsidR="00D9066E" w:rsidRPr="002408C8" w:rsidRDefault="00D9066E" w:rsidP="002408C8">
            <w:pPr>
              <w:pStyle w:val="SDMTableBoxParaNotNumbered"/>
              <w:rPr>
                <w:rFonts w:cs="Arial"/>
              </w:rPr>
            </w:pPr>
            <w:r w:rsidRPr="002408C8">
              <w:rPr>
                <w:rFonts w:cs="Arial"/>
              </w:rPr>
              <w:t>Baseline emissions from electricity consumption in year </w:t>
            </w:r>
            <w:r w:rsidRPr="002408C8">
              <w:rPr>
                <w:rFonts w:cs="Arial"/>
                <w:i/>
                <w:iCs/>
              </w:rPr>
              <w:t>y</w:t>
            </w:r>
            <w:r w:rsidRPr="002408C8">
              <w:rPr>
                <w:rFonts w:cs="Arial"/>
              </w:rPr>
              <w:t xml:space="preserve"> (t CO</w:t>
            </w:r>
            <w:r w:rsidRPr="002408C8">
              <w:rPr>
                <w:rFonts w:cs="Arial"/>
                <w:vertAlign w:val="subscript"/>
              </w:rPr>
              <w:t>2</w:t>
            </w:r>
            <w:r w:rsidRPr="002408C8">
              <w:rPr>
                <w:rFonts w:cs="Arial"/>
              </w:rPr>
              <w:t>)</w:t>
            </w:r>
          </w:p>
        </w:tc>
      </w:tr>
      <w:tr w:rsidR="00D9066E" w:rsidRPr="002408C8" w14:paraId="493ABC25" w14:textId="77777777" w:rsidTr="002408C8">
        <w:tc>
          <w:tcPr>
            <w:tcW w:w="1701" w:type="dxa"/>
            <w:vAlign w:val="top"/>
          </w:tcPr>
          <w:p w14:paraId="6324B1C7" w14:textId="77777777" w:rsidR="00D9066E" w:rsidRPr="002408C8" w:rsidRDefault="00000000" w:rsidP="002408C8">
            <w:pPr>
              <w:pStyle w:val="SDMTableBoxParaNotNumbered"/>
              <w:rPr>
                <w:rFonts w:cs="Arial"/>
              </w:rPr>
            </w:pPr>
            <m:oMathPara>
              <m:oMathParaPr>
                <m:jc m:val="left"/>
              </m:oMathParaPr>
              <m:oMath>
                <m:sSub>
                  <m:sSubPr>
                    <m:ctrlPr>
                      <w:rPr>
                        <w:rFonts w:ascii="Cambria Math" w:hAnsi="Cambria Math" w:cs="Arial"/>
                        <w:i/>
                      </w:rPr>
                    </m:ctrlPr>
                  </m:sSubPr>
                  <m:e>
                    <m:r>
                      <w:rPr>
                        <w:rFonts w:ascii="Cambria Math" w:hAnsi="Cambria Math" w:cs="Arial"/>
                      </w:rPr>
                      <m:t>PE</m:t>
                    </m:r>
                  </m:e>
                  <m:sub>
                    <m:r>
                      <w:rPr>
                        <w:rFonts w:ascii="Cambria Math" w:hAnsi="Cambria Math" w:cs="Arial"/>
                      </w:rPr>
                      <m:t>EG,y</m:t>
                    </m:r>
                  </m:sub>
                </m:sSub>
              </m:oMath>
            </m:oMathPara>
          </w:p>
        </w:tc>
        <w:tc>
          <w:tcPr>
            <w:tcW w:w="345" w:type="dxa"/>
            <w:vAlign w:val="top"/>
          </w:tcPr>
          <w:p w14:paraId="11C4FF0E" w14:textId="77777777" w:rsidR="00D9066E" w:rsidRPr="002408C8" w:rsidRDefault="00D9066E" w:rsidP="002408C8">
            <w:pPr>
              <w:pStyle w:val="SDMTableBoxParaNotNumbered"/>
              <w:rPr>
                <w:rFonts w:cs="Arial"/>
              </w:rPr>
            </w:pPr>
            <w:r w:rsidRPr="002408C8">
              <w:rPr>
                <w:rFonts w:cs="Arial"/>
              </w:rPr>
              <w:t>=</w:t>
            </w:r>
          </w:p>
        </w:tc>
        <w:tc>
          <w:tcPr>
            <w:tcW w:w="0" w:type="auto"/>
            <w:vAlign w:val="top"/>
          </w:tcPr>
          <w:p w14:paraId="4D798045" w14:textId="72F38D5F" w:rsidR="00D9066E" w:rsidRPr="002408C8" w:rsidRDefault="00D9066E" w:rsidP="002408C8">
            <w:pPr>
              <w:pStyle w:val="SDMTableBoxParaNotNumbered"/>
              <w:rPr>
                <w:rFonts w:cs="Arial"/>
              </w:rPr>
            </w:pPr>
            <w:r w:rsidRPr="002408C8">
              <w:rPr>
                <w:rFonts w:cs="Arial"/>
              </w:rPr>
              <w:t>Project emissions from electricity generation in year </w:t>
            </w:r>
            <w:r w:rsidRPr="002408C8">
              <w:rPr>
                <w:rFonts w:cs="Arial"/>
                <w:i/>
                <w:iCs/>
              </w:rPr>
              <w:t>y</w:t>
            </w:r>
            <w:r w:rsidRPr="002408C8">
              <w:rPr>
                <w:rFonts w:cs="Arial"/>
              </w:rPr>
              <w:t xml:space="preserve"> (t CO</w:t>
            </w:r>
            <w:r w:rsidRPr="002408C8">
              <w:rPr>
                <w:rFonts w:cs="Arial"/>
                <w:vertAlign w:val="subscript"/>
              </w:rPr>
              <w:t>2</w:t>
            </w:r>
            <w:r w:rsidRPr="002408C8">
              <w:rPr>
                <w:rFonts w:cs="Arial"/>
              </w:rPr>
              <w:t>)</w:t>
            </w:r>
          </w:p>
        </w:tc>
      </w:tr>
      <w:tr w:rsidR="00D9066E" w:rsidRPr="002408C8" w14:paraId="39AD2553" w14:textId="77777777" w:rsidTr="002408C8">
        <w:tc>
          <w:tcPr>
            <w:tcW w:w="1701" w:type="dxa"/>
            <w:vAlign w:val="top"/>
          </w:tcPr>
          <w:p w14:paraId="6D50B28D" w14:textId="77777777" w:rsidR="00D9066E" w:rsidRPr="002408C8" w:rsidRDefault="00000000" w:rsidP="002408C8">
            <w:pPr>
              <w:pStyle w:val="SDMTableBoxParaNotNumbered"/>
              <w:rPr>
                <w:rFonts w:eastAsia="DengXian" w:cs="Arial"/>
              </w:rPr>
            </w:pPr>
            <m:oMathPara>
              <m:oMathParaPr>
                <m:jc m:val="left"/>
              </m:oMathParaPr>
              <m:oMath>
                <m:sSub>
                  <m:sSubPr>
                    <m:ctrlPr>
                      <w:rPr>
                        <w:rFonts w:ascii="Cambria Math" w:hAnsi="Cambria Math" w:cs="Arial"/>
                        <w:i/>
                      </w:rPr>
                    </m:ctrlPr>
                  </m:sSubPr>
                  <m:e>
                    <m:r>
                      <w:rPr>
                        <w:rFonts w:ascii="Cambria Math" w:hAnsi="Cambria Math" w:cs="Arial"/>
                      </w:rPr>
                      <m:t>PE</m:t>
                    </m:r>
                  </m:e>
                  <m:sub>
                    <m:r>
                      <w:rPr>
                        <w:rFonts w:ascii="Cambria Math" w:hAnsi="Cambria Math" w:cs="Arial"/>
                      </w:rPr>
                      <m:t>EC,y</m:t>
                    </m:r>
                  </m:sub>
                </m:sSub>
              </m:oMath>
            </m:oMathPara>
          </w:p>
        </w:tc>
        <w:tc>
          <w:tcPr>
            <w:tcW w:w="345" w:type="dxa"/>
            <w:vAlign w:val="top"/>
          </w:tcPr>
          <w:p w14:paraId="4BDEC6A1" w14:textId="77777777" w:rsidR="00D9066E" w:rsidRPr="002408C8" w:rsidRDefault="00D9066E" w:rsidP="002408C8">
            <w:pPr>
              <w:pStyle w:val="SDMTableBoxParaNotNumbered"/>
              <w:rPr>
                <w:rFonts w:cs="Arial"/>
              </w:rPr>
            </w:pPr>
            <w:r w:rsidRPr="002408C8">
              <w:rPr>
                <w:rFonts w:cs="Arial"/>
              </w:rPr>
              <w:t>=</w:t>
            </w:r>
          </w:p>
        </w:tc>
        <w:tc>
          <w:tcPr>
            <w:tcW w:w="0" w:type="auto"/>
            <w:vAlign w:val="top"/>
          </w:tcPr>
          <w:p w14:paraId="3C76EE9F" w14:textId="04837292" w:rsidR="00D9066E" w:rsidRPr="002408C8" w:rsidRDefault="00D9066E" w:rsidP="002408C8">
            <w:pPr>
              <w:pStyle w:val="SDMTableBoxParaNotNumbered"/>
              <w:rPr>
                <w:rFonts w:cs="Arial"/>
              </w:rPr>
            </w:pPr>
            <w:r w:rsidRPr="002408C8">
              <w:rPr>
                <w:rFonts w:cs="Arial"/>
              </w:rPr>
              <w:t>Project emissions from electricity consumption in year </w:t>
            </w:r>
            <w:r w:rsidRPr="002408C8">
              <w:rPr>
                <w:rFonts w:cs="Arial"/>
                <w:i/>
                <w:iCs/>
              </w:rPr>
              <w:t>y</w:t>
            </w:r>
            <w:r w:rsidRPr="002408C8">
              <w:rPr>
                <w:rFonts w:cs="Arial"/>
              </w:rPr>
              <w:t xml:space="preserve"> (t CO</w:t>
            </w:r>
            <w:r w:rsidRPr="002408C8">
              <w:rPr>
                <w:rFonts w:cs="Arial"/>
                <w:vertAlign w:val="subscript"/>
              </w:rPr>
              <w:t>2</w:t>
            </w:r>
            <w:r w:rsidRPr="002408C8">
              <w:rPr>
                <w:rFonts w:cs="Arial"/>
              </w:rPr>
              <w:t>)</w:t>
            </w:r>
          </w:p>
        </w:tc>
      </w:tr>
      <w:tr w:rsidR="00D9066E" w:rsidRPr="002408C8" w14:paraId="28B4AEFD" w14:textId="77777777" w:rsidTr="002408C8">
        <w:tc>
          <w:tcPr>
            <w:tcW w:w="1701" w:type="dxa"/>
            <w:vAlign w:val="top"/>
          </w:tcPr>
          <w:p w14:paraId="427DB9A5" w14:textId="77777777" w:rsidR="00D9066E" w:rsidRPr="002408C8" w:rsidRDefault="00000000" w:rsidP="002408C8">
            <w:pPr>
              <w:pStyle w:val="SDMTableBoxParaNotNumbered"/>
              <w:rPr>
                <w:rFonts w:eastAsia="DengXian" w:cs="Arial"/>
              </w:rPr>
            </w:pPr>
            <m:oMathPara>
              <m:oMathParaPr>
                <m:jc m:val="left"/>
              </m:oMathParaPr>
              <m:oMath>
                <m:sSub>
                  <m:sSubPr>
                    <m:ctrlPr>
                      <w:rPr>
                        <w:rFonts w:ascii="Cambria Math" w:hAnsi="Cambria Math" w:cs="Arial"/>
                        <w:i/>
                      </w:rPr>
                    </m:ctrlPr>
                  </m:sSubPr>
                  <m:e>
                    <m:r>
                      <w:rPr>
                        <w:rFonts w:ascii="Cambria Math" w:hAnsi="Cambria Math" w:cs="Arial"/>
                      </w:rPr>
                      <m:t>LE</m:t>
                    </m:r>
                  </m:e>
                  <m:sub>
                    <m:r>
                      <w:rPr>
                        <w:rFonts w:ascii="Cambria Math" w:hAnsi="Cambria Math" w:cs="Arial"/>
                      </w:rPr>
                      <m:t>EG,BL,y</m:t>
                    </m:r>
                  </m:sub>
                </m:sSub>
              </m:oMath>
            </m:oMathPara>
          </w:p>
        </w:tc>
        <w:tc>
          <w:tcPr>
            <w:tcW w:w="345" w:type="dxa"/>
            <w:vAlign w:val="top"/>
          </w:tcPr>
          <w:p w14:paraId="6C47B645" w14:textId="77777777" w:rsidR="00D9066E" w:rsidRPr="002408C8" w:rsidRDefault="00D9066E" w:rsidP="002408C8">
            <w:pPr>
              <w:pStyle w:val="SDMTableBoxParaNotNumbered"/>
              <w:rPr>
                <w:rFonts w:cs="Arial"/>
              </w:rPr>
            </w:pPr>
            <w:r w:rsidRPr="002408C8">
              <w:rPr>
                <w:rFonts w:cs="Arial"/>
              </w:rPr>
              <w:t>=</w:t>
            </w:r>
          </w:p>
        </w:tc>
        <w:tc>
          <w:tcPr>
            <w:tcW w:w="0" w:type="auto"/>
            <w:vAlign w:val="top"/>
          </w:tcPr>
          <w:p w14:paraId="16287246" w14:textId="41CF04A9" w:rsidR="00D9066E" w:rsidRPr="002408C8" w:rsidRDefault="00D9066E" w:rsidP="002408C8">
            <w:pPr>
              <w:pStyle w:val="SDMTableBoxParaNotNumbered"/>
              <w:rPr>
                <w:rFonts w:cs="Arial"/>
              </w:rPr>
            </w:pPr>
            <w:r w:rsidRPr="002408C8">
              <w:rPr>
                <w:rFonts w:cs="Arial"/>
              </w:rPr>
              <w:t>Leakage emissions from electricity generation in the baseline scenario in year </w:t>
            </w:r>
            <w:r w:rsidRPr="002408C8">
              <w:rPr>
                <w:rFonts w:cs="Arial"/>
                <w:i/>
                <w:iCs/>
              </w:rPr>
              <w:t>y</w:t>
            </w:r>
            <w:r w:rsidRPr="002408C8">
              <w:rPr>
                <w:rFonts w:cs="Arial"/>
              </w:rPr>
              <w:t xml:space="preserve"> (t CO</w:t>
            </w:r>
            <w:r w:rsidRPr="002408C8">
              <w:rPr>
                <w:rFonts w:cs="Arial"/>
                <w:vertAlign w:val="subscript"/>
              </w:rPr>
              <w:t>2</w:t>
            </w:r>
            <w:r w:rsidRPr="002408C8">
              <w:rPr>
                <w:rFonts w:cs="Arial"/>
              </w:rPr>
              <w:t>)</w:t>
            </w:r>
          </w:p>
        </w:tc>
      </w:tr>
      <w:tr w:rsidR="00D9066E" w:rsidRPr="002408C8" w14:paraId="077B9500" w14:textId="77777777" w:rsidTr="002408C8">
        <w:tc>
          <w:tcPr>
            <w:tcW w:w="1701" w:type="dxa"/>
            <w:vAlign w:val="top"/>
          </w:tcPr>
          <w:p w14:paraId="36A9E54B" w14:textId="77777777" w:rsidR="00D9066E" w:rsidRPr="002408C8" w:rsidRDefault="00000000" w:rsidP="002408C8">
            <w:pPr>
              <w:pStyle w:val="SDMTableBoxParaNotNumbered"/>
              <w:rPr>
                <w:rFonts w:eastAsia="DengXian" w:cs="Arial"/>
              </w:rPr>
            </w:pPr>
            <m:oMathPara>
              <m:oMathParaPr>
                <m:jc m:val="left"/>
              </m:oMathParaPr>
              <m:oMath>
                <m:sSub>
                  <m:sSubPr>
                    <m:ctrlPr>
                      <w:rPr>
                        <w:rFonts w:ascii="Cambria Math" w:hAnsi="Cambria Math" w:cs="Arial"/>
                        <w:i/>
                      </w:rPr>
                    </m:ctrlPr>
                  </m:sSubPr>
                  <m:e>
                    <m:r>
                      <w:rPr>
                        <w:rFonts w:ascii="Cambria Math" w:hAnsi="Cambria Math" w:cs="Arial"/>
                      </w:rPr>
                      <m:t>LE</m:t>
                    </m:r>
                  </m:e>
                  <m:sub>
                    <m:r>
                      <w:rPr>
                        <w:rFonts w:ascii="Cambria Math" w:hAnsi="Cambria Math" w:cs="Arial"/>
                      </w:rPr>
                      <m:t>EC,BL,y</m:t>
                    </m:r>
                  </m:sub>
                </m:sSub>
              </m:oMath>
            </m:oMathPara>
          </w:p>
        </w:tc>
        <w:tc>
          <w:tcPr>
            <w:tcW w:w="345" w:type="dxa"/>
            <w:vAlign w:val="top"/>
          </w:tcPr>
          <w:p w14:paraId="2ECE4FBB" w14:textId="77777777" w:rsidR="00D9066E" w:rsidRPr="002408C8" w:rsidRDefault="00D9066E" w:rsidP="002408C8">
            <w:pPr>
              <w:pStyle w:val="SDMTableBoxParaNotNumbered"/>
              <w:rPr>
                <w:rFonts w:cs="Arial"/>
              </w:rPr>
            </w:pPr>
            <w:r w:rsidRPr="002408C8">
              <w:rPr>
                <w:rFonts w:cs="Arial"/>
              </w:rPr>
              <w:t>=</w:t>
            </w:r>
          </w:p>
        </w:tc>
        <w:tc>
          <w:tcPr>
            <w:tcW w:w="0" w:type="auto"/>
            <w:vAlign w:val="top"/>
          </w:tcPr>
          <w:p w14:paraId="3BD57879" w14:textId="3DF29505" w:rsidR="00D9066E" w:rsidRPr="002408C8" w:rsidRDefault="00D9066E" w:rsidP="002408C8">
            <w:pPr>
              <w:pStyle w:val="SDMTableBoxParaNotNumbered"/>
              <w:rPr>
                <w:rFonts w:cs="Arial"/>
              </w:rPr>
            </w:pPr>
            <w:r w:rsidRPr="002408C8">
              <w:rPr>
                <w:rFonts w:cs="Arial"/>
              </w:rPr>
              <w:t>Leakage emissions from electricity consumption in the baseline scenario in year </w:t>
            </w:r>
            <w:r w:rsidRPr="002408C8">
              <w:rPr>
                <w:rFonts w:cs="Arial"/>
                <w:i/>
                <w:iCs/>
              </w:rPr>
              <w:t>y</w:t>
            </w:r>
            <w:r w:rsidRPr="002408C8">
              <w:rPr>
                <w:rFonts w:cs="Arial"/>
              </w:rPr>
              <w:t xml:space="preserve"> (t CO</w:t>
            </w:r>
            <w:r w:rsidRPr="002408C8">
              <w:rPr>
                <w:rFonts w:cs="Arial"/>
                <w:vertAlign w:val="subscript"/>
              </w:rPr>
              <w:t>2</w:t>
            </w:r>
            <w:r w:rsidRPr="002408C8">
              <w:rPr>
                <w:rFonts w:cs="Arial"/>
              </w:rPr>
              <w:t>)</w:t>
            </w:r>
          </w:p>
        </w:tc>
      </w:tr>
      <w:tr w:rsidR="00D9066E" w:rsidRPr="002408C8" w14:paraId="5E3C8226" w14:textId="77777777" w:rsidTr="002408C8">
        <w:tc>
          <w:tcPr>
            <w:tcW w:w="1701" w:type="dxa"/>
            <w:vAlign w:val="top"/>
          </w:tcPr>
          <w:p w14:paraId="2B0FC8B7" w14:textId="77777777" w:rsidR="00D9066E" w:rsidRPr="002408C8" w:rsidRDefault="00000000" w:rsidP="002408C8">
            <w:pPr>
              <w:pStyle w:val="SDMTableBoxParaNotNumbered"/>
              <w:rPr>
                <w:rFonts w:eastAsia="DengXian" w:cs="Arial"/>
              </w:rPr>
            </w:pPr>
            <m:oMathPara>
              <m:oMathParaPr>
                <m:jc m:val="left"/>
              </m:oMathParaPr>
              <m:oMath>
                <m:sSub>
                  <m:sSubPr>
                    <m:ctrlPr>
                      <w:rPr>
                        <w:rFonts w:ascii="Cambria Math" w:hAnsi="Cambria Math" w:cs="Arial"/>
                        <w:i/>
                      </w:rPr>
                    </m:ctrlPr>
                  </m:sSubPr>
                  <m:e>
                    <m:r>
                      <w:rPr>
                        <w:rFonts w:ascii="Cambria Math" w:hAnsi="Cambria Math" w:cs="Arial"/>
                      </w:rPr>
                      <m:t>LE</m:t>
                    </m:r>
                  </m:e>
                  <m:sub>
                    <m:r>
                      <w:rPr>
                        <w:rFonts w:ascii="Cambria Math" w:hAnsi="Cambria Math" w:cs="Arial"/>
                      </w:rPr>
                      <m:t>EG,PJ,y</m:t>
                    </m:r>
                  </m:sub>
                </m:sSub>
              </m:oMath>
            </m:oMathPara>
          </w:p>
        </w:tc>
        <w:tc>
          <w:tcPr>
            <w:tcW w:w="345" w:type="dxa"/>
            <w:vAlign w:val="top"/>
          </w:tcPr>
          <w:p w14:paraId="1793D24D" w14:textId="77777777" w:rsidR="00D9066E" w:rsidRPr="002408C8" w:rsidRDefault="00D9066E" w:rsidP="002408C8">
            <w:pPr>
              <w:pStyle w:val="SDMTableBoxParaNotNumbered"/>
              <w:rPr>
                <w:rFonts w:cs="Arial"/>
              </w:rPr>
            </w:pPr>
            <w:r w:rsidRPr="002408C8">
              <w:rPr>
                <w:rFonts w:cs="Arial"/>
              </w:rPr>
              <w:t>=</w:t>
            </w:r>
          </w:p>
        </w:tc>
        <w:tc>
          <w:tcPr>
            <w:tcW w:w="0" w:type="auto"/>
            <w:vAlign w:val="top"/>
          </w:tcPr>
          <w:p w14:paraId="1CF781D5" w14:textId="1E4BC18D" w:rsidR="00D9066E" w:rsidRPr="002408C8" w:rsidRDefault="00D9066E" w:rsidP="002408C8">
            <w:pPr>
              <w:pStyle w:val="SDMTableBoxParaNotNumbered"/>
              <w:rPr>
                <w:rFonts w:cs="Arial"/>
              </w:rPr>
            </w:pPr>
            <w:r w:rsidRPr="002408C8">
              <w:rPr>
                <w:rFonts w:cs="Arial"/>
              </w:rPr>
              <w:t>Leakage emissions from electricity generation in the project scenario in year </w:t>
            </w:r>
            <w:r w:rsidRPr="002408C8">
              <w:rPr>
                <w:rFonts w:cs="Arial"/>
                <w:i/>
                <w:iCs/>
              </w:rPr>
              <w:t>y</w:t>
            </w:r>
            <w:r w:rsidRPr="002408C8">
              <w:rPr>
                <w:rFonts w:cs="Arial"/>
              </w:rPr>
              <w:t xml:space="preserve"> (t CO</w:t>
            </w:r>
            <w:r w:rsidRPr="002408C8">
              <w:rPr>
                <w:rFonts w:cs="Arial"/>
                <w:vertAlign w:val="subscript"/>
              </w:rPr>
              <w:t>2</w:t>
            </w:r>
            <w:r w:rsidRPr="002408C8">
              <w:rPr>
                <w:rFonts w:cs="Arial"/>
              </w:rPr>
              <w:t>)</w:t>
            </w:r>
          </w:p>
        </w:tc>
      </w:tr>
      <w:tr w:rsidR="00D9066E" w:rsidRPr="002408C8" w14:paraId="0331347E" w14:textId="77777777" w:rsidTr="002408C8">
        <w:tc>
          <w:tcPr>
            <w:tcW w:w="1701" w:type="dxa"/>
            <w:vAlign w:val="top"/>
          </w:tcPr>
          <w:p w14:paraId="5259C75E" w14:textId="77777777" w:rsidR="00D9066E" w:rsidRPr="002408C8" w:rsidRDefault="00000000" w:rsidP="002408C8">
            <w:pPr>
              <w:pStyle w:val="SDMTableBoxParaNotNumbered"/>
              <w:rPr>
                <w:rFonts w:eastAsia="DengXian" w:cs="Arial"/>
              </w:rPr>
            </w:pPr>
            <m:oMathPara>
              <m:oMathParaPr>
                <m:jc m:val="left"/>
              </m:oMathParaPr>
              <m:oMath>
                <m:sSub>
                  <m:sSubPr>
                    <m:ctrlPr>
                      <w:rPr>
                        <w:rFonts w:ascii="Cambria Math" w:hAnsi="Cambria Math" w:cs="Arial"/>
                        <w:i/>
                      </w:rPr>
                    </m:ctrlPr>
                  </m:sSubPr>
                  <m:e>
                    <m:r>
                      <w:rPr>
                        <w:rFonts w:ascii="Cambria Math" w:hAnsi="Cambria Math" w:cs="Arial"/>
                      </w:rPr>
                      <m:t>LE</m:t>
                    </m:r>
                  </m:e>
                  <m:sub>
                    <m:r>
                      <w:rPr>
                        <w:rFonts w:ascii="Cambria Math" w:hAnsi="Cambria Math" w:cs="Arial"/>
                      </w:rPr>
                      <m:t>EC,PJ,y</m:t>
                    </m:r>
                  </m:sub>
                </m:sSub>
              </m:oMath>
            </m:oMathPara>
          </w:p>
        </w:tc>
        <w:tc>
          <w:tcPr>
            <w:tcW w:w="345" w:type="dxa"/>
            <w:vAlign w:val="top"/>
          </w:tcPr>
          <w:p w14:paraId="594239A3" w14:textId="77777777" w:rsidR="00D9066E" w:rsidRPr="002408C8" w:rsidRDefault="00D9066E" w:rsidP="002408C8">
            <w:pPr>
              <w:pStyle w:val="SDMTableBoxParaNotNumbered"/>
              <w:rPr>
                <w:rFonts w:cs="Arial"/>
              </w:rPr>
            </w:pPr>
            <w:r w:rsidRPr="002408C8">
              <w:rPr>
                <w:rFonts w:cs="Arial"/>
              </w:rPr>
              <w:t>=</w:t>
            </w:r>
          </w:p>
        </w:tc>
        <w:tc>
          <w:tcPr>
            <w:tcW w:w="0" w:type="auto"/>
            <w:vAlign w:val="top"/>
          </w:tcPr>
          <w:p w14:paraId="5CAA0FE9" w14:textId="34BE30B9" w:rsidR="00D9066E" w:rsidRPr="002408C8" w:rsidRDefault="00D9066E" w:rsidP="002408C8">
            <w:pPr>
              <w:pStyle w:val="SDMTableBoxParaNotNumbered"/>
              <w:rPr>
                <w:rFonts w:cs="Arial"/>
              </w:rPr>
            </w:pPr>
            <w:r w:rsidRPr="002408C8">
              <w:rPr>
                <w:rFonts w:cs="Arial"/>
              </w:rPr>
              <w:t>Leakage emissions from electricity consumption in the project scenario in year </w:t>
            </w:r>
            <w:r w:rsidRPr="002408C8">
              <w:rPr>
                <w:rFonts w:cs="Arial"/>
                <w:i/>
                <w:iCs/>
              </w:rPr>
              <w:t>y</w:t>
            </w:r>
            <w:r w:rsidRPr="002408C8">
              <w:rPr>
                <w:rFonts w:cs="Arial"/>
              </w:rPr>
              <w:t xml:space="preserve"> (t CO</w:t>
            </w:r>
            <w:r w:rsidRPr="002408C8">
              <w:rPr>
                <w:rFonts w:cs="Arial"/>
                <w:vertAlign w:val="subscript"/>
              </w:rPr>
              <w:t>2</w:t>
            </w:r>
            <w:r w:rsidRPr="002408C8">
              <w:rPr>
                <w:rFonts w:cs="Arial"/>
              </w:rPr>
              <w:t>)</w:t>
            </w:r>
          </w:p>
        </w:tc>
      </w:tr>
      <w:tr w:rsidR="00D9066E" w:rsidRPr="002408C8" w14:paraId="50A65078" w14:textId="77777777" w:rsidTr="002408C8">
        <w:tc>
          <w:tcPr>
            <w:tcW w:w="1701" w:type="dxa"/>
            <w:vAlign w:val="top"/>
          </w:tcPr>
          <w:p w14:paraId="11B766E5" w14:textId="77777777" w:rsidR="00D9066E" w:rsidRPr="002408C8" w:rsidRDefault="00000000" w:rsidP="002408C8">
            <w:pPr>
              <w:pStyle w:val="SDMTableBoxParaNotNumbered"/>
              <w:rPr>
                <w:rFonts w:eastAsia="DengXian" w:cs="Arial"/>
              </w:rPr>
            </w:pPr>
            <m:oMathPara>
              <m:oMathParaPr>
                <m:jc m:val="left"/>
              </m:oMathParaPr>
              <m:oMath>
                <m:sSub>
                  <m:sSubPr>
                    <m:ctrlPr>
                      <w:rPr>
                        <w:rFonts w:ascii="Cambria Math" w:hAnsi="Cambria Math" w:cs="Arial"/>
                        <w:i/>
                      </w:rPr>
                    </m:ctrlPr>
                  </m:sSubPr>
                  <m:e>
                    <m:r>
                      <w:rPr>
                        <w:rFonts w:ascii="Cambria Math" w:hAnsi="Cambria Math" w:cs="Arial"/>
                      </w:rPr>
                      <m:t>EG</m:t>
                    </m:r>
                  </m:e>
                  <m:sub>
                    <m:r>
                      <w:rPr>
                        <w:rFonts w:ascii="Cambria Math" w:hAnsi="Cambria Math" w:cs="Arial"/>
                      </w:rPr>
                      <m:t>s,y</m:t>
                    </m:r>
                  </m:sub>
                </m:sSub>
              </m:oMath>
            </m:oMathPara>
          </w:p>
        </w:tc>
        <w:tc>
          <w:tcPr>
            <w:tcW w:w="345" w:type="dxa"/>
            <w:vAlign w:val="top"/>
          </w:tcPr>
          <w:p w14:paraId="43F31D9C" w14:textId="77777777" w:rsidR="00D9066E" w:rsidRPr="002408C8" w:rsidRDefault="00D9066E" w:rsidP="002408C8">
            <w:pPr>
              <w:pStyle w:val="SDMTableBoxParaNotNumbered"/>
              <w:rPr>
                <w:rFonts w:cs="Arial"/>
              </w:rPr>
            </w:pPr>
            <w:r w:rsidRPr="002408C8">
              <w:rPr>
                <w:rFonts w:cs="Arial"/>
              </w:rPr>
              <w:t>=</w:t>
            </w:r>
          </w:p>
        </w:tc>
        <w:tc>
          <w:tcPr>
            <w:tcW w:w="0" w:type="auto"/>
            <w:vAlign w:val="top"/>
          </w:tcPr>
          <w:p w14:paraId="60C3BFEA" w14:textId="7F5FF388" w:rsidR="00D9066E" w:rsidRPr="002408C8" w:rsidRDefault="00D9066E" w:rsidP="002408C8">
            <w:pPr>
              <w:pStyle w:val="SDMTableBoxParaNotNumbered"/>
              <w:rPr>
                <w:rFonts w:cs="Arial"/>
              </w:rPr>
            </w:pPr>
            <w:r w:rsidRPr="002408C8">
              <w:rPr>
                <w:rFonts w:cs="Arial"/>
              </w:rPr>
              <w:t>Electricity generation by the electricity generation source </w:t>
            </w:r>
            <w:r w:rsidRPr="002408C8">
              <w:rPr>
                <w:rFonts w:cs="Arial"/>
                <w:i/>
                <w:iCs/>
              </w:rPr>
              <w:t>s</w:t>
            </w:r>
            <w:r w:rsidRPr="002408C8">
              <w:rPr>
                <w:rFonts w:cs="Arial"/>
              </w:rPr>
              <w:t xml:space="preserve"> in year </w:t>
            </w:r>
            <w:r w:rsidRPr="002408C8">
              <w:rPr>
                <w:rFonts w:cs="Arial"/>
                <w:i/>
                <w:iCs/>
              </w:rPr>
              <w:t>y</w:t>
            </w:r>
            <w:r w:rsidRPr="002408C8">
              <w:rPr>
                <w:rFonts w:cs="Arial"/>
              </w:rPr>
              <w:t xml:space="preserve"> (MWh)</w:t>
            </w:r>
          </w:p>
        </w:tc>
      </w:tr>
      <w:tr w:rsidR="00D9066E" w:rsidRPr="002408C8" w14:paraId="49099DC6" w14:textId="77777777" w:rsidTr="002408C8">
        <w:tc>
          <w:tcPr>
            <w:tcW w:w="1701" w:type="dxa"/>
            <w:vAlign w:val="top"/>
          </w:tcPr>
          <w:p w14:paraId="1769EAFB" w14:textId="77777777" w:rsidR="00D9066E" w:rsidRPr="002408C8" w:rsidRDefault="00000000" w:rsidP="002408C8">
            <w:pPr>
              <w:pStyle w:val="SDMTableBoxParaNotNumbered"/>
              <w:rPr>
                <w:rFonts w:eastAsia="DengXian" w:cs="Arial"/>
              </w:rPr>
            </w:pPr>
            <m:oMathPara>
              <m:oMathParaPr>
                <m:jc m:val="left"/>
              </m:oMathParaPr>
              <m:oMath>
                <m:sSub>
                  <m:sSubPr>
                    <m:ctrlPr>
                      <w:rPr>
                        <w:rFonts w:ascii="Cambria Math" w:hAnsi="Cambria Math" w:cs="Arial"/>
                        <w:i/>
                      </w:rPr>
                    </m:ctrlPr>
                  </m:sSubPr>
                  <m:e>
                    <m:r>
                      <w:rPr>
                        <w:rFonts w:ascii="Cambria Math" w:hAnsi="Cambria Math" w:cs="Arial"/>
                      </w:rPr>
                      <m:t>EC</m:t>
                    </m:r>
                  </m:e>
                  <m:sub>
                    <m:r>
                      <w:rPr>
                        <w:rFonts w:ascii="Cambria Math" w:hAnsi="Cambria Math" w:cs="Arial"/>
                      </w:rPr>
                      <m:t>s,y</m:t>
                    </m:r>
                  </m:sub>
                </m:sSub>
              </m:oMath>
            </m:oMathPara>
          </w:p>
        </w:tc>
        <w:tc>
          <w:tcPr>
            <w:tcW w:w="345" w:type="dxa"/>
            <w:vAlign w:val="top"/>
          </w:tcPr>
          <w:p w14:paraId="55685B6D" w14:textId="77777777" w:rsidR="00D9066E" w:rsidRPr="002408C8" w:rsidRDefault="00D9066E" w:rsidP="002408C8">
            <w:pPr>
              <w:pStyle w:val="SDMTableBoxParaNotNumbered"/>
              <w:rPr>
                <w:rFonts w:cs="Arial"/>
              </w:rPr>
            </w:pPr>
            <w:r w:rsidRPr="002408C8">
              <w:rPr>
                <w:rFonts w:cs="Arial"/>
              </w:rPr>
              <w:t>=</w:t>
            </w:r>
          </w:p>
        </w:tc>
        <w:tc>
          <w:tcPr>
            <w:tcW w:w="0" w:type="auto"/>
            <w:vAlign w:val="top"/>
          </w:tcPr>
          <w:p w14:paraId="1F883FF0" w14:textId="1F0EAFCE" w:rsidR="00D9066E" w:rsidRPr="002408C8" w:rsidRDefault="00D9066E" w:rsidP="002408C8">
            <w:pPr>
              <w:pStyle w:val="SDMTableBoxParaNotNumbered"/>
              <w:rPr>
                <w:rFonts w:cs="Arial"/>
              </w:rPr>
            </w:pPr>
            <w:r w:rsidRPr="002408C8">
              <w:rPr>
                <w:rFonts w:cs="Arial"/>
              </w:rPr>
              <w:t>Electricity consumption by the electricity consumption source </w:t>
            </w:r>
            <w:r w:rsidRPr="002408C8">
              <w:rPr>
                <w:rFonts w:cs="Arial"/>
                <w:i/>
                <w:iCs/>
              </w:rPr>
              <w:t>s</w:t>
            </w:r>
            <w:r w:rsidRPr="002408C8">
              <w:rPr>
                <w:rFonts w:cs="Arial"/>
              </w:rPr>
              <w:t xml:space="preserve"> in year </w:t>
            </w:r>
            <w:r w:rsidRPr="002408C8">
              <w:rPr>
                <w:rFonts w:cs="Arial"/>
                <w:i/>
                <w:iCs/>
              </w:rPr>
              <w:t>y</w:t>
            </w:r>
            <w:r w:rsidRPr="002408C8">
              <w:rPr>
                <w:rFonts w:cs="Arial"/>
              </w:rPr>
              <w:t xml:space="preserve"> (MWh)</w:t>
            </w:r>
          </w:p>
        </w:tc>
      </w:tr>
      <w:tr w:rsidR="00D9066E" w:rsidRPr="002408C8" w14:paraId="24753CD3" w14:textId="77777777" w:rsidTr="002408C8">
        <w:tc>
          <w:tcPr>
            <w:tcW w:w="1701" w:type="dxa"/>
            <w:vAlign w:val="top"/>
          </w:tcPr>
          <w:p w14:paraId="10F688A1" w14:textId="77777777" w:rsidR="00D9066E" w:rsidRPr="002408C8" w:rsidRDefault="00000000" w:rsidP="002408C8">
            <w:pPr>
              <w:pStyle w:val="SDMTableBoxParaNotNumbered"/>
              <w:rPr>
                <w:rFonts w:eastAsia="DengXian" w:cs="Arial"/>
              </w:rPr>
            </w:pPr>
            <m:oMathPara>
              <m:oMathParaPr>
                <m:jc m:val="left"/>
              </m:oMathParaPr>
              <m:oMath>
                <m:sSub>
                  <m:sSubPr>
                    <m:ctrlPr>
                      <w:rPr>
                        <w:rFonts w:ascii="Cambria Math" w:hAnsi="Cambria Math" w:cs="Arial"/>
                        <w:i/>
                      </w:rPr>
                    </m:ctrlPr>
                  </m:sSubPr>
                  <m:e>
                    <m:r>
                      <w:rPr>
                        <w:rFonts w:ascii="Cambria Math" w:hAnsi="Cambria Math" w:cs="Arial"/>
                      </w:rPr>
                      <m:t>EF</m:t>
                    </m:r>
                  </m:e>
                  <m:sub>
                    <m:r>
                      <w:rPr>
                        <w:rFonts w:ascii="Cambria Math" w:hAnsi="Cambria Math" w:cs="Arial"/>
                      </w:rPr>
                      <m:t>EG,BL,s,y</m:t>
                    </m:r>
                  </m:sub>
                </m:sSub>
              </m:oMath>
            </m:oMathPara>
          </w:p>
        </w:tc>
        <w:tc>
          <w:tcPr>
            <w:tcW w:w="345" w:type="dxa"/>
            <w:vAlign w:val="top"/>
          </w:tcPr>
          <w:p w14:paraId="5CE437D7" w14:textId="77777777" w:rsidR="00D9066E" w:rsidRPr="002408C8" w:rsidRDefault="00D9066E" w:rsidP="002408C8">
            <w:pPr>
              <w:pStyle w:val="SDMTableBoxParaNotNumbered"/>
              <w:rPr>
                <w:rFonts w:cs="Arial"/>
              </w:rPr>
            </w:pPr>
            <w:r w:rsidRPr="002408C8">
              <w:rPr>
                <w:rFonts w:cs="Arial"/>
              </w:rPr>
              <w:t>=</w:t>
            </w:r>
          </w:p>
        </w:tc>
        <w:tc>
          <w:tcPr>
            <w:tcW w:w="0" w:type="auto"/>
            <w:vAlign w:val="top"/>
          </w:tcPr>
          <w:p w14:paraId="3A3F2B84" w14:textId="0F4A8F87" w:rsidR="00D9066E" w:rsidRPr="002408C8" w:rsidRDefault="00D9066E" w:rsidP="002408C8">
            <w:pPr>
              <w:pStyle w:val="SDMTableBoxParaNotNumbered"/>
              <w:rPr>
                <w:rFonts w:cs="Arial"/>
              </w:rPr>
            </w:pPr>
            <w:r w:rsidRPr="002408C8">
              <w:rPr>
                <w:rFonts w:cs="Arial"/>
              </w:rPr>
              <w:t>Emission factor for electricity generation by electricity generation source </w:t>
            </w:r>
            <w:r w:rsidRPr="002408C8">
              <w:rPr>
                <w:rFonts w:cs="Arial"/>
                <w:i/>
                <w:iCs/>
              </w:rPr>
              <w:t>s</w:t>
            </w:r>
            <w:r w:rsidRPr="002408C8">
              <w:rPr>
                <w:rFonts w:cs="Arial"/>
              </w:rPr>
              <w:t xml:space="preserve"> in the baseline scenario in (</w:t>
            </w:r>
            <w:r w:rsidR="00B766BF" w:rsidRPr="002408C8">
              <w:rPr>
                <w:rFonts w:cs="Arial"/>
              </w:rPr>
              <w:t>case</w:t>
            </w:r>
            <w:r w:rsidR="00FE0895" w:rsidRPr="002408C8">
              <w:rPr>
                <w:rFonts w:cs="Arial"/>
              </w:rPr>
              <w:t> </w:t>
            </w:r>
            <w:r w:rsidRPr="002408C8">
              <w:rPr>
                <w:rFonts w:cs="Arial"/>
              </w:rPr>
              <w:t>2) year </w:t>
            </w:r>
            <w:r w:rsidRPr="002408C8">
              <w:rPr>
                <w:rFonts w:cs="Arial"/>
                <w:i/>
                <w:iCs/>
              </w:rPr>
              <w:t>y</w:t>
            </w:r>
            <w:r w:rsidRPr="002408C8">
              <w:rPr>
                <w:rFonts w:cs="Arial"/>
              </w:rPr>
              <w:t xml:space="preserve"> (</w:t>
            </w:r>
            <w:r w:rsidR="00543004" w:rsidRPr="002408C8">
              <w:rPr>
                <w:rFonts w:cs="Arial"/>
              </w:rPr>
              <w:t>t CO</w:t>
            </w:r>
            <w:r w:rsidR="00543004" w:rsidRPr="002408C8">
              <w:rPr>
                <w:rFonts w:cs="Arial"/>
                <w:vertAlign w:val="subscript"/>
              </w:rPr>
              <w:t>2</w:t>
            </w:r>
            <w:r w:rsidR="00543004" w:rsidRPr="002408C8">
              <w:rPr>
                <w:rFonts w:cs="Arial"/>
              </w:rPr>
              <w:t>/</w:t>
            </w:r>
            <w:r w:rsidRPr="002408C8">
              <w:rPr>
                <w:rFonts w:cs="Arial"/>
              </w:rPr>
              <w:t>MWh)</w:t>
            </w:r>
          </w:p>
        </w:tc>
      </w:tr>
      <w:tr w:rsidR="00D9066E" w:rsidRPr="002408C8" w14:paraId="38B34AE0" w14:textId="77777777" w:rsidTr="002408C8">
        <w:tc>
          <w:tcPr>
            <w:tcW w:w="1701" w:type="dxa"/>
            <w:vAlign w:val="top"/>
          </w:tcPr>
          <w:p w14:paraId="40AB2446" w14:textId="77777777" w:rsidR="00D9066E" w:rsidRPr="002408C8" w:rsidRDefault="00000000" w:rsidP="002408C8">
            <w:pPr>
              <w:pStyle w:val="SDMTableBoxParaNotNumbered"/>
              <w:rPr>
                <w:rFonts w:cs="Arial"/>
              </w:rPr>
            </w:pPr>
            <m:oMathPara>
              <m:oMathParaPr>
                <m:jc m:val="left"/>
              </m:oMathParaPr>
              <m:oMath>
                <m:sSub>
                  <m:sSubPr>
                    <m:ctrlPr>
                      <w:rPr>
                        <w:rFonts w:ascii="Cambria Math" w:hAnsi="Cambria Math" w:cs="Arial"/>
                        <w:i/>
                      </w:rPr>
                    </m:ctrlPr>
                  </m:sSubPr>
                  <m:e>
                    <m:r>
                      <w:rPr>
                        <w:rFonts w:ascii="Cambria Math" w:hAnsi="Cambria Math" w:cs="Arial"/>
                      </w:rPr>
                      <m:t>EF</m:t>
                    </m:r>
                  </m:e>
                  <m:sub>
                    <m:r>
                      <w:rPr>
                        <w:rFonts w:ascii="Cambria Math" w:hAnsi="Cambria Math" w:cs="Arial"/>
                      </w:rPr>
                      <m:t>EC,BL,s,y</m:t>
                    </m:r>
                  </m:sub>
                </m:sSub>
              </m:oMath>
            </m:oMathPara>
          </w:p>
        </w:tc>
        <w:tc>
          <w:tcPr>
            <w:tcW w:w="345" w:type="dxa"/>
            <w:vAlign w:val="top"/>
          </w:tcPr>
          <w:p w14:paraId="009B5F0F" w14:textId="77777777" w:rsidR="00D9066E" w:rsidRPr="002408C8" w:rsidRDefault="00D9066E" w:rsidP="002408C8">
            <w:pPr>
              <w:pStyle w:val="SDMTableBoxParaNotNumbered"/>
              <w:rPr>
                <w:rFonts w:cs="Arial"/>
              </w:rPr>
            </w:pPr>
            <w:r w:rsidRPr="002408C8">
              <w:rPr>
                <w:rFonts w:cs="Arial"/>
              </w:rPr>
              <w:t>=</w:t>
            </w:r>
          </w:p>
        </w:tc>
        <w:tc>
          <w:tcPr>
            <w:tcW w:w="0" w:type="auto"/>
            <w:vAlign w:val="top"/>
          </w:tcPr>
          <w:p w14:paraId="639A7CD1" w14:textId="170FC26C" w:rsidR="00D9066E" w:rsidRPr="002408C8" w:rsidRDefault="00D9066E" w:rsidP="002408C8">
            <w:pPr>
              <w:pStyle w:val="SDMTableBoxParaNotNumbered"/>
              <w:rPr>
                <w:rFonts w:cs="Arial"/>
              </w:rPr>
            </w:pPr>
            <w:r w:rsidRPr="002408C8">
              <w:rPr>
                <w:rFonts w:cs="Arial"/>
              </w:rPr>
              <w:t>Emission factor for electricity consumption by electricity consumption source </w:t>
            </w:r>
            <w:r w:rsidRPr="002408C8">
              <w:rPr>
                <w:rFonts w:cs="Arial"/>
                <w:i/>
                <w:iCs/>
              </w:rPr>
              <w:t>s</w:t>
            </w:r>
            <w:r w:rsidRPr="002408C8">
              <w:rPr>
                <w:rFonts w:cs="Arial"/>
              </w:rPr>
              <w:t xml:space="preserve"> in the baseline scenario in (</w:t>
            </w:r>
            <w:r w:rsidR="00B766BF" w:rsidRPr="002408C8">
              <w:rPr>
                <w:rFonts w:cs="Arial"/>
              </w:rPr>
              <w:t>case</w:t>
            </w:r>
            <w:r w:rsidR="00FE0895" w:rsidRPr="002408C8">
              <w:rPr>
                <w:rFonts w:cs="Arial"/>
              </w:rPr>
              <w:t> </w:t>
            </w:r>
            <w:r w:rsidRPr="002408C8">
              <w:rPr>
                <w:rFonts w:cs="Arial"/>
              </w:rPr>
              <w:t>2) year </w:t>
            </w:r>
            <w:r w:rsidRPr="002408C8">
              <w:rPr>
                <w:rFonts w:cs="Arial"/>
                <w:i/>
                <w:iCs/>
              </w:rPr>
              <w:t>y</w:t>
            </w:r>
            <w:r w:rsidRPr="002408C8">
              <w:rPr>
                <w:rFonts w:cs="Arial"/>
              </w:rPr>
              <w:t xml:space="preserve"> (</w:t>
            </w:r>
            <w:r w:rsidR="00543004" w:rsidRPr="002408C8">
              <w:rPr>
                <w:rFonts w:cs="Arial"/>
              </w:rPr>
              <w:t>t CO</w:t>
            </w:r>
            <w:r w:rsidR="00543004" w:rsidRPr="002408C8">
              <w:rPr>
                <w:rFonts w:cs="Arial"/>
                <w:vertAlign w:val="subscript"/>
              </w:rPr>
              <w:t>2</w:t>
            </w:r>
            <w:r w:rsidR="00543004" w:rsidRPr="002408C8">
              <w:rPr>
                <w:rFonts w:cs="Arial"/>
              </w:rPr>
              <w:t>/</w:t>
            </w:r>
            <w:r w:rsidRPr="002408C8">
              <w:rPr>
                <w:rFonts w:cs="Arial"/>
              </w:rPr>
              <w:t>MWh)</w:t>
            </w:r>
          </w:p>
        </w:tc>
      </w:tr>
      <w:tr w:rsidR="00D9066E" w:rsidRPr="002408C8" w14:paraId="536727D4" w14:textId="77777777" w:rsidTr="002408C8">
        <w:tc>
          <w:tcPr>
            <w:tcW w:w="1701" w:type="dxa"/>
            <w:vAlign w:val="top"/>
          </w:tcPr>
          <w:p w14:paraId="514C365C" w14:textId="77777777" w:rsidR="00D9066E" w:rsidRPr="002408C8" w:rsidRDefault="00000000" w:rsidP="002408C8">
            <w:pPr>
              <w:pStyle w:val="SDMTableBoxParaNotNumbered"/>
              <w:rPr>
                <w:rFonts w:eastAsia="DengXian" w:cs="Arial"/>
              </w:rPr>
            </w:pPr>
            <m:oMathPara>
              <m:oMathParaPr>
                <m:jc m:val="left"/>
              </m:oMathParaPr>
              <m:oMath>
                <m:sSub>
                  <m:sSubPr>
                    <m:ctrlPr>
                      <w:rPr>
                        <w:rFonts w:ascii="Cambria Math" w:hAnsi="Cambria Math" w:cs="Arial"/>
                        <w:i/>
                      </w:rPr>
                    </m:ctrlPr>
                  </m:sSubPr>
                  <m:e>
                    <m:r>
                      <w:rPr>
                        <w:rFonts w:ascii="Cambria Math" w:hAnsi="Cambria Math" w:cs="Arial"/>
                      </w:rPr>
                      <m:t>EF</m:t>
                    </m:r>
                  </m:e>
                  <m:sub>
                    <m:r>
                      <w:rPr>
                        <w:rFonts w:ascii="Cambria Math" w:hAnsi="Cambria Math" w:cs="Arial"/>
                      </w:rPr>
                      <m:t>EG,PJ,s,y</m:t>
                    </m:r>
                  </m:sub>
                </m:sSub>
              </m:oMath>
            </m:oMathPara>
          </w:p>
        </w:tc>
        <w:tc>
          <w:tcPr>
            <w:tcW w:w="345" w:type="dxa"/>
            <w:vAlign w:val="top"/>
          </w:tcPr>
          <w:p w14:paraId="73CE5018" w14:textId="77777777" w:rsidR="00D9066E" w:rsidRPr="002408C8" w:rsidRDefault="00D9066E" w:rsidP="002408C8">
            <w:pPr>
              <w:pStyle w:val="SDMTableBoxParaNotNumbered"/>
              <w:rPr>
                <w:rFonts w:cs="Arial"/>
              </w:rPr>
            </w:pPr>
            <w:r w:rsidRPr="002408C8">
              <w:rPr>
                <w:rFonts w:cs="Arial"/>
              </w:rPr>
              <w:t>=</w:t>
            </w:r>
          </w:p>
        </w:tc>
        <w:tc>
          <w:tcPr>
            <w:tcW w:w="0" w:type="auto"/>
            <w:vAlign w:val="top"/>
          </w:tcPr>
          <w:p w14:paraId="4CE39F68" w14:textId="18822EA7" w:rsidR="00D9066E" w:rsidRPr="002408C8" w:rsidRDefault="00D9066E" w:rsidP="002408C8">
            <w:pPr>
              <w:pStyle w:val="SDMTableBoxParaNotNumbered"/>
              <w:rPr>
                <w:rFonts w:cs="Arial"/>
              </w:rPr>
            </w:pPr>
            <w:r w:rsidRPr="002408C8">
              <w:rPr>
                <w:rFonts w:cs="Arial"/>
              </w:rPr>
              <w:t>Emission factor for electricity generation by electricity generation source </w:t>
            </w:r>
            <w:r w:rsidRPr="002408C8">
              <w:rPr>
                <w:rFonts w:cs="Arial"/>
                <w:i/>
                <w:iCs/>
              </w:rPr>
              <w:t>s</w:t>
            </w:r>
            <w:r w:rsidRPr="002408C8">
              <w:rPr>
                <w:rFonts w:cs="Arial"/>
              </w:rPr>
              <w:t xml:space="preserve"> in the project scenario in (</w:t>
            </w:r>
            <w:r w:rsidR="00B766BF" w:rsidRPr="002408C8">
              <w:rPr>
                <w:rFonts w:cs="Arial"/>
              </w:rPr>
              <w:t>case</w:t>
            </w:r>
            <w:r w:rsidR="00FE0895" w:rsidRPr="002408C8">
              <w:rPr>
                <w:rFonts w:cs="Arial"/>
              </w:rPr>
              <w:t> </w:t>
            </w:r>
            <w:r w:rsidRPr="002408C8">
              <w:rPr>
                <w:rFonts w:cs="Arial"/>
              </w:rPr>
              <w:t>1) year </w:t>
            </w:r>
            <w:r w:rsidRPr="002408C8">
              <w:rPr>
                <w:rFonts w:cs="Arial"/>
                <w:i/>
                <w:iCs/>
              </w:rPr>
              <w:t>y</w:t>
            </w:r>
            <w:r w:rsidRPr="002408C8">
              <w:rPr>
                <w:rFonts w:cs="Arial"/>
              </w:rPr>
              <w:t xml:space="preserve"> (</w:t>
            </w:r>
            <w:r w:rsidR="00543004" w:rsidRPr="002408C8">
              <w:rPr>
                <w:rFonts w:cs="Arial"/>
              </w:rPr>
              <w:t>t CO</w:t>
            </w:r>
            <w:r w:rsidR="00543004" w:rsidRPr="002408C8">
              <w:rPr>
                <w:rFonts w:cs="Arial"/>
                <w:vertAlign w:val="subscript"/>
              </w:rPr>
              <w:t>2</w:t>
            </w:r>
            <w:r w:rsidR="00543004" w:rsidRPr="002408C8">
              <w:rPr>
                <w:rFonts w:cs="Arial"/>
              </w:rPr>
              <w:t>/</w:t>
            </w:r>
            <w:r w:rsidRPr="002408C8">
              <w:rPr>
                <w:rFonts w:cs="Arial"/>
              </w:rPr>
              <w:t>MWh)</w:t>
            </w:r>
          </w:p>
        </w:tc>
      </w:tr>
      <w:tr w:rsidR="00D9066E" w:rsidRPr="002408C8" w14:paraId="0DD97660" w14:textId="77777777" w:rsidTr="002408C8">
        <w:tc>
          <w:tcPr>
            <w:tcW w:w="1701" w:type="dxa"/>
            <w:vAlign w:val="top"/>
          </w:tcPr>
          <w:p w14:paraId="376FE20F" w14:textId="77777777" w:rsidR="00D9066E" w:rsidRPr="002408C8" w:rsidRDefault="00000000" w:rsidP="002408C8">
            <w:pPr>
              <w:pStyle w:val="SDMTableBoxParaNotNumbered"/>
              <w:rPr>
                <w:rFonts w:cs="Arial"/>
              </w:rPr>
            </w:pPr>
            <m:oMathPara>
              <m:oMathParaPr>
                <m:jc m:val="left"/>
              </m:oMathParaPr>
              <m:oMath>
                <m:sSub>
                  <m:sSubPr>
                    <m:ctrlPr>
                      <w:rPr>
                        <w:rFonts w:ascii="Cambria Math" w:hAnsi="Cambria Math" w:cs="Arial"/>
                        <w:i/>
                      </w:rPr>
                    </m:ctrlPr>
                  </m:sSubPr>
                  <m:e>
                    <m:r>
                      <w:rPr>
                        <w:rFonts w:ascii="Cambria Math" w:hAnsi="Cambria Math" w:cs="Arial"/>
                      </w:rPr>
                      <m:t>EF</m:t>
                    </m:r>
                  </m:e>
                  <m:sub>
                    <m:r>
                      <w:rPr>
                        <w:rFonts w:ascii="Cambria Math" w:hAnsi="Cambria Math" w:cs="Arial"/>
                      </w:rPr>
                      <m:t>EC,PJ,s,y</m:t>
                    </m:r>
                  </m:sub>
                </m:sSub>
              </m:oMath>
            </m:oMathPara>
          </w:p>
        </w:tc>
        <w:tc>
          <w:tcPr>
            <w:tcW w:w="345" w:type="dxa"/>
            <w:vAlign w:val="top"/>
          </w:tcPr>
          <w:p w14:paraId="5A401E75" w14:textId="77777777" w:rsidR="00D9066E" w:rsidRPr="002408C8" w:rsidRDefault="00D9066E" w:rsidP="002408C8">
            <w:pPr>
              <w:pStyle w:val="SDMTableBoxParaNotNumbered"/>
              <w:rPr>
                <w:rFonts w:cs="Arial"/>
              </w:rPr>
            </w:pPr>
            <w:r w:rsidRPr="002408C8">
              <w:rPr>
                <w:rFonts w:cs="Arial"/>
              </w:rPr>
              <w:t>=</w:t>
            </w:r>
          </w:p>
        </w:tc>
        <w:tc>
          <w:tcPr>
            <w:tcW w:w="0" w:type="auto"/>
            <w:vAlign w:val="top"/>
          </w:tcPr>
          <w:p w14:paraId="68DD5381" w14:textId="40830B1A" w:rsidR="00D9066E" w:rsidRPr="002408C8" w:rsidRDefault="00D9066E" w:rsidP="002408C8">
            <w:pPr>
              <w:pStyle w:val="SDMTableBoxParaNotNumbered"/>
              <w:rPr>
                <w:rFonts w:cs="Arial"/>
              </w:rPr>
            </w:pPr>
            <w:r w:rsidRPr="002408C8">
              <w:rPr>
                <w:rFonts w:cs="Arial"/>
              </w:rPr>
              <w:t>Emission factor for electricity consumption by electricity consumption source </w:t>
            </w:r>
            <w:r w:rsidRPr="002408C8">
              <w:rPr>
                <w:rFonts w:cs="Arial"/>
                <w:i/>
                <w:iCs/>
              </w:rPr>
              <w:t>s</w:t>
            </w:r>
            <w:r w:rsidRPr="002408C8">
              <w:rPr>
                <w:rFonts w:cs="Arial"/>
              </w:rPr>
              <w:t xml:space="preserve"> in the project scenario in (</w:t>
            </w:r>
            <w:r w:rsidR="00B766BF" w:rsidRPr="002408C8">
              <w:rPr>
                <w:rFonts w:cs="Arial"/>
              </w:rPr>
              <w:t>case</w:t>
            </w:r>
            <w:r w:rsidR="00FE0895" w:rsidRPr="002408C8">
              <w:rPr>
                <w:rFonts w:cs="Arial"/>
              </w:rPr>
              <w:t> </w:t>
            </w:r>
            <w:r w:rsidRPr="002408C8">
              <w:rPr>
                <w:rFonts w:cs="Arial"/>
              </w:rPr>
              <w:t>1) year </w:t>
            </w:r>
            <w:r w:rsidRPr="002408C8">
              <w:rPr>
                <w:rFonts w:cs="Arial"/>
                <w:i/>
                <w:iCs/>
              </w:rPr>
              <w:t>y</w:t>
            </w:r>
            <w:r w:rsidRPr="002408C8">
              <w:rPr>
                <w:rFonts w:cs="Arial"/>
              </w:rPr>
              <w:t xml:space="preserve"> (</w:t>
            </w:r>
            <w:r w:rsidR="00543004" w:rsidRPr="002408C8">
              <w:rPr>
                <w:rFonts w:cs="Arial"/>
              </w:rPr>
              <w:t>t CO</w:t>
            </w:r>
            <w:r w:rsidR="00543004" w:rsidRPr="002408C8">
              <w:rPr>
                <w:rFonts w:cs="Arial"/>
                <w:vertAlign w:val="subscript"/>
              </w:rPr>
              <w:t>2</w:t>
            </w:r>
            <w:r w:rsidR="00543004" w:rsidRPr="002408C8">
              <w:rPr>
                <w:rFonts w:cs="Arial"/>
              </w:rPr>
              <w:t>/</w:t>
            </w:r>
            <w:r w:rsidRPr="002408C8">
              <w:rPr>
                <w:rFonts w:cs="Arial"/>
              </w:rPr>
              <w:t>MWh)</w:t>
            </w:r>
          </w:p>
        </w:tc>
      </w:tr>
      <w:tr w:rsidR="00D9066E" w:rsidRPr="002408C8" w14:paraId="1AAD7F89" w14:textId="77777777" w:rsidTr="002408C8">
        <w:tc>
          <w:tcPr>
            <w:tcW w:w="1701" w:type="dxa"/>
            <w:vAlign w:val="top"/>
          </w:tcPr>
          <w:p w14:paraId="6A9EF3AD" w14:textId="77777777" w:rsidR="00D9066E" w:rsidRPr="002408C8" w:rsidRDefault="00000000" w:rsidP="002408C8">
            <w:pPr>
              <w:pStyle w:val="SDMTableBoxParaNotNumbered"/>
              <w:rPr>
                <w:rFonts w:eastAsia="DengXian" w:cs="Arial"/>
              </w:rPr>
            </w:pPr>
            <m:oMathPara>
              <m:oMathParaPr>
                <m:jc m:val="left"/>
              </m:oMathParaPr>
              <m:oMath>
                <m:sSub>
                  <m:sSubPr>
                    <m:ctrlPr>
                      <w:rPr>
                        <w:rFonts w:ascii="Cambria Math" w:hAnsi="Cambria Math" w:cs="Arial"/>
                        <w:i/>
                      </w:rPr>
                    </m:ctrlPr>
                  </m:sSubPr>
                  <m:e>
                    <m:r>
                      <w:rPr>
                        <w:rFonts w:ascii="Cambria Math" w:hAnsi="Cambria Math" w:cs="Arial"/>
                      </w:rPr>
                      <m:t>F</m:t>
                    </m:r>
                  </m:e>
                  <m:sub>
                    <m:r>
                      <w:rPr>
                        <w:rFonts w:ascii="Cambria Math" w:hAnsi="Cambria Math" w:cs="Arial"/>
                      </w:rPr>
                      <m:t>TDL,s,y</m:t>
                    </m:r>
                  </m:sub>
                </m:sSub>
              </m:oMath>
            </m:oMathPara>
          </w:p>
        </w:tc>
        <w:tc>
          <w:tcPr>
            <w:tcW w:w="345" w:type="dxa"/>
            <w:vAlign w:val="top"/>
          </w:tcPr>
          <w:p w14:paraId="6EF71387" w14:textId="77777777" w:rsidR="00D9066E" w:rsidRPr="002408C8" w:rsidRDefault="00D9066E" w:rsidP="002408C8">
            <w:pPr>
              <w:pStyle w:val="SDMTableBoxParaNotNumbered"/>
              <w:rPr>
                <w:rFonts w:cs="Arial"/>
              </w:rPr>
            </w:pPr>
            <w:r w:rsidRPr="002408C8">
              <w:rPr>
                <w:rFonts w:cs="Arial"/>
              </w:rPr>
              <w:t>=</w:t>
            </w:r>
          </w:p>
        </w:tc>
        <w:tc>
          <w:tcPr>
            <w:tcW w:w="0" w:type="auto"/>
            <w:vAlign w:val="top"/>
          </w:tcPr>
          <w:p w14:paraId="17B52086" w14:textId="5523BA2A" w:rsidR="00D9066E" w:rsidRPr="002408C8" w:rsidRDefault="00D9066E" w:rsidP="002408C8">
            <w:pPr>
              <w:pStyle w:val="SDMTableBoxParaNotNumbered"/>
              <w:rPr>
                <w:rFonts w:cs="Arial"/>
              </w:rPr>
            </w:pPr>
            <w:r w:rsidRPr="002408C8">
              <w:rPr>
                <w:rFonts w:cs="Arial"/>
              </w:rPr>
              <w:t>Factor to account for transmission and distribution losses applicable to electricity generation or consumption source </w:t>
            </w:r>
            <w:r w:rsidRPr="002408C8">
              <w:rPr>
                <w:rFonts w:cs="Arial"/>
                <w:i/>
                <w:iCs/>
              </w:rPr>
              <w:t>s</w:t>
            </w:r>
            <w:r w:rsidRPr="002408C8">
              <w:rPr>
                <w:rFonts w:cs="Arial"/>
              </w:rPr>
              <w:t xml:space="preserve"> in year </w:t>
            </w:r>
            <w:r w:rsidRPr="002408C8">
              <w:rPr>
                <w:rFonts w:cs="Arial"/>
                <w:i/>
                <w:iCs/>
              </w:rPr>
              <w:t>y</w:t>
            </w:r>
          </w:p>
        </w:tc>
      </w:tr>
      <w:tr w:rsidR="00D9066E" w:rsidRPr="002408C8" w14:paraId="19D4EA7C" w14:textId="77777777" w:rsidTr="002408C8">
        <w:tc>
          <w:tcPr>
            <w:tcW w:w="1701" w:type="dxa"/>
            <w:vAlign w:val="top"/>
          </w:tcPr>
          <w:p w14:paraId="0D026FDB" w14:textId="77777777" w:rsidR="00D9066E" w:rsidRPr="002408C8" w:rsidRDefault="00075C2A" w:rsidP="002408C8">
            <w:pPr>
              <w:pStyle w:val="SDMTableBoxParaNotNumbered"/>
              <w:rPr>
                <w:rFonts w:eastAsia="DengXian" w:cs="Arial"/>
              </w:rPr>
            </w:pPr>
            <m:oMathPara>
              <m:oMathParaPr>
                <m:jc m:val="left"/>
              </m:oMathParaPr>
              <m:oMath>
                <m:r>
                  <w:rPr>
                    <w:rFonts w:ascii="Cambria Math" w:hAnsi="Cambria Math" w:cs="Arial"/>
                  </w:rPr>
                  <m:t>s</m:t>
                </m:r>
              </m:oMath>
            </m:oMathPara>
          </w:p>
        </w:tc>
        <w:tc>
          <w:tcPr>
            <w:tcW w:w="345" w:type="dxa"/>
            <w:vAlign w:val="top"/>
          </w:tcPr>
          <w:p w14:paraId="3189EA2B" w14:textId="77777777" w:rsidR="00D9066E" w:rsidRPr="002408C8" w:rsidRDefault="00D9066E" w:rsidP="002408C8">
            <w:pPr>
              <w:pStyle w:val="SDMTableBoxParaNotNumbered"/>
              <w:rPr>
                <w:rFonts w:cs="Arial"/>
              </w:rPr>
            </w:pPr>
            <w:r w:rsidRPr="002408C8">
              <w:rPr>
                <w:rFonts w:cs="Arial"/>
              </w:rPr>
              <w:t>=</w:t>
            </w:r>
          </w:p>
        </w:tc>
        <w:tc>
          <w:tcPr>
            <w:tcW w:w="0" w:type="auto"/>
            <w:vAlign w:val="top"/>
          </w:tcPr>
          <w:p w14:paraId="12E943A6" w14:textId="77777777" w:rsidR="00D9066E" w:rsidRPr="002408C8" w:rsidRDefault="00D9066E" w:rsidP="002408C8">
            <w:pPr>
              <w:pStyle w:val="SDMTableBoxParaNotNumbered"/>
              <w:rPr>
                <w:rFonts w:cs="Arial"/>
              </w:rPr>
            </w:pPr>
            <w:r w:rsidRPr="002408C8">
              <w:rPr>
                <w:rFonts w:cs="Arial"/>
              </w:rPr>
              <w:t>Relevant electricity generation or consumption sources</w:t>
            </w:r>
          </w:p>
        </w:tc>
      </w:tr>
    </w:tbl>
    <w:p w14:paraId="2974E458" w14:textId="387471F3" w:rsidR="007667C8" w:rsidRPr="00363C70" w:rsidRDefault="00B766BF" w:rsidP="00C72647">
      <w:pPr>
        <w:pStyle w:val="SDMSubPara1"/>
        <w:keepNext/>
      </w:pPr>
      <w:bookmarkStart w:id="677" w:name="_Toc212389913"/>
      <w:bookmarkStart w:id="678" w:name="_Toc215208612"/>
      <w:bookmarkStart w:id="679" w:name="_Toc215216131"/>
      <w:bookmarkStart w:id="680" w:name="_Toc215222867"/>
      <w:bookmarkStart w:id="681" w:name="_Toc215223055"/>
      <w:bookmarkStart w:id="682" w:name="_Toc215223277"/>
      <w:bookmarkStart w:id="683" w:name="_Toc215574903"/>
      <w:bookmarkEnd w:id="261"/>
      <w:bookmarkEnd w:id="262"/>
      <w:r>
        <w:rPr>
          <w:b/>
          <w:bCs/>
        </w:rPr>
        <w:t xml:space="preserve">Hourly determination: </w:t>
      </w:r>
      <w:r w:rsidRPr="00B766BF">
        <w:t>w</w:t>
      </w:r>
      <w:r w:rsidR="007667C8" w:rsidRPr="00363C70">
        <w:t xml:space="preserve">here electricity generation </w:t>
      </w:r>
      <w:r w:rsidR="00C670CB">
        <w:t>and/</w:t>
      </w:r>
      <w:r w:rsidR="007667C8" w:rsidRPr="00363C70">
        <w:t xml:space="preserve">or consumption and emission factors are determined </w:t>
      </w:r>
      <w:r w:rsidR="00A617AA">
        <w:t xml:space="preserve">on an hourly basis </w:t>
      </w:r>
      <w:r w:rsidR="007667C8" w:rsidRPr="00363C70">
        <w:t xml:space="preserve">for each </w:t>
      </w:r>
      <w:r w:rsidR="007B6A07" w:rsidRPr="00363C70">
        <w:t>hour </w:t>
      </w:r>
      <w:r w:rsidR="007B6A07" w:rsidRPr="00363C70">
        <w:rPr>
          <w:i/>
        </w:rPr>
        <w:t>h</w:t>
      </w:r>
      <w:r w:rsidR="007B6A07" w:rsidRPr="00363C70">
        <w:t xml:space="preserve"> of the </w:t>
      </w:r>
      <w:r w:rsidR="007667C8" w:rsidRPr="00363C70">
        <w:t>calendar year </w:t>
      </w:r>
      <w:r w:rsidR="007667C8" w:rsidRPr="00334EBB">
        <w:rPr>
          <w:i/>
          <w:iCs/>
        </w:rPr>
        <w:t>y</w:t>
      </w:r>
      <w:r w:rsidR="007667C8" w:rsidRPr="00363C70">
        <w:t xml:space="preserve"> of the crediting period, emissions shall be calculated as follows:</w:t>
      </w:r>
    </w:p>
    <w:tbl>
      <w:tblPr>
        <w:tblStyle w:val="SDMMethTableEquation"/>
        <w:tblW w:w="8553" w:type="dxa"/>
        <w:tblLook w:val="0600" w:firstRow="0" w:lastRow="0" w:firstColumn="0" w:lastColumn="0" w:noHBand="1" w:noVBand="1"/>
      </w:tblPr>
      <w:tblGrid>
        <w:gridCol w:w="6970"/>
        <w:gridCol w:w="1583"/>
      </w:tblGrid>
      <w:tr w:rsidR="00D9066E" w:rsidRPr="00E32F75" w14:paraId="5E3B2489" w14:textId="77777777" w:rsidTr="0028579F">
        <w:tc>
          <w:tcPr>
            <w:tcW w:w="6970" w:type="dxa"/>
          </w:tcPr>
          <w:p w14:paraId="0468D0B3" w14:textId="0298653D" w:rsidR="00D9066E" w:rsidRPr="00252AA4" w:rsidRDefault="00000000" w:rsidP="00B23B70">
            <w:pPr>
              <w:pStyle w:val="SDMMethEquation"/>
              <w:ind w:left="709"/>
            </w:pPr>
            <m:oMathPara>
              <m:oMathParaPr>
                <m:jc m:val="left"/>
              </m:oMathParaPr>
              <m:oMath>
                <m:sSub>
                  <m:sSubPr>
                    <m:ctrlPr>
                      <w:rPr>
                        <w:rFonts w:ascii="Cambria Math" w:hAnsi="Cambria Math"/>
                        <w:i/>
                        <w:szCs w:val="20"/>
                      </w:rPr>
                    </m:ctrlPr>
                  </m:sSubPr>
                  <m:e>
                    <m:r>
                      <w:rPr>
                        <w:rFonts w:ascii="Cambria Math" w:hAnsi="Cambria Math"/>
                      </w:rPr>
                      <m:t>BE</m:t>
                    </m:r>
                  </m:e>
                  <m:sub>
                    <m:r>
                      <w:rPr>
                        <w:rFonts w:ascii="Cambria Math" w:hAnsi="Cambria Math"/>
                      </w:rPr>
                      <m:t>EG,y</m:t>
                    </m:r>
                  </m:sub>
                </m:sSub>
                <m:r>
                  <w:rPr>
                    <w:rFonts w:ascii="Cambria Math" w:hAnsi="Cambria Math"/>
                  </w:rPr>
                  <m:t>=</m:t>
                </m:r>
                <m:nary>
                  <m:naryPr>
                    <m:chr m:val="∑"/>
                    <m:limLoc m:val="undOvr"/>
                    <m:supHide m:val="1"/>
                    <m:ctrlPr>
                      <w:rPr>
                        <w:rFonts w:ascii="Cambria Math" w:hAnsi="Cambria Math"/>
                        <w:i/>
                        <w:szCs w:val="20"/>
                      </w:rPr>
                    </m:ctrlPr>
                  </m:naryPr>
                  <m:sub>
                    <m:r>
                      <w:rPr>
                        <w:rFonts w:ascii="Cambria Math" w:hAnsi="Cambria Math"/>
                      </w:rPr>
                      <m:t>s</m:t>
                    </m:r>
                  </m:sub>
                  <m:sup/>
                  <m:e>
                    <m:nary>
                      <m:naryPr>
                        <m:chr m:val="∑"/>
                        <m:limLoc m:val="undOvr"/>
                        <m:ctrlPr>
                          <w:rPr>
                            <w:rFonts w:ascii="Cambria Math" w:hAnsi="Cambria Math"/>
                            <w:i/>
                            <w:szCs w:val="20"/>
                          </w:rPr>
                        </m:ctrlPr>
                      </m:naryPr>
                      <m:sub>
                        <m:r>
                          <w:rPr>
                            <w:rFonts w:ascii="Cambria Math" w:hAnsi="Cambria Math"/>
                            <w:szCs w:val="20"/>
                          </w:rPr>
                          <m:t>h=</m:t>
                        </m:r>
                        <m:r>
                          <w:rPr>
                            <w:rFonts w:ascii="Cambria Math" w:hAnsi="Cambria Math"/>
                            <w:szCs w:val="20"/>
                          </w:rPr>
                          <m:t>1</m:t>
                        </m:r>
                      </m:sub>
                      <m:sup>
                        <m:r>
                          <w:rPr>
                            <w:rFonts w:ascii="Cambria Math" w:hAnsi="Cambria Math"/>
                            <w:szCs w:val="20"/>
                          </w:rPr>
                          <m:t>8,760</m:t>
                        </m:r>
                      </m:sup>
                      <m:e>
                        <m:sSub>
                          <m:sSubPr>
                            <m:ctrlPr>
                              <w:rPr>
                                <w:rFonts w:ascii="Cambria Math" w:hAnsi="Cambria Math"/>
                                <w:i/>
                                <w:szCs w:val="20"/>
                              </w:rPr>
                            </m:ctrlPr>
                          </m:sSubPr>
                          <m:e>
                            <m:r>
                              <w:rPr>
                                <w:rFonts w:ascii="Cambria Math" w:hAnsi="Cambria Math"/>
                              </w:rPr>
                              <m:t>EG</m:t>
                            </m:r>
                          </m:e>
                          <m:sub>
                            <m:r>
                              <w:rPr>
                                <w:rFonts w:ascii="Cambria Math" w:hAnsi="Cambria Math"/>
                              </w:rPr>
                              <m:t>s,h</m:t>
                            </m:r>
                          </m:sub>
                        </m:sSub>
                        <m:r>
                          <w:rPr>
                            <w:rFonts w:ascii="Cambria Math" w:hAnsi="Cambria Math"/>
                          </w:rPr>
                          <m:t>×</m:t>
                        </m:r>
                        <m:sSub>
                          <m:sSubPr>
                            <m:ctrlPr>
                              <w:rPr>
                                <w:rFonts w:ascii="Cambria Math" w:hAnsi="Cambria Math"/>
                                <w:i/>
                                <w:szCs w:val="20"/>
                              </w:rPr>
                            </m:ctrlPr>
                          </m:sSubPr>
                          <m:e>
                            <m:r>
                              <w:rPr>
                                <w:rFonts w:ascii="Cambria Math" w:hAnsi="Cambria Math"/>
                              </w:rPr>
                              <m:t>EF</m:t>
                            </m:r>
                          </m:e>
                          <m:sub>
                            <m:r>
                              <w:rPr>
                                <w:rFonts w:ascii="Cambria Math" w:hAnsi="Cambria Math"/>
                              </w:rPr>
                              <m:t>EG,BL,s,h</m:t>
                            </m:r>
                          </m:sub>
                        </m:sSub>
                      </m:e>
                    </m:nary>
                  </m:e>
                </m:nary>
              </m:oMath>
            </m:oMathPara>
          </w:p>
        </w:tc>
        <w:tc>
          <w:tcPr>
            <w:tcW w:w="1583" w:type="dxa"/>
          </w:tcPr>
          <w:p w14:paraId="441B1681" w14:textId="77777777" w:rsidR="00D9066E" w:rsidRPr="002B6960" w:rsidRDefault="00D9066E">
            <w:pPr>
              <w:pStyle w:val="SDMMethEquationNr"/>
              <w:numPr>
                <w:ilvl w:val="0"/>
                <w:numId w:val="6"/>
              </w:numPr>
            </w:pPr>
          </w:p>
        </w:tc>
      </w:tr>
      <w:tr w:rsidR="00D9066E" w:rsidRPr="00E32F75" w14:paraId="491F9504" w14:textId="77777777" w:rsidTr="0028579F">
        <w:tc>
          <w:tcPr>
            <w:tcW w:w="6970" w:type="dxa"/>
          </w:tcPr>
          <w:p w14:paraId="1DF57529" w14:textId="55DD6BBD" w:rsidR="00D9066E" w:rsidRPr="00252AA4" w:rsidRDefault="00000000" w:rsidP="00B23B70">
            <w:pPr>
              <w:pStyle w:val="SDMMethEquation"/>
              <w:ind w:left="709"/>
            </w:pPr>
            <m:oMathPara>
              <m:oMathParaPr>
                <m:jc m:val="left"/>
              </m:oMathParaPr>
              <m:oMath>
                <m:sSub>
                  <m:sSubPr>
                    <m:ctrlPr>
                      <w:rPr>
                        <w:rFonts w:ascii="Cambria Math" w:hAnsi="Cambria Math"/>
                        <w:i/>
                        <w:szCs w:val="20"/>
                      </w:rPr>
                    </m:ctrlPr>
                  </m:sSubPr>
                  <m:e>
                    <m:r>
                      <w:rPr>
                        <w:rFonts w:ascii="Cambria Math" w:hAnsi="Cambria Math"/>
                      </w:rPr>
                      <m:t>BE</m:t>
                    </m:r>
                  </m:e>
                  <m:sub>
                    <m:r>
                      <w:rPr>
                        <w:rFonts w:ascii="Cambria Math" w:hAnsi="Cambria Math"/>
                      </w:rPr>
                      <m:t>EC,y</m:t>
                    </m:r>
                  </m:sub>
                </m:sSub>
                <m:r>
                  <w:rPr>
                    <w:rFonts w:ascii="Cambria Math" w:hAnsi="Cambria Math"/>
                  </w:rPr>
                  <m:t>=</m:t>
                </m:r>
                <m:nary>
                  <m:naryPr>
                    <m:chr m:val="∑"/>
                    <m:limLoc m:val="undOvr"/>
                    <m:supHide m:val="1"/>
                    <m:ctrlPr>
                      <w:rPr>
                        <w:rFonts w:ascii="Cambria Math" w:hAnsi="Cambria Math"/>
                        <w:i/>
                        <w:szCs w:val="20"/>
                      </w:rPr>
                    </m:ctrlPr>
                  </m:naryPr>
                  <m:sub>
                    <m:r>
                      <w:rPr>
                        <w:rFonts w:ascii="Cambria Math" w:hAnsi="Cambria Math"/>
                      </w:rPr>
                      <m:t>s</m:t>
                    </m:r>
                  </m:sub>
                  <m:sup/>
                  <m:e>
                    <m:d>
                      <m:dPr>
                        <m:ctrlPr>
                          <w:rPr>
                            <w:rFonts w:ascii="Cambria Math" w:hAnsi="Cambria Math"/>
                            <w:i/>
                            <w:szCs w:val="20"/>
                          </w:rPr>
                        </m:ctrlPr>
                      </m:dPr>
                      <m:e>
                        <m:nary>
                          <m:naryPr>
                            <m:chr m:val="∑"/>
                            <m:limLoc m:val="undOvr"/>
                            <m:ctrlPr>
                              <w:rPr>
                                <w:rFonts w:ascii="Cambria Math" w:hAnsi="Cambria Math"/>
                                <w:i/>
                                <w:szCs w:val="20"/>
                              </w:rPr>
                            </m:ctrlPr>
                          </m:naryPr>
                          <m:sub>
                            <m:r>
                              <w:rPr>
                                <w:rFonts w:ascii="Cambria Math" w:hAnsi="Cambria Math"/>
                                <w:szCs w:val="20"/>
                              </w:rPr>
                              <m:t>h=</m:t>
                            </m:r>
                            <m:r>
                              <w:rPr>
                                <w:rFonts w:ascii="Cambria Math" w:hAnsi="Cambria Math"/>
                                <w:szCs w:val="20"/>
                              </w:rPr>
                              <m:t>1</m:t>
                            </m:r>
                          </m:sub>
                          <m:sup>
                            <m:r>
                              <w:rPr>
                                <w:rFonts w:ascii="Cambria Math" w:hAnsi="Cambria Math"/>
                                <w:szCs w:val="20"/>
                              </w:rPr>
                              <m:t>8,760</m:t>
                            </m:r>
                          </m:sup>
                          <m:e>
                            <m:sSub>
                              <m:sSubPr>
                                <m:ctrlPr>
                                  <w:rPr>
                                    <w:rFonts w:ascii="Cambria Math" w:hAnsi="Cambria Math"/>
                                    <w:i/>
                                    <w:szCs w:val="20"/>
                                  </w:rPr>
                                </m:ctrlPr>
                              </m:sSubPr>
                              <m:e>
                                <m:r>
                                  <w:rPr>
                                    <w:rFonts w:ascii="Cambria Math" w:hAnsi="Cambria Math"/>
                                  </w:rPr>
                                  <m:t>EC</m:t>
                                </m:r>
                              </m:e>
                              <m:sub>
                                <m:r>
                                  <w:rPr>
                                    <w:rFonts w:ascii="Cambria Math" w:hAnsi="Cambria Math"/>
                                  </w:rPr>
                                  <m:t>s,h</m:t>
                                </m:r>
                              </m:sub>
                            </m:sSub>
                            <m:r>
                              <w:rPr>
                                <w:rFonts w:ascii="Cambria Math" w:hAnsi="Cambria Math"/>
                              </w:rPr>
                              <m:t>×</m:t>
                            </m:r>
                            <m:sSub>
                              <m:sSubPr>
                                <m:ctrlPr>
                                  <w:rPr>
                                    <w:rFonts w:ascii="Cambria Math" w:hAnsi="Cambria Math"/>
                                    <w:i/>
                                    <w:szCs w:val="20"/>
                                  </w:rPr>
                                </m:ctrlPr>
                              </m:sSubPr>
                              <m:e>
                                <m:r>
                                  <w:rPr>
                                    <w:rFonts w:ascii="Cambria Math" w:hAnsi="Cambria Math"/>
                                  </w:rPr>
                                  <m:t>EF</m:t>
                                </m:r>
                              </m:e>
                              <m:sub>
                                <m:r>
                                  <w:rPr>
                                    <w:rFonts w:ascii="Cambria Math" w:hAnsi="Cambria Math"/>
                                  </w:rPr>
                                  <m:t>EC,BL,s,h</m:t>
                                </m:r>
                              </m:sub>
                            </m:sSub>
                          </m:e>
                        </m:nary>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m:t>
                        </m:r>
                        <m:sSub>
                          <m:sSubPr>
                            <m:ctrlPr>
                              <w:rPr>
                                <w:rFonts w:ascii="Cambria Math" w:hAnsi="Cambria Math"/>
                                <w:i/>
                                <w:szCs w:val="20"/>
                              </w:rPr>
                            </m:ctrlPr>
                          </m:sSubPr>
                          <m:e>
                            <m:r>
                              <w:rPr>
                                <w:rFonts w:ascii="Cambria Math" w:hAnsi="Cambria Math"/>
                              </w:rPr>
                              <m:t>F</m:t>
                            </m:r>
                          </m:e>
                          <m:sub>
                            <m:r>
                              <w:rPr>
                                <w:rFonts w:ascii="Cambria Math" w:hAnsi="Cambria Math"/>
                              </w:rPr>
                              <m:t>TDL,s,y</m:t>
                            </m:r>
                          </m:sub>
                        </m:sSub>
                      </m:den>
                    </m:f>
                  </m:e>
                </m:nary>
              </m:oMath>
            </m:oMathPara>
          </w:p>
        </w:tc>
        <w:tc>
          <w:tcPr>
            <w:tcW w:w="1583" w:type="dxa"/>
          </w:tcPr>
          <w:p w14:paraId="6C9C741E" w14:textId="77777777" w:rsidR="00D9066E" w:rsidRPr="002B6960" w:rsidRDefault="00D9066E">
            <w:pPr>
              <w:pStyle w:val="SDMMethEquationNr"/>
              <w:numPr>
                <w:ilvl w:val="0"/>
                <w:numId w:val="6"/>
              </w:numPr>
            </w:pPr>
          </w:p>
        </w:tc>
      </w:tr>
      <w:tr w:rsidR="00D9066E" w:rsidRPr="002B6960" w14:paraId="23E13EE1" w14:textId="77777777" w:rsidTr="0028579F">
        <w:tblPrEx>
          <w:tblLook w:val="04A0" w:firstRow="1" w:lastRow="0" w:firstColumn="1" w:lastColumn="0" w:noHBand="0" w:noVBand="1"/>
        </w:tblPrEx>
        <w:tc>
          <w:tcPr>
            <w:tcW w:w="6970" w:type="dxa"/>
          </w:tcPr>
          <w:p w14:paraId="5BA48681" w14:textId="06509E2D" w:rsidR="00D9066E" w:rsidRPr="00252AA4" w:rsidRDefault="00000000" w:rsidP="00B23B70">
            <w:pPr>
              <w:pStyle w:val="SDMMethEquation"/>
              <w:ind w:left="709"/>
            </w:pPr>
            <m:oMathPara>
              <m:oMathParaPr>
                <m:jc m:val="left"/>
              </m:oMathParaPr>
              <m:oMath>
                <m:sSub>
                  <m:sSubPr>
                    <m:ctrlPr>
                      <w:rPr>
                        <w:rFonts w:ascii="Cambria Math" w:hAnsi="Cambria Math"/>
                        <w:i/>
                        <w:szCs w:val="20"/>
                      </w:rPr>
                    </m:ctrlPr>
                  </m:sSubPr>
                  <m:e>
                    <m:r>
                      <w:rPr>
                        <w:rFonts w:ascii="Cambria Math" w:hAnsi="Cambria Math"/>
                      </w:rPr>
                      <m:t>PE</m:t>
                    </m:r>
                  </m:e>
                  <m:sub>
                    <m:r>
                      <w:rPr>
                        <w:rFonts w:ascii="Cambria Math" w:hAnsi="Cambria Math"/>
                      </w:rPr>
                      <m:t>EG,y</m:t>
                    </m:r>
                  </m:sub>
                </m:sSub>
                <m:r>
                  <w:rPr>
                    <w:rFonts w:ascii="Cambria Math" w:hAnsi="Cambria Math"/>
                  </w:rPr>
                  <m:t>=</m:t>
                </m:r>
                <m:nary>
                  <m:naryPr>
                    <m:chr m:val="∑"/>
                    <m:limLoc m:val="undOvr"/>
                    <m:supHide m:val="1"/>
                    <m:ctrlPr>
                      <w:rPr>
                        <w:rFonts w:ascii="Cambria Math" w:hAnsi="Cambria Math"/>
                        <w:i/>
                      </w:rPr>
                    </m:ctrlPr>
                  </m:naryPr>
                  <m:sub>
                    <m:r>
                      <w:rPr>
                        <w:rFonts w:ascii="Cambria Math" w:eastAsiaTheme="minorEastAsia" w:hAnsi="Cambria Math" w:hint="eastAsia"/>
                        <w:lang w:eastAsia="zh-CN"/>
                      </w:rPr>
                      <m:t>s</m:t>
                    </m:r>
                  </m:sub>
                  <m:sup/>
                  <m:e>
                    <m:nary>
                      <m:naryPr>
                        <m:chr m:val="∑"/>
                        <m:limLoc m:val="undOvr"/>
                        <m:ctrlPr>
                          <w:rPr>
                            <w:rFonts w:ascii="Cambria Math" w:hAnsi="Cambria Math"/>
                            <w:i/>
                          </w:rPr>
                        </m:ctrlPr>
                      </m:naryPr>
                      <m:sub>
                        <m:r>
                          <w:rPr>
                            <w:rFonts w:ascii="Cambria Math" w:hAnsi="Cambria Math"/>
                          </w:rPr>
                          <m:t>h=</m:t>
                        </m:r>
                        <m:r>
                          <w:rPr>
                            <w:rFonts w:ascii="Cambria Math" w:hAnsi="Cambria Math"/>
                          </w:rPr>
                          <m:t>1</m:t>
                        </m:r>
                      </m:sub>
                      <m:sup>
                        <m:r>
                          <w:rPr>
                            <w:rFonts w:ascii="Cambria Math" w:hAnsi="Cambria Math"/>
                          </w:rPr>
                          <m:t>8,760</m:t>
                        </m:r>
                      </m:sup>
                      <m:e>
                        <m:sSub>
                          <m:sSubPr>
                            <m:ctrlPr>
                              <w:rPr>
                                <w:rFonts w:ascii="Cambria Math" w:hAnsi="Cambria Math"/>
                                <w:i/>
                              </w:rPr>
                            </m:ctrlPr>
                          </m:sSubPr>
                          <m:e>
                            <m:r>
                              <w:rPr>
                                <w:rFonts w:ascii="Cambria Math" w:hAnsi="Cambria Math"/>
                              </w:rPr>
                              <m:t>EG</m:t>
                            </m:r>
                          </m:e>
                          <m:sub>
                            <m:r>
                              <w:rPr>
                                <w:rFonts w:ascii="Cambria Math" w:hAnsi="Cambria Math"/>
                              </w:rPr>
                              <m:t>s,h</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EG,PJ,s,h</m:t>
                            </m:r>
                          </m:sub>
                        </m:sSub>
                      </m:e>
                    </m:nary>
                  </m:e>
                </m:nary>
              </m:oMath>
            </m:oMathPara>
          </w:p>
        </w:tc>
        <w:tc>
          <w:tcPr>
            <w:tcW w:w="1583" w:type="dxa"/>
          </w:tcPr>
          <w:p w14:paraId="51C8EAB7" w14:textId="77777777" w:rsidR="00D9066E" w:rsidRPr="002B6960" w:rsidRDefault="00D9066E">
            <w:pPr>
              <w:pStyle w:val="SDMMethEquationNr"/>
              <w:numPr>
                <w:ilvl w:val="0"/>
                <w:numId w:val="6"/>
              </w:numPr>
            </w:pPr>
          </w:p>
        </w:tc>
      </w:tr>
      <w:tr w:rsidR="00D9066E" w:rsidRPr="002B6960" w14:paraId="5E1A3BA7" w14:textId="77777777" w:rsidTr="0028579F">
        <w:tblPrEx>
          <w:tblLook w:val="04A0" w:firstRow="1" w:lastRow="0" w:firstColumn="1" w:lastColumn="0" w:noHBand="0" w:noVBand="1"/>
        </w:tblPrEx>
        <w:tc>
          <w:tcPr>
            <w:tcW w:w="6970" w:type="dxa"/>
          </w:tcPr>
          <w:p w14:paraId="133613C2" w14:textId="498B24C2" w:rsidR="00D9066E" w:rsidRPr="00252AA4" w:rsidRDefault="00000000" w:rsidP="00B23B70">
            <w:pPr>
              <w:pStyle w:val="SDMMethEquation"/>
              <w:ind w:left="709"/>
            </w:pPr>
            <m:oMathPara>
              <m:oMathParaPr>
                <m:jc m:val="left"/>
              </m:oMathParaPr>
              <m:oMath>
                <m:sSub>
                  <m:sSubPr>
                    <m:ctrlPr>
                      <w:rPr>
                        <w:rFonts w:ascii="Cambria Math" w:hAnsi="Cambria Math"/>
                        <w:i/>
                        <w:szCs w:val="20"/>
                      </w:rPr>
                    </m:ctrlPr>
                  </m:sSubPr>
                  <m:e>
                    <m:r>
                      <w:rPr>
                        <w:rFonts w:ascii="Cambria Math" w:hAnsi="Cambria Math"/>
                      </w:rPr>
                      <m:t>PE</m:t>
                    </m:r>
                  </m:e>
                  <m:sub>
                    <m:r>
                      <w:rPr>
                        <w:rFonts w:ascii="Cambria Math" w:hAnsi="Cambria Math"/>
                      </w:rPr>
                      <m:t>EC,y</m:t>
                    </m:r>
                  </m:sub>
                </m:sSub>
                <m:r>
                  <w:rPr>
                    <w:rFonts w:ascii="Cambria Math" w:hAnsi="Cambria Math"/>
                  </w:rPr>
                  <m:t>=</m:t>
                </m:r>
                <m:nary>
                  <m:naryPr>
                    <m:chr m:val="∑"/>
                    <m:limLoc m:val="undOvr"/>
                    <m:supHide m:val="1"/>
                    <m:ctrlPr>
                      <w:rPr>
                        <w:rFonts w:ascii="Cambria Math" w:hAnsi="Cambria Math"/>
                        <w:i/>
                      </w:rPr>
                    </m:ctrlPr>
                  </m:naryPr>
                  <m:sub>
                    <m:r>
                      <w:rPr>
                        <w:rFonts w:ascii="Cambria Math" w:eastAsiaTheme="minorEastAsia" w:hAnsi="Cambria Math" w:hint="eastAsia"/>
                        <w:lang w:eastAsia="zh-CN"/>
                      </w:rPr>
                      <m:t>s</m:t>
                    </m:r>
                  </m:sub>
                  <m:sup/>
                  <m:e>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h=</m:t>
                            </m:r>
                            <m:r>
                              <w:rPr>
                                <w:rFonts w:ascii="Cambria Math" w:hAnsi="Cambria Math"/>
                              </w:rPr>
                              <m:t>1</m:t>
                            </m:r>
                          </m:sub>
                          <m:sup>
                            <m:r>
                              <w:rPr>
                                <w:rFonts w:ascii="Cambria Math" w:hAnsi="Cambria Math"/>
                              </w:rPr>
                              <m:t>8,760</m:t>
                            </m:r>
                          </m:sup>
                          <m:e>
                            <m:sSub>
                              <m:sSubPr>
                                <m:ctrlPr>
                                  <w:rPr>
                                    <w:rFonts w:ascii="Cambria Math" w:hAnsi="Cambria Math"/>
                                    <w:i/>
                                  </w:rPr>
                                </m:ctrlPr>
                              </m:sSubPr>
                              <m:e>
                                <m:r>
                                  <w:rPr>
                                    <w:rFonts w:ascii="Cambria Math" w:hAnsi="Cambria Math"/>
                                  </w:rPr>
                                  <m:t>EC</m:t>
                                </m:r>
                              </m:e>
                              <m:sub>
                                <m:r>
                                  <w:rPr>
                                    <w:rFonts w:ascii="Cambria Math" w:hAnsi="Cambria Math"/>
                                  </w:rPr>
                                  <m:t>s,h</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EC,PJ,s,h</m:t>
                                </m:r>
                              </m:sub>
                            </m:sSub>
                          </m:e>
                        </m:nary>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m:t>
                        </m:r>
                        <m:sSub>
                          <m:sSubPr>
                            <m:ctrlPr>
                              <w:rPr>
                                <w:rFonts w:ascii="Cambria Math" w:hAnsi="Cambria Math"/>
                                <w:i/>
                              </w:rPr>
                            </m:ctrlPr>
                          </m:sSubPr>
                          <m:e>
                            <m:r>
                              <w:rPr>
                                <w:rFonts w:ascii="Cambria Math" w:hAnsi="Cambria Math"/>
                              </w:rPr>
                              <m:t>F</m:t>
                            </m:r>
                          </m:e>
                          <m:sub>
                            <m:r>
                              <w:rPr>
                                <w:rFonts w:ascii="Cambria Math" w:hAnsi="Cambria Math"/>
                              </w:rPr>
                              <m:t>TDL,s,y</m:t>
                            </m:r>
                          </m:sub>
                        </m:sSub>
                      </m:den>
                    </m:f>
                  </m:e>
                </m:nary>
              </m:oMath>
            </m:oMathPara>
          </w:p>
        </w:tc>
        <w:tc>
          <w:tcPr>
            <w:tcW w:w="1583" w:type="dxa"/>
          </w:tcPr>
          <w:p w14:paraId="1CA0C109" w14:textId="77777777" w:rsidR="00D9066E" w:rsidRPr="002B6960" w:rsidRDefault="00D9066E">
            <w:pPr>
              <w:pStyle w:val="SDMMethEquationNr"/>
              <w:numPr>
                <w:ilvl w:val="0"/>
                <w:numId w:val="6"/>
              </w:numPr>
            </w:pPr>
          </w:p>
        </w:tc>
      </w:tr>
      <w:tr w:rsidR="00D9066E" w:rsidRPr="002B6960" w14:paraId="0DF924CC" w14:textId="77777777" w:rsidTr="0028579F">
        <w:tblPrEx>
          <w:tblLook w:val="04A0" w:firstRow="1" w:lastRow="0" w:firstColumn="1" w:lastColumn="0" w:noHBand="0" w:noVBand="1"/>
        </w:tblPrEx>
        <w:tc>
          <w:tcPr>
            <w:tcW w:w="6970" w:type="dxa"/>
          </w:tcPr>
          <w:p w14:paraId="2F6F5727" w14:textId="6CF4D300" w:rsidR="00D9066E" w:rsidRPr="00252AA4" w:rsidRDefault="00000000" w:rsidP="00B23B70">
            <w:pPr>
              <w:pStyle w:val="SDMMethEquation"/>
              <w:ind w:left="709"/>
            </w:pPr>
            <m:oMathPara>
              <m:oMathParaPr>
                <m:jc m:val="left"/>
              </m:oMathParaPr>
              <m:oMath>
                <m:sSub>
                  <m:sSubPr>
                    <m:ctrlPr>
                      <w:rPr>
                        <w:rFonts w:ascii="Cambria Math" w:hAnsi="Cambria Math"/>
                        <w:i/>
                        <w:szCs w:val="20"/>
                      </w:rPr>
                    </m:ctrlPr>
                  </m:sSubPr>
                  <m:e>
                    <m:r>
                      <w:rPr>
                        <w:rFonts w:ascii="Cambria Math" w:hAnsi="Cambria Math"/>
                      </w:rPr>
                      <m:t>LE</m:t>
                    </m:r>
                  </m:e>
                  <m:sub>
                    <m:r>
                      <w:rPr>
                        <w:rFonts w:ascii="Cambria Math" w:hAnsi="Cambria Math"/>
                      </w:rPr>
                      <m:t>EG,BL,y</m:t>
                    </m:r>
                  </m:sub>
                </m:sSub>
                <m:r>
                  <w:rPr>
                    <w:rFonts w:ascii="Cambria Math" w:hAnsi="Cambria Math"/>
                  </w:rPr>
                  <m:t>=</m:t>
                </m:r>
                <m:nary>
                  <m:naryPr>
                    <m:chr m:val="∑"/>
                    <m:limLoc m:val="undOvr"/>
                    <m:supHide m:val="1"/>
                    <m:ctrlPr>
                      <w:rPr>
                        <w:rFonts w:ascii="Cambria Math" w:hAnsi="Cambria Math"/>
                        <w:i/>
                      </w:rPr>
                    </m:ctrlPr>
                  </m:naryPr>
                  <m:sub>
                    <m:r>
                      <w:rPr>
                        <w:rFonts w:ascii="Cambria Math" w:eastAsiaTheme="minorEastAsia" w:hAnsi="Cambria Math" w:hint="eastAsia"/>
                        <w:lang w:eastAsia="zh-CN"/>
                      </w:rPr>
                      <m:t>s</m:t>
                    </m:r>
                  </m:sub>
                  <m:sup/>
                  <m:e>
                    <m:nary>
                      <m:naryPr>
                        <m:chr m:val="∑"/>
                        <m:limLoc m:val="undOvr"/>
                        <m:ctrlPr>
                          <w:rPr>
                            <w:rFonts w:ascii="Cambria Math" w:hAnsi="Cambria Math"/>
                            <w:i/>
                          </w:rPr>
                        </m:ctrlPr>
                      </m:naryPr>
                      <m:sub>
                        <m:r>
                          <w:rPr>
                            <w:rFonts w:ascii="Cambria Math" w:hAnsi="Cambria Math"/>
                          </w:rPr>
                          <m:t>h=</m:t>
                        </m:r>
                        <m:r>
                          <w:rPr>
                            <w:rFonts w:ascii="Cambria Math" w:hAnsi="Cambria Math"/>
                          </w:rPr>
                          <m:t>1</m:t>
                        </m:r>
                      </m:sub>
                      <m:sup>
                        <m:r>
                          <w:rPr>
                            <w:rFonts w:ascii="Cambria Math" w:hAnsi="Cambria Math"/>
                          </w:rPr>
                          <m:t>8,760</m:t>
                        </m:r>
                      </m:sup>
                      <m:e>
                        <m:sSub>
                          <m:sSubPr>
                            <m:ctrlPr>
                              <w:rPr>
                                <w:rFonts w:ascii="Cambria Math" w:hAnsi="Cambria Math"/>
                                <w:i/>
                              </w:rPr>
                            </m:ctrlPr>
                          </m:sSubPr>
                          <m:e>
                            <m:r>
                              <w:rPr>
                                <w:rFonts w:ascii="Cambria Math" w:hAnsi="Cambria Math"/>
                              </w:rPr>
                              <m:t>EG</m:t>
                            </m:r>
                          </m:e>
                          <m:sub>
                            <m:r>
                              <w:rPr>
                                <w:rFonts w:ascii="Cambria Math" w:hAnsi="Cambria Math"/>
                              </w:rPr>
                              <m:t>s,h</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EG,BL,s,h</m:t>
                            </m:r>
                          </m:sub>
                        </m:sSub>
                      </m:e>
                    </m:nary>
                  </m:e>
                </m:nary>
              </m:oMath>
            </m:oMathPara>
          </w:p>
        </w:tc>
        <w:tc>
          <w:tcPr>
            <w:tcW w:w="1583" w:type="dxa"/>
          </w:tcPr>
          <w:p w14:paraId="5D6F32B5" w14:textId="77777777" w:rsidR="00D9066E" w:rsidRPr="002B6960" w:rsidRDefault="00D9066E">
            <w:pPr>
              <w:pStyle w:val="SDMMethEquationNr"/>
              <w:numPr>
                <w:ilvl w:val="0"/>
                <w:numId w:val="6"/>
              </w:numPr>
            </w:pPr>
          </w:p>
        </w:tc>
      </w:tr>
      <w:tr w:rsidR="00D9066E" w:rsidRPr="002B6960" w14:paraId="6AE6B0D0" w14:textId="77777777" w:rsidTr="0028579F">
        <w:tblPrEx>
          <w:tblLook w:val="04A0" w:firstRow="1" w:lastRow="0" w:firstColumn="1" w:lastColumn="0" w:noHBand="0" w:noVBand="1"/>
        </w:tblPrEx>
        <w:tc>
          <w:tcPr>
            <w:tcW w:w="6970" w:type="dxa"/>
          </w:tcPr>
          <w:p w14:paraId="2A054DD3" w14:textId="448880A3" w:rsidR="00D9066E" w:rsidRPr="00252AA4" w:rsidRDefault="00000000" w:rsidP="00B23B70">
            <w:pPr>
              <w:pStyle w:val="SDMMethEquation"/>
              <w:ind w:left="709"/>
            </w:pPr>
            <m:oMathPara>
              <m:oMathParaPr>
                <m:jc m:val="left"/>
              </m:oMathParaPr>
              <m:oMath>
                <m:sSub>
                  <m:sSubPr>
                    <m:ctrlPr>
                      <w:rPr>
                        <w:rFonts w:ascii="Cambria Math" w:hAnsi="Cambria Math"/>
                        <w:i/>
                        <w:szCs w:val="20"/>
                      </w:rPr>
                    </m:ctrlPr>
                  </m:sSubPr>
                  <m:e>
                    <m:r>
                      <w:rPr>
                        <w:rFonts w:ascii="Cambria Math" w:hAnsi="Cambria Math"/>
                      </w:rPr>
                      <m:t>LE</m:t>
                    </m:r>
                  </m:e>
                  <m:sub>
                    <m:r>
                      <w:rPr>
                        <w:rFonts w:ascii="Cambria Math" w:hAnsi="Cambria Math"/>
                      </w:rPr>
                      <m:t>EC,BL,y</m:t>
                    </m:r>
                  </m:sub>
                </m:sSub>
                <m:r>
                  <w:rPr>
                    <w:rFonts w:ascii="Cambria Math" w:hAnsi="Cambria Math"/>
                  </w:rPr>
                  <m:t>=</m:t>
                </m:r>
                <m:nary>
                  <m:naryPr>
                    <m:chr m:val="∑"/>
                    <m:limLoc m:val="undOvr"/>
                    <m:supHide m:val="1"/>
                    <m:ctrlPr>
                      <w:rPr>
                        <w:rFonts w:ascii="Cambria Math" w:hAnsi="Cambria Math"/>
                        <w:i/>
                      </w:rPr>
                    </m:ctrlPr>
                  </m:naryPr>
                  <m:sub>
                    <m:r>
                      <w:rPr>
                        <w:rFonts w:ascii="Cambria Math" w:eastAsiaTheme="minorEastAsia" w:hAnsi="Cambria Math" w:hint="eastAsia"/>
                        <w:lang w:eastAsia="zh-CN"/>
                      </w:rPr>
                      <m:t>s</m:t>
                    </m:r>
                  </m:sub>
                  <m:sup/>
                  <m:e>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h=</m:t>
                            </m:r>
                            <m:r>
                              <w:rPr>
                                <w:rFonts w:ascii="Cambria Math" w:hAnsi="Cambria Math"/>
                              </w:rPr>
                              <m:t>1</m:t>
                            </m:r>
                          </m:sub>
                          <m:sup>
                            <m:r>
                              <w:rPr>
                                <w:rFonts w:ascii="Cambria Math" w:hAnsi="Cambria Math"/>
                              </w:rPr>
                              <m:t>8,760</m:t>
                            </m:r>
                          </m:sup>
                          <m:e>
                            <m:sSub>
                              <m:sSubPr>
                                <m:ctrlPr>
                                  <w:rPr>
                                    <w:rFonts w:ascii="Cambria Math" w:hAnsi="Cambria Math"/>
                                    <w:i/>
                                  </w:rPr>
                                </m:ctrlPr>
                              </m:sSubPr>
                              <m:e>
                                <m:r>
                                  <w:rPr>
                                    <w:rFonts w:ascii="Cambria Math" w:hAnsi="Cambria Math"/>
                                  </w:rPr>
                                  <m:t>EC</m:t>
                                </m:r>
                              </m:e>
                              <m:sub>
                                <m:r>
                                  <w:rPr>
                                    <w:rFonts w:ascii="Cambria Math" w:hAnsi="Cambria Math"/>
                                  </w:rPr>
                                  <m:t>s,h</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EC,PJ,s,h</m:t>
                                </m:r>
                              </m:sub>
                            </m:sSub>
                          </m:e>
                        </m:nary>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m:t>
                        </m:r>
                        <m:sSub>
                          <m:sSubPr>
                            <m:ctrlPr>
                              <w:rPr>
                                <w:rFonts w:ascii="Cambria Math" w:hAnsi="Cambria Math"/>
                                <w:i/>
                              </w:rPr>
                            </m:ctrlPr>
                          </m:sSubPr>
                          <m:e>
                            <m:r>
                              <w:rPr>
                                <w:rFonts w:ascii="Cambria Math" w:hAnsi="Cambria Math"/>
                              </w:rPr>
                              <m:t>F</m:t>
                            </m:r>
                          </m:e>
                          <m:sub>
                            <m:r>
                              <w:rPr>
                                <w:rFonts w:ascii="Cambria Math" w:hAnsi="Cambria Math"/>
                              </w:rPr>
                              <m:t>TDL,s,y</m:t>
                            </m:r>
                          </m:sub>
                        </m:sSub>
                      </m:den>
                    </m:f>
                  </m:e>
                </m:nary>
              </m:oMath>
            </m:oMathPara>
          </w:p>
        </w:tc>
        <w:tc>
          <w:tcPr>
            <w:tcW w:w="1583" w:type="dxa"/>
          </w:tcPr>
          <w:p w14:paraId="28875578" w14:textId="77777777" w:rsidR="00D9066E" w:rsidRPr="002B6960" w:rsidRDefault="00D9066E">
            <w:pPr>
              <w:pStyle w:val="SDMMethEquationNr"/>
              <w:numPr>
                <w:ilvl w:val="0"/>
                <w:numId w:val="6"/>
              </w:numPr>
            </w:pPr>
          </w:p>
        </w:tc>
      </w:tr>
      <w:tr w:rsidR="00D9066E" w:rsidRPr="002B6960" w14:paraId="4559E46E" w14:textId="77777777" w:rsidTr="0028579F">
        <w:tblPrEx>
          <w:tblLook w:val="04A0" w:firstRow="1" w:lastRow="0" w:firstColumn="1" w:lastColumn="0" w:noHBand="0" w:noVBand="1"/>
        </w:tblPrEx>
        <w:tc>
          <w:tcPr>
            <w:tcW w:w="6970" w:type="dxa"/>
          </w:tcPr>
          <w:p w14:paraId="2F19FBB2" w14:textId="2B59A338" w:rsidR="00D9066E" w:rsidRPr="00252AA4" w:rsidRDefault="00000000" w:rsidP="00B23B70">
            <w:pPr>
              <w:pStyle w:val="SDMMethEquation"/>
              <w:ind w:left="709"/>
            </w:pPr>
            <m:oMathPara>
              <m:oMathParaPr>
                <m:jc m:val="left"/>
              </m:oMathParaPr>
              <m:oMath>
                <m:sSub>
                  <m:sSubPr>
                    <m:ctrlPr>
                      <w:rPr>
                        <w:rFonts w:ascii="Cambria Math" w:hAnsi="Cambria Math"/>
                        <w:i/>
                        <w:szCs w:val="20"/>
                      </w:rPr>
                    </m:ctrlPr>
                  </m:sSubPr>
                  <m:e>
                    <m:r>
                      <w:rPr>
                        <w:rFonts w:ascii="Cambria Math" w:hAnsi="Cambria Math"/>
                      </w:rPr>
                      <m:t>LE</m:t>
                    </m:r>
                  </m:e>
                  <m:sub>
                    <m:r>
                      <w:rPr>
                        <w:rFonts w:ascii="Cambria Math" w:hAnsi="Cambria Math"/>
                      </w:rPr>
                      <m:t>EG,PJ,y</m:t>
                    </m:r>
                  </m:sub>
                </m:sSub>
                <m:r>
                  <w:rPr>
                    <w:rFonts w:ascii="Cambria Math" w:hAnsi="Cambria Math"/>
                  </w:rPr>
                  <m:t>=</m:t>
                </m:r>
                <m:nary>
                  <m:naryPr>
                    <m:chr m:val="∑"/>
                    <m:limLoc m:val="undOvr"/>
                    <m:supHide m:val="1"/>
                    <m:ctrlPr>
                      <w:rPr>
                        <w:rFonts w:ascii="Cambria Math" w:hAnsi="Cambria Math"/>
                        <w:i/>
                      </w:rPr>
                    </m:ctrlPr>
                  </m:naryPr>
                  <m:sub>
                    <m:r>
                      <w:rPr>
                        <w:rFonts w:ascii="Cambria Math" w:eastAsiaTheme="minorEastAsia" w:hAnsi="Cambria Math" w:hint="eastAsia"/>
                        <w:lang w:eastAsia="zh-CN"/>
                      </w:rPr>
                      <m:t>s</m:t>
                    </m:r>
                  </m:sub>
                  <m:sup/>
                  <m:e>
                    <m:nary>
                      <m:naryPr>
                        <m:chr m:val="∑"/>
                        <m:limLoc m:val="undOvr"/>
                        <m:ctrlPr>
                          <w:rPr>
                            <w:rFonts w:ascii="Cambria Math" w:hAnsi="Cambria Math"/>
                            <w:i/>
                          </w:rPr>
                        </m:ctrlPr>
                      </m:naryPr>
                      <m:sub>
                        <m:r>
                          <w:rPr>
                            <w:rFonts w:ascii="Cambria Math" w:hAnsi="Cambria Math"/>
                          </w:rPr>
                          <m:t>h=</m:t>
                        </m:r>
                        <m:r>
                          <w:rPr>
                            <w:rFonts w:ascii="Cambria Math" w:hAnsi="Cambria Math"/>
                          </w:rPr>
                          <m:t>1</m:t>
                        </m:r>
                      </m:sub>
                      <m:sup>
                        <m:r>
                          <w:rPr>
                            <w:rFonts w:ascii="Cambria Math" w:hAnsi="Cambria Math"/>
                          </w:rPr>
                          <m:t>8,760</m:t>
                        </m:r>
                      </m:sup>
                      <m:e>
                        <m:sSub>
                          <m:sSubPr>
                            <m:ctrlPr>
                              <w:rPr>
                                <w:rFonts w:ascii="Cambria Math" w:hAnsi="Cambria Math"/>
                                <w:i/>
                              </w:rPr>
                            </m:ctrlPr>
                          </m:sSubPr>
                          <m:e>
                            <m:r>
                              <w:rPr>
                                <w:rFonts w:ascii="Cambria Math" w:hAnsi="Cambria Math"/>
                              </w:rPr>
                              <m:t>EG</m:t>
                            </m:r>
                          </m:e>
                          <m:sub>
                            <m:r>
                              <w:rPr>
                                <w:rFonts w:ascii="Cambria Math" w:hAnsi="Cambria Math"/>
                              </w:rPr>
                              <m:t>s,h</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EG,PJ,s,h</m:t>
                            </m:r>
                          </m:sub>
                        </m:sSub>
                      </m:e>
                    </m:nary>
                  </m:e>
                </m:nary>
              </m:oMath>
            </m:oMathPara>
          </w:p>
        </w:tc>
        <w:tc>
          <w:tcPr>
            <w:tcW w:w="1583" w:type="dxa"/>
          </w:tcPr>
          <w:p w14:paraId="12D9B74E" w14:textId="77777777" w:rsidR="00D9066E" w:rsidRPr="002B6960" w:rsidRDefault="00D9066E">
            <w:pPr>
              <w:pStyle w:val="SDMMethEquationNr"/>
              <w:numPr>
                <w:ilvl w:val="0"/>
                <w:numId w:val="6"/>
              </w:numPr>
            </w:pPr>
          </w:p>
        </w:tc>
      </w:tr>
      <w:tr w:rsidR="00D9066E" w:rsidRPr="002B6960" w14:paraId="43CC94DF" w14:textId="77777777" w:rsidTr="0028579F">
        <w:tblPrEx>
          <w:tblLook w:val="04A0" w:firstRow="1" w:lastRow="0" w:firstColumn="1" w:lastColumn="0" w:noHBand="0" w:noVBand="1"/>
        </w:tblPrEx>
        <w:tc>
          <w:tcPr>
            <w:tcW w:w="6970" w:type="dxa"/>
          </w:tcPr>
          <w:p w14:paraId="249D3989" w14:textId="13A5F62D" w:rsidR="00D9066E" w:rsidRPr="00252AA4" w:rsidRDefault="00000000" w:rsidP="00B23B70">
            <w:pPr>
              <w:pStyle w:val="SDMMethEquation"/>
              <w:ind w:left="709"/>
            </w:pPr>
            <m:oMathPara>
              <m:oMathParaPr>
                <m:jc m:val="left"/>
              </m:oMathParaPr>
              <m:oMath>
                <m:sSub>
                  <m:sSubPr>
                    <m:ctrlPr>
                      <w:rPr>
                        <w:rFonts w:ascii="Cambria Math" w:hAnsi="Cambria Math"/>
                        <w:i/>
                        <w:szCs w:val="20"/>
                      </w:rPr>
                    </m:ctrlPr>
                  </m:sSubPr>
                  <m:e>
                    <m:r>
                      <w:rPr>
                        <w:rFonts w:ascii="Cambria Math" w:hAnsi="Cambria Math"/>
                      </w:rPr>
                      <m:t>LE</m:t>
                    </m:r>
                  </m:e>
                  <m:sub>
                    <m:r>
                      <w:rPr>
                        <w:rFonts w:ascii="Cambria Math" w:hAnsi="Cambria Math"/>
                      </w:rPr>
                      <m:t>EC,PJ,y</m:t>
                    </m:r>
                  </m:sub>
                </m:sSub>
                <m:r>
                  <w:rPr>
                    <w:rFonts w:ascii="Cambria Math" w:hAnsi="Cambria Math"/>
                  </w:rPr>
                  <m:t>=</m:t>
                </m:r>
                <m:nary>
                  <m:naryPr>
                    <m:chr m:val="∑"/>
                    <m:limLoc m:val="undOvr"/>
                    <m:supHide m:val="1"/>
                    <m:ctrlPr>
                      <w:rPr>
                        <w:rFonts w:ascii="Cambria Math" w:hAnsi="Cambria Math"/>
                        <w:i/>
                      </w:rPr>
                    </m:ctrlPr>
                  </m:naryPr>
                  <m:sub>
                    <m:r>
                      <w:rPr>
                        <w:rFonts w:ascii="Cambria Math" w:eastAsiaTheme="minorEastAsia" w:hAnsi="Cambria Math" w:hint="eastAsia"/>
                        <w:lang w:eastAsia="zh-CN"/>
                      </w:rPr>
                      <m:t>s</m:t>
                    </m:r>
                  </m:sub>
                  <m:sup/>
                  <m:e>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h=</m:t>
                            </m:r>
                            <m:r>
                              <w:rPr>
                                <w:rFonts w:ascii="Cambria Math" w:hAnsi="Cambria Math"/>
                              </w:rPr>
                              <m:t>1</m:t>
                            </m:r>
                          </m:sub>
                          <m:sup>
                            <m:r>
                              <w:rPr>
                                <w:rFonts w:ascii="Cambria Math" w:hAnsi="Cambria Math"/>
                              </w:rPr>
                              <m:t>8,760</m:t>
                            </m:r>
                          </m:sup>
                          <m:e>
                            <m:sSub>
                              <m:sSubPr>
                                <m:ctrlPr>
                                  <w:rPr>
                                    <w:rFonts w:ascii="Cambria Math" w:hAnsi="Cambria Math"/>
                                    <w:i/>
                                  </w:rPr>
                                </m:ctrlPr>
                              </m:sSubPr>
                              <m:e>
                                <m:r>
                                  <w:rPr>
                                    <w:rFonts w:ascii="Cambria Math" w:hAnsi="Cambria Math"/>
                                  </w:rPr>
                                  <m:t>EC</m:t>
                                </m:r>
                              </m:e>
                              <m:sub>
                                <m:r>
                                  <w:rPr>
                                    <w:rFonts w:ascii="Cambria Math" w:hAnsi="Cambria Math"/>
                                  </w:rPr>
                                  <m:t>s,h</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EC,PJ,s,h</m:t>
                                </m:r>
                              </m:sub>
                            </m:sSub>
                          </m:e>
                        </m:nary>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m:t>
                        </m:r>
                        <m:sSub>
                          <m:sSubPr>
                            <m:ctrlPr>
                              <w:rPr>
                                <w:rFonts w:ascii="Cambria Math" w:hAnsi="Cambria Math"/>
                                <w:i/>
                              </w:rPr>
                            </m:ctrlPr>
                          </m:sSubPr>
                          <m:e>
                            <m:r>
                              <w:rPr>
                                <w:rFonts w:ascii="Cambria Math" w:hAnsi="Cambria Math"/>
                              </w:rPr>
                              <m:t>F</m:t>
                            </m:r>
                          </m:e>
                          <m:sub>
                            <m:r>
                              <w:rPr>
                                <w:rFonts w:ascii="Cambria Math" w:hAnsi="Cambria Math"/>
                              </w:rPr>
                              <m:t>TDL,s,y</m:t>
                            </m:r>
                          </m:sub>
                        </m:sSub>
                      </m:den>
                    </m:f>
                  </m:e>
                </m:nary>
              </m:oMath>
            </m:oMathPara>
          </w:p>
        </w:tc>
        <w:tc>
          <w:tcPr>
            <w:tcW w:w="1583" w:type="dxa"/>
          </w:tcPr>
          <w:p w14:paraId="3EB513FD" w14:textId="77777777" w:rsidR="00D9066E" w:rsidRPr="002B6960" w:rsidRDefault="00D9066E">
            <w:pPr>
              <w:pStyle w:val="SDMMethEquationNr"/>
              <w:numPr>
                <w:ilvl w:val="0"/>
                <w:numId w:val="6"/>
              </w:numPr>
            </w:pPr>
          </w:p>
        </w:tc>
      </w:tr>
    </w:tbl>
    <w:p w14:paraId="1A77FF30" w14:textId="77777777" w:rsidR="00E00C00" w:rsidRDefault="00E00C00" w:rsidP="00C72647">
      <w:pPr>
        <w:pStyle w:val="SDMMethCaptionEquationParametersTable"/>
      </w:pPr>
      <w:r>
        <w:t>Where:</w:t>
      </w:r>
    </w:p>
    <w:tbl>
      <w:tblPr>
        <w:tblStyle w:val="SDMMethTableEquationParameters"/>
        <w:tblW w:w="8760" w:type="dxa"/>
        <w:tblLook w:val="04A0" w:firstRow="1" w:lastRow="0" w:firstColumn="1" w:lastColumn="0" w:noHBand="0" w:noVBand="1"/>
      </w:tblPr>
      <w:tblGrid>
        <w:gridCol w:w="1928"/>
        <w:gridCol w:w="345"/>
        <w:gridCol w:w="6487"/>
      </w:tblGrid>
      <w:tr w:rsidR="00E00C00" w:rsidRPr="002408C8" w14:paraId="2916B813" w14:textId="77777777" w:rsidTr="002408C8">
        <w:tc>
          <w:tcPr>
            <w:tcW w:w="1928" w:type="dxa"/>
            <w:vAlign w:val="top"/>
          </w:tcPr>
          <w:p w14:paraId="0885958E" w14:textId="77777777" w:rsidR="00E00C00" w:rsidRPr="002408C8" w:rsidRDefault="00000000" w:rsidP="002408C8">
            <w:pPr>
              <w:pStyle w:val="SDMTableBoxParaNotNumbered"/>
              <w:rPr>
                <w:rFonts w:cs="Arial"/>
              </w:rPr>
            </w:pPr>
            <m:oMathPara>
              <m:oMathParaPr>
                <m:jc m:val="left"/>
              </m:oMathParaPr>
              <m:oMath>
                <m:sSub>
                  <m:sSubPr>
                    <m:ctrlPr>
                      <w:rPr>
                        <w:rFonts w:ascii="Cambria Math" w:hAnsi="Cambria Math" w:cs="Arial"/>
                        <w:i/>
                      </w:rPr>
                    </m:ctrlPr>
                  </m:sSubPr>
                  <m:e>
                    <m:r>
                      <w:rPr>
                        <w:rFonts w:ascii="Cambria Math" w:hAnsi="Cambria Math" w:cs="Arial"/>
                      </w:rPr>
                      <m:t>BE</m:t>
                    </m:r>
                  </m:e>
                  <m:sub>
                    <m:r>
                      <w:rPr>
                        <w:rFonts w:ascii="Cambria Math" w:hAnsi="Cambria Math" w:cs="Arial"/>
                      </w:rPr>
                      <m:t>EG,y</m:t>
                    </m:r>
                  </m:sub>
                </m:sSub>
              </m:oMath>
            </m:oMathPara>
          </w:p>
        </w:tc>
        <w:tc>
          <w:tcPr>
            <w:tcW w:w="345" w:type="dxa"/>
            <w:vAlign w:val="top"/>
          </w:tcPr>
          <w:p w14:paraId="07C71625" w14:textId="77777777" w:rsidR="00E00C00" w:rsidRPr="002408C8" w:rsidRDefault="00E00C00" w:rsidP="002408C8">
            <w:pPr>
              <w:pStyle w:val="SDMTableBoxParaNotNumbered"/>
              <w:rPr>
                <w:rFonts w:cs="Arial"/>
              </w:rPr>
            </w:pPr>
            <w:r w:rsidRPr="002408C8">
              <w:rPr>
                <w:rFonts w:cs="Arial"/>
              </w:rPr>
              <w:t>=</w:t>
            </w:r>
          </w:p>
        </w:tc>
        <w:tc>
          <w:tcPr>
            <w:tcW w:w="0" w:type="auto"/>
            <w:vAlign w:val="top"/>
          </w:tcPr>
          <w:p w14:paraId="7BA94DB3" w14:textId="233D5730" w:rsidR="00E00C00" w:rsidRPr="002408C8" w:rsidRDefault="00E00C00" w:rsidP="002408C8">
            <w:pPr>
              <w:pStyle w:val="SDMTableBoxParaNotNumbered"/>
              <w:rPr>
                <w:rFonts w:cs="Arial"/>
              </w:rPr>
            </w:pPr>
            <w:r w:rsidRPr="002408C8">
              <w:rPr>
                <w:rFonts w:cs="Arial"/>
              </w:rPr>
              <w:t>Baseline emissions from electricity generat</w:t>
            </w:r>
            <w:r w:rsidR="00A70920" w:rsidRPr="002408C8">
              <w:rPr>
                <w:rFonts w:cs="Arial"/>
              </w:rPr>
              <w:t>ion</w:t>
            </w:r>
            <w:r w:rsidRPr="002408C8" w:rsidDel="007805D0">
              <w:rPr>
                <w:rFonts w:cs="Arial"/>
              </w:rPr>
              <w:t xml:space="preserve"> </w:t>
            </w:r>
            <w:r w:rsidRPr="002408C8">
              <w:rPr>
                <w:rFonts w:cs="Arial"/>
              </w:rPr>
              <w:t>in year</w:t>
            </w:r>
            <w:r w:rsidR="00D97A6B" w:rsidRPr="002408C8">
              <w:rPr>
                <w:rFonts w:cs="Arial"/>
              </w:rPr>
              <w:t> </w:t>
            </w:r>
            <w:r w:rsidRPr="002408C8">
              <w:rPr>
                <w:rFonts w:cs="Arial"/>
                <w:i/>
              </w:rPr>
              <w:t>y</w:t>
            </w:r>
            <w:r w:rsidRPr="002408C8">
              <w:rPr>
                <w:rFonts w:cs="Arial"/>
              </w:rPr>
              <w:t xml:space="preserve"> (t</w:t>
            </w:r>
            <w:r w:rsidR="00FA6FE1" w:rsidRPr="002408C8">
              <w:rPr>
                <w:rFonts w:cs="Arial"/>
              </w:rPr>
              <w:t> </w:t>
            </w:r>
            <w:r w:rsidRPr="002408C8">
              <w:rPr>
                <w:rFonts w:cs="Arial"/>
              </w:rPr>
              <w:t>CO</w:t>
            </w:r>
            <w:r w:rsidRPr="002408C8">
              <w:rPr>
                <w:rFonts w:cs="Arial"/>
                <w:vertAlign w:val="subscript"/>
              </w:rPr>
              <w:t>2</w:t>
            </w:r>
            <w:r w:rsidRPr="002408C8">
              <w:rPr>
                <w:rFonts w:cs="Arial"/>
              </w:rPr>
              <w:t>)</w:t>
            </w:r>
          </w:p>
        </w:tc>
      </w:tr>
      <w:tr w:rsidR="00EC7465" w:rsidRPr="002408C8" w14:paraId="14931A04" w14:textId="77777777" w:rsidTr="002408C8">
        <w:tc>
          <w:tcPr>
            <w:tcW w:w="1928" w:type="dxa"/>
            <w:vAlign w:val="top"/>
          </w:tcPr>
          <w:p w14:paraId="67A0880B" w14:textId="77777777" w:rsidR="00EC7465" w:rsidRPr="002408C8" w:rsidRDefault="00000000" w:rsidP="002408C8">
            <w:pPr>
              <w:pStyle w:val="SDMTableBoxParaNotNumbered"/>
              <w:rPr>
                <w:rFonts w:cs="Arial"/>
              </w:rPr>
            </w:pPr>
            <m:oMathPara>
              <m:oMathParaPr>
                <m:jc m:val="left"/>
              </m:oMathParaPr>
              <m:oMath>
                <m:sSub>
                  <m:sSubPr>
                    <m:ctrlPr>
                      <w:rPr>
                        <w:rFonts w:ascii="Cambria Math" w:hAnsi="Cambria Math" w:cs="Arial"/>
                        <w:i/>
                      </w:rPr>
                    </m:ctrlPr>
                  </m:sSubPr>
                  <m:e>
                    <m:r>
                      <w:rPr>
                        <w:rFonts w:ascii="Cambria Math" w:hAnsi="Cambria Math" w:cs="Arial"/>
                      </w:rPr>
                      <m:t>BE</m:t>
                    </m:r>
                  </m:e>
                  <m:sub>
                    <m:r>
                      <w:rPr>
                        <w:rFonts w:ascii="Cambria Math" w:hAnsi="Cambria Math" w:cs="Arial"/>
                      </w:rPr>
                      <m:t>EC,y</m:t>
                    </m:r>
                  </m:sub>
                </m:sSub>
              </m:oMath>
            </m:oMathPara>
          </w:p>
        </w:tc>
        <w:tc>
          <w:tcPr>
            <w:tcW w:w="345" w:type="dxa"/>
            <w:vAlign w:val="top"/>
          </w:tcPr>
          <w:p w14:paraId="148FF15B" w14:textId="77777777" w:rsidR="00EC7465" w:rsidRPr="002408C8" w:rsidRDefault="00EC7465" w:rsidP="002408C8">
            <w:pPr>
              <w:pStyle w:val="SDMTableBoxParaNotNumbered"/>
              <w:rPr>
                <w:rFonts w:cs="Arial"/>
              </w:rPr>
            </w:pPr>
            <w:r w:rsidRPr="002408C8">
              <w:rPr>
                <w:rFonts w:cs="Arial"/>
              </w:rPr>
              <w:t>=</w:t>
            </w:r>
          </w:p>
        </w:tc>
        <w:tc>
          <w:tcPr>
            <w:tcW w:w="0" w:type="auto"/>
            <w:vAlign w:val="top"/>
          </w:tcPr>
          <w:p w14:paraId="712ADDFD" w14:textId="03469FC3" w:rsidR="00EC7465" w:rsidRPr="002408C8" w:rsidRDefault="00EC7465" w:rsidP="002408C8">
            <w:pPr>
              <w:pStyle w:val="SDMTableBoxParaNotNumbered"/>
              <w:rPr>
                <w:rFonts w:cs="Arial"/>
              </w:rPr>
            </w:pPr>
            <w:r w:rsidRPr="002408C8">
              <w:rPr>
                <w:rFonts w:cs="Arial"/>
              </w:rPr>
              <w:t>Baseline emissions from electricity consum</w:t>
            </w:r>
            <w:r w:rsidR="00A70920" w:rsidRPr="002408C8">
              <w:rPr>
                <w:rFonts w:cs="Arial"/>
              </w:rPr>
              <w:t>ption</w:t>
            </w:r>
            <w:r w:rsidRPr="002408C8" w:rsidDel="007805D0">
              <w:rPr>
                <w:rFonts w:cs="Arial"/>
              </w:rPr>
              <w:t xml:space="preserve"> </w:t>
            </w:r>
            <w:r w:rsidRPr="002408C8">
              <w:rPr>
                <w:rFonts w:cs="Arial"/>
              </w:rPr>
              <w:t>in year</w:t>
            </w:r>
            <w:r w:rsidR="00D97A6B" w:rsidRPr="002408C8">
              <w:rPr>
                <w:rFonts w:cs="Arial"/>
              </w:rPr>
              <w:t> </w:t>
            </w:r>
            <w:r w:rsidRPr="002408C8">
              <w:rPr>
                <w:rFonts w:cs="Arial"/>
                <w:i/>
              </w:rPr>
              <w:t>y</w:t>
            </w:r>
            <w:r w:rsidRPr="002408C8">
              <w:rPr>
                <w:rFonts w:cs="Arial"/>
              </w:rPr>
              <w:t xml:space="preserve"> (t</w:t>
            </w:r>
            <w:r w:rsidR="00AE7800" w:rsidRPr="002408C8">
              <w:rPr>
                <w:rFonts w:cs="Arial"/>
              </w:rPr>
              <w:t> </w:t>
            </w:r>
            <w:r w:rsidRPr="002408C8">
              <w:rPr>
                <w:rFonts w:cs="Arial"/>
              </w:rPr>
              <w:t>CO</w:t>
            </w:r>
            <w:r w:rsidRPr="002408C8">
              <w:rPr>
                <w:rFonts w:cs="Arial"/>
                <w:vertAlign w:val="subscript"/>
              </w:rPr>
              <w:t>2</w:t>
            </w:r>
            <w:r w:rsidRPr="002408C8">
              <w:rPr>
                <w:rFonts w:cs="Arial"/>
              </w:rPr>
              <w:t>)</w:t>
            </w:r>
          </w:p>
        </w:tc>
      </w:tr>
      <w:tr w:rsidR="00E00C00" w:rsidRPr="002408C8" w14:paraId="23B7DFC3" w14:textId="77777777" w:rsidTr="002408C8">
        <w:tc>
          <w:tcPr>
            <w:tcW w:w="1928" w:type="dxa"/>
            <w:vAlign w:val="top"/>
          </w:tcPr>
          <w:p w14:paraId="6A59BC87" w14:textId="77777777" w:rsidR="00E00C00" w:rsidRPr="002408C8" w:rsidRDefault="00000000" w:rsidP="002408C8">
            <w:pPr>
              <w:pStyle w:val="SDMTableBoxParaNotNumbered"/>
              <w:rPr>
                <w:rFonts w:cs="Arial"/>
              </w:rPr>
            </w:pPr>
            <m:oMathPara>
              <m:oMathParaPr>
                <m:jc m:val="left"/>
              </m:oMathParaPr>
              <m:oMath>
                <m:sSub>
                  <m:sSubPr>
                    <m:ctrlPr>
                      <w:rPr>
                        <w:rFonts w:ascii="Cambria Math" w:hAnsi="Cambria Math" w:cs="Arial"/>
                        <w:i/>
                      </w:rPr>
                    </m:ctrlPr>
                  </m:sSubPr>
                  <m:e>
                    <m:r>
                      <w:rPr>
                        <w:rFonts w:ascii="Cambria Math" w:hAnsi="Cambria Math" w:cs="Arial"/>
                      </w:rPr>
                      <m:t>PE</m:t>
                    </m:r>
                  </m:e>
                  <m:sub>
                    <m:r>
                      <w:rPr>
                        <w:rFonts w:ascii="Cambria Math" w:hAnsi="Cambria Math" w:cs="Arial"/>
                      </w:rPr>
                      <m:t>EG,y</m:t>
                    </m:r>
                  </m:sub>
                </m:sSub>
              </m:oMath>
            </m:oMathPara>
          </w:p>
        </w:tc>
        <w:tc>
          <w:tcPr>
            <w:tcW w:w="345" w:type="dxa"/>
            <w:vAlign w:val="top"/>
          </w:tcPr>
          <w:p w14:paraId="0FA28646" w14:textId="77777777" w:rsidR="00E00C00" w:rsidRPr="002408C8" w:rsidRDefault="00E00C00" w:rsidP="002408C8">
            <w:pPr>
              <w:pStyle w:val="SDMTableBoxParaNotNumbered"/>
              <w:rPr>
                <w:rFonts w:cs="Arial"/>
              </w:rPr>
            </w:pPr>
            <w:r w:rsidRPr="002408C8">
              <w:rPr>
                <w:rFonts w:cs="Arial"/>
              </w:rPr>
              <w:t>=</w:t>
            </w:r>
          </w:p>
        </w:tc>
        <w:tc>
          <w:tcPr>
            <w:tcW w:w="0" w:type="auto"/>
            <w:vAlign w:val="top"/>
          </w:tcPr>
          <w:p w14:paraId="6905EF3D" w14:textId="091A8923" w:rsidR="00E00C00" w:rsidRPr="002408C8" w:rsidRDefault="00E00C00" w:rsidP="002408C8">
            <w:pPr>
              <w:pStyle w:val="SDMTableBoxParaNotNumbered"/>
              <w:rPr>
                <w:rFonts w:cs="Arial"/>
              </w:rPr>
            </w:pPr>
            <w:r w:rsidRPr="002408C8">
              <w:rPr>
                <w:rFonts w:cs="Arial"/>
              </w:rPr>
              <w:t xml:space="preserve">Project emissions from electricity </w:t>
            </w:r>
            <w:r w:rsidR="009D6A89" w:rsidRPr="002408C8">
              <w:rPr>
                <w:rFonts w:cs="Arial"/>
              </w:rPr>
              <w:t xml:space="preserve">generation </w:t>
            </w:r>
            <w:r w:rsidRPr="002408C8">
              <w:rPr>
                <w:rFonts w:cs="Arial"/>
              </w:rPr>
              <w:t>in year</w:t>
            </w:r>
            <w:r w:rsidR="00D97A6B" w:rsidRPr="002408C8">
              <w:rPr>
                <w:rFonts w:cs="Arial"/>
              </w:rPr>
              <w:t> </w:t>
            </w:r>
            <w:r w:rsidRPr="002408C8">
              <w:rPr>
                <w:rFonts w:cs="Arial"/>
                <w:i/>
              </w:rPr>
              <w:t>y</w:t>
            </w:r>
            <w:r w:rsidRPr="002408C8">
              <w:rPr>
                <w:rFonts w:cs="Arial"/>
              </w:rPr>
              <w:t xml:space="preserve"> (t</w:t>
            </w:r>
            <w:r w:rsidR="00AE7800" w:rsidRPr="002408C8">
              <w:rPr>
                <w:rFonts w:cs="Arial"/>
              </w:rPr>
              <w:t> </w:t>
            </w:r>
            <w:r w:rsidRPr="002408C8">
              <w:rPr>
                <w:rFonts w:cs="Arial"/>
              </w:rPr>
              <w:t>CO</w:t>
            </w:r>
            <w:r w:rsidRPr="002408C8">
              <w:rPr>
                <w:rFonts w:cs="Arial"/>
                <w:vertAlign w:val="subscript"/>
              </w:rPr>
              <w:t>2</w:t>
            </w:r>
            <w:r w:rsidRPr="002408C8">
              <w:rPr>
                <w:rFonts w:cs="Arial"/>
              </w:rPr>
              <w:t>)</w:t>
            </w:r>
          </w:p>
        </w:tc>
      </w:tr>
      <w:tr w:rsidR="00EC7465" w:rsidRPr="002408C8" w14:paraId="7842AB63" w14:textId="77777777" w:rsidTr="002408C8">
        <w:tc>
          <w:tcPr>
            <w:tcW w:w="1928" w:type="dxa"/>
            <w:vAlign w:val="top"/>
          </w:tcPr>
          <w:p w14:paraId="60100531" w14:textId="77777777" w:rsidR="00EC7465" w:rsidRPr="002408C8" w:rsidRDefault="00000000" w:rsidP="002408C8">
            <w:pPr>
              <w:pStyle w:val="SDMTableBoxParaNotNumbered"/>
              <w:rPr>
                <w:rFonts w:cs="Arial"/>
              </w:rPr>
            </w:pPr>
            <m:oMathPara>
              <m:oMathParaPr>
                <m:jc m:val="left"/>
              </m:oMathParaPr>
              <m:oMath>
                <m:sSub>
                  <m:sSubPr>
                    <m:ctrlPr>
                      <w:rPr>
                        <w:rFonts w:ascii="Cambria Math" w:hAnsi="Cambria Math" w:cs="Arial"/>
                        <w:i/>
                      </w:rPr>
                    </m:ctrlPr>
                  </m:sSubPr>
                  <m:e>
                    <m:r>
                      <w:rPr>
                        <w:rFonts w:ascii="Cambria Math" w:hAnsi="Cambria Math" w:cs="Arial"/>
                      </w:rPr>
                      <m:t>PE</m:t>
                    </m:r>
                  </m:e>
                  <m:sub>
                    <m:r>
                      <w:rPr>
                        <w:rFonts w:ascii="Cambria Math" w:hAnsi="Cambria Math" w:cs="Arial"/>
                      </w:rPr>
                      <m:t>EC,y</m:t>
                    </m:r>
                  </m:sub>
                </m:sSub>
              </m:oMath>
            </m:oMathPara>
          </w:p>
        </w:tc>
        <w:tc>
          <w:tcPr>
            <w:tcW w:w="345" w:type="dxa"/>
            <w:vAlign w:val="top"/>
          </w:tcPr>
          <w:p w14:paraId="61A42255" w14:textId="77777777" w:rsidR="00EC7465" w:rsidRPr="002408C8" w:rsidRDefault="00EC7465" w:rsidP="002408C8">
            <w:pPr>
              <w:pStyle w:val="SDMTableBoxParaNotNumbered"/>
              <w:rPr>
                <w:rFonts w:cs="Arial"/>
              </w:rPr>
            </w:pPr>
            <w:r w:rsidRPr="002408C8">
              <w:rPr>
                <w:rFonts w:cs="Arial"/>
              </w:rPr>
              <w:t>=</w:t>
            </w:r>
          </w:p>
        </w:tc>
        <w:tc>
          <w:tcPr>
            <w:tcW w:w="0" w:type="auto"/>
            <w:vAlign w:val="top"/>
          </w:tcPr>
          <w:p w14:paraId="70C6088B" w14:textId="1111E6DC" w:rsidR="00EC7465" w:rsidRPr="002408C8" w:rsidRDefault="00EC7465" w:rsidP="002408C8">
            <w:pPr>
              <w:pStyle w:val="SDMTableBoxParaNotNumbered"/>
              <w:rPr>
                <w:rFonts w:cs="Arial"/>
              </w:rPr>
            </w:pPr>
            <w:r w:rsidRPr="002408C8">
              <w:rPr>
                <w:rFonts w:cs="Arial"/>
              </w:rPr>
              <w:t xml:space="preserve">Project emissions from electricity </w:t>
            </w:r>
            <w:r w:rsidR="009D6A89" w:rsidRPr="002408C8">
              <w:rPr>
                <w:rFonts w:cs="Arial"/>
              </w:rPr>
              <w:t xml:space="preserve">consumption </w:t>
            </w:r>
            <w:r w:rsidRPr="002408C8">
              <w:rPr>
                <w:rFonts w:cs="Arial"/>
              </w:rPr>
              <w:t>in year</w:t>
            </w:r>
            <w:r w:rsidR="00D97A6B" w:rsidRPr="002408C8">
              <w:rPr>
                <w:rFonts w:cs="Arial"/>
              </w:rPr>
              <w:t> </w:t>
            </w:r>
            <w:r w:rsidRPr="002408C8">
              <w:rPr>
                <w:rFonts w:cs="Arial"/>
                <w:i/>
              </w:rPr>
              <w:t>y</w:t>
            </w:r>
            <w:r w:rsidRPr="002408C8">
              <w:rPr>
                <w:rFonts w:cs="Arial"/>
              </w:rPr>
              <w:t xml:space="preserve"> (t</w:t>
            </w:r>
            <w:r w:rsidR="00AE7800" w:rsidRPr="002408C8">
              <w:rPr>
                <w:rFonts w:cs="Arial"/>
              </w:rPr>
              <w:t> </w:t>
            </w:r>
            <w:r w:rsidRPr="002408C8">
              <w:rPr>
                <w:rFonts w:cs="Arial"/>
              </w:rPr>
              <w:t>CO</w:t>
            </w:r>
            <w:r w:rsidRPr="002408C8">
              <w:rPr>
                <w:rFonts w:cs="Arial"/>
                <w:vertAlign w:val="subscript"/>
              </w:rPr>
              <w:t>2</w:t>
            </w:r>
            <w:r w:rsidRPr="002408C8">
              <w:rPr>
                <w:rFonts w:cs="Arial"/>
              </w:rPr>
              <w:t>)</w:t>
            </w:r>
          </w:p>
        </w:tc>
      </w:tr>
      <w:tr w:rsidR="00E00C00" w:rsidRPr="002408C8" w14:paraId="53C0757C" w14:textId="77777777" w:rsidTr="002408C8">
        <w:tc>
          <w:tcPr>
            <w:tcW w:w="1928" w:type="dxa"/>
            <w:vAlign w:val="top"/>
          </w:tcPr>
          <w:p w14:paraId="30B5EE93" w14:textId="77777777" w:rsidR="00E00C00" w:rsidRPr="002408C8" w:rsidRDefault="00000000" w:rsidP="002408C8">
            <w:pPr>
              <w:pStyle w:val="SDMTableBoxParaNotNumbered"/>
              <w:rPr>
                <w:rFonts w:cs="Arial"/>
              </w:rPr>
            </w:pPr>
            <m:oMathPara>
              <m:oMathParaPr>
                <m:jc m:val="left"/>
              </m:oMathParaPr>
              <m:oMath>
                <m:sSub>
                  <m:sSubPr>
                    <m:ctrlPr>
                      <w:rPr>
                        <w:rFonts w:ascii="Cambria Math" w:hAnsi="Cambria Math" w:cs="Arial"/>
                        <w:i/>
                      </w:rPr>
                    </m:ctrlPr>
                  </m:sSubPr>
                  <m:e>
                    <m:r>
                      <w:rPr>
                        <w:rFonts w:ascii="Cambria Math" w:hAnsi="Cambria Math" w:cs="Arial"/>
                      </w:rPr>
                      <m:t>LE</m:t>
                    </m:r>
                  </m:e>
                  <m:sub>
                    <m:r>
                      <w:rPr>
                        <w:rFonts w:ascii="Cambria Math" w:hAnsi="Cambria Math" w:cs="Arial"/>
                      </w:rPr>
                      <m:t>EG,BL,y</m:t>
                    </m:r>
                  </m:sub>
                </m:sSub>
              </m:oMath>
            </m:oMathPara>
          </w:p>
        </w:tc>
        <w:tc>
          <w:tcPr>
            <w:tcW w:w="345" w:type="dxa"/>
            <w:vAlign w:val="top"/>
          </w:tcPr>
          <w:p w14:paraId="4E8E4FBF" w14:textId="77777777" w:rsidR="00E00C00" w:rsidRPr="002408C8" w:rsidRDefault="00E00C00" w:rsidP="002408C8">
            <w:pPr>
              <w:pStyle w:val="SDMTableBoxParaNotNumbered"/>
              <w:rPr>
                <w:rFonts w:cs="Arial"/>
              </w:rPr>
            </w:pPr>
            <w:r w:rsidRPr="002408C8">
              <w:rPr>
                <w:rFonts w:cs="Arial"/>
              </w:rPr>
              <w:t>=</w:t>
            </w:r>
          </w:p>
        </w:tc>
        <w:tc>
          <w:tcPr>
            <w:tcW w:w="0" w:type="auto"/>
            <w:vAlign w:val="top"/>
          </w:tcPr>
          <w:p w14:paraId="44964421" w14:textId="7C2CD5FD" w:rsidR="00E00C00" w:rsidRPr="002408C8" w:rsidRDefault="00E00C00" w:rsidP="002408C8">
            <w:pPr>
              <w:pStyle w:val="SDMTableBoxParaNotNumbered"/>
              <w:rPr>
                <w:rFonts w:cs="Arial"/>
              </w:rPr>
            </w:pPr>
            <w:r w:rsidRPr="002408C8">
              <w:rPr>
                <w:rFonts w:cs="Arial"/>
              </w:rPr>
              <w:t xml:space="preserve">Leakage emissions from electricity </w:t>
            </w:r>
            <w:r w:rsidR="0061379C" w:rsidRPr="002408C8">
              <w:rPr>
                <w:rFonts w:cs="Arial"/>
              </w:rPr>
              <w:t xml:space="preserve">generation </w:t>
            </w:r>
            <w:r w:rsidRPr="002408C8">
              <w:rPr>
                <w:rFonts w:cs="Arial"/>
              </w:rPr>
              <w:t>in the baseline scenario in year</w:t>
            </w:r>
            <w:r w:rsidR="00D97A6B" w:rsidRPr="002408C8">
              <w:rPr>
                <w:rFonts w:cs="Arial"/>
              </w:rPr>
              <w:t> </w:t>
            </w:r>
            <w:r w:rsidRPr="002408C8">
              <w:rPr>
                <w:rFonts w:cs="Arial"/>
                <w:i/>
              </w:rPr>
              <w:t>y</w:t>
            </w:r>
            <w:r w:rsidRPr="002408C8">
              <w:rPr>
                <w:rFonts w:cs="Arial"/>
              </w:rPr>
              <w:t xml:space="preserve"> (t</w:t>
            </w:r>
            <w:r w:rsidR="00AE7800" w:rsidRPr="002408C8">
              <w:rPr>
                <w:rFonts w:cs="Arial"/>
              </w:rPr>
              <w:t> </w:t>
            </w:r>
            <w:r w:rsidRPr="002408C8">
              <w:rPr>
                <w:rFonts w:cs="Arial"/>
              </w:rPr>
              <w:t>CO</w:t>
            </w:r>
            <w:r w:rsidRPr="002408C8">
              <w:rPr>
                <w:rFonts w:cs="Arial"/>
                <w:vertAlign w:val="subscript"/>
              </w:rPr>
              <w:t>2</w:t>
            </w:r>
            <w:r w:rsidRPr="002408C8">
              <w:rPr>
                <w:rFonts w:cs="Arial"/>
              </w:rPr>
              <w:t>)</w:t>
            </w:r>
          </w:p>
        </w:tc>
      </w:tr>
      <w:tr w:rsidR="00446018" w:rsidRPr="002408C8" w14:paraId="25B6DDDB" w14:textId="77777777" w:rsidTr="002408C8">
        <w:tc>
          <w:tcPr>
            <w:tcW w:w="1928" w:type="dxa"/>
            <w:vAlign w:val="top"/>
          </w:tcPr>
          <w:p w14:paraId="19680B8A" w14:textId="77777777" w:rsidR="00446018" w:rsidRPr="002408C8" w:rsidRDefault="00000000" w:rsidP="002408C8">
            <w:pPr>
              <w:pStyle w:val="SDMTableBoxParaNotNumbered"/>
              <w:rPr>
                <w:rFonts w:cs="Arial"/>
              </w:rPr>
            </w:pPr>
            <m:oMathPara>
              <m:oMathParaPr>
                <m:jc m:val="left"/>
              </m:oMathParaPr>
              <m:oMath>
                <m:sSub>
                  <m:sSubPr>
                    <m:ctrlPr>
                      <w:rPr>
                        <w:rFonts w:ascii="Cambria Math" w:hAnsi="Cambria Math" w:cs="Arial"/>
                        <w:i/>
                      </w:rPr>
                    </m:ctrlPr>
                  </m:sSubPr>
                  <m:e>
                    <m:r>
                      <w:rPr>
                        <w:rFonts w:ascii="Cambria Math" w:hAnsi="Cambria Math" w:cs="Arial"/>
                      </w:rPr>
                      <m:t>LE</m:t>
                    </m:r>
                  </m:e>
                  <m:sub>
                    <m:r>
                      <w:rPr>
                        <w:rFonts w:ascii="Cambria Math" w:hAnsi="Cambria Math" w:cs="Arial"/>
                      </w:rPr>
                      <m:t>EC,BL,y</m:t>
                    </m:r>
                  </m:sub>
                </m:sSub>
              </m:oMath>
            </m:oMathPara>
          </w:p>
        </w:tc>
        <w:tc>
          <w:tcPr>
            <w:tcW w:w="345" w:type="dxa"/>
            <w:vAlign w:val="top"/>
          </w:tcPr>
          <w:p w14:paraId="478F596A" w14:textId="77777777" w:rsidR="00446018" w:rsidRPr="002408C8" w:rsidRDefault="00446018" w:rsidP="002408C8">
            <w:pPr>
              <w:pStyle w:val="SDMTableBoxParaNotNumbered"/>
              <w:rPr>
                <w:rFonts w:cs="Arial"/>
              </w:rPr>
            </w:pPr>
            <w:r w:rsidRPr="002408C8">
              <w:rPr>
                <w:rFonts w:cs="Arial"/>
              </w:rPr>
              <w:t>=</w:t>
            </w:r>
          </w:p>
        </w:tc>
        <w:tc>
          <w:tcPr>
            <w:tcW w:w="0" w:type="auto"/>
            <w:vAlign w:val="top"/>
          </w:tcPr>
          <w:p w14:paraId="61661EC2" w14:textId="0C8742E4" w:rsidR="00446018" w:rsidRPr="002408C8" w:rsidRDefault="00446018" w:rsidP="002408C8">
            <w:pPr>
              <w:pStyle w:val="SDMTableBoxParaNotNumbered"/>
              <w:rPr>
                <w:rFonts w:cs="Arial"/>
              </w:rPr>
            </w:pPr>
            <w:r w:rsidRPr="002408C8">
              <w:rPr>
                <w:rFonts w:cs="Arial"/>
              </w:rPr>
              <w:t xml:space="preserve">Leakage emissions from electricity </w:t>
            </w:r>
            <w:r w:rsidR="0061379C" w:rsidRPr="002408C8">
              <w:rPr>
                <w:rFonts w:cs="Arial"/>
              </w:rPr>
              <w:t xml:space="preserve">consumption </w:t>
            </w:r>
            <w:r w:rsidRPr="002408C8">
              <w:rPr>
                <w:rFonts w:cs="Arial"/>
              </w:rPr>
              <w:t>in the baseline scenario in year</w:t>
            </w:r>
            <w:r w:rsidR="00D97A6B" w:rsidRPr="002408C8">
              <w:rPr>
                <w:rFonts w:cs="Arial"/>
              </w:rPr>
              <w:t> </w:t>
            </w:r>
            <w:r w:rsidRPr="002408C8">
              <w:rPr>
                <w:rFonts w:cs="Arial"/>
                <w:i/>
              </w:rPr>
              <w:t>y</w:t>
            </w:r>
            <w:r w:rsidRPr="002408C8">
              <w:rPr>
                <w:rFonts w:cs="Arial"/>
              </w:rPr>
              <w:t xml:space="preserve"> (t</w:t>
            </w:r>
            <w:r w:rsidR="00AE7800" w:rsidRPr="002408C8">
              <w:rPr>
                <w:rFonts w:cs="Arial"/>
              </w:rPr>
              <w:t> </w:t>
            </w:r>
            <w:r w:rsidRPr="002408C8">
              <w:rPr>
                <w:rFonts w:cs="Arial"/>
              </w:rPr>
              <w:t>CO</w:t>
            </w:r>
            <w:r w:rsidRPr="002408C8">
              <w:rPr>
                <w:rFonts w:cs="Arial"/>
                <w:vertAlign w:val="subscript"/>
              </w:rPr>
              <w:t>2</w:t>
            </w:r>
            <w:r w:rsidRPr="002408C8">
              <w:rPr>
                <w:rFonts w:cs="Arial"/>
              </w:rPr>
              <w:t>)</w:t>
            </w:r>
          </w:p>
        </w:tc>
      </w:tr>
      <w:tr w:rsidR="00E00C00" w:rsidRPr="002408C8" w14:paraId="00990887" w14:textId="77777777" w:rsidTr="002408C8">
        <w:tc>
          <w:tcPr>
            <w:tcW w:w="1928" w:type="dxa"/>
            <w:vAlign w:val="top"/>
          </w:tcPr>
          <w:p w14:paraId="7369EB2E" w14:textId="77777777" w:rsidR="00E00C00" w:rsidRPr="002408C8" w:rsidRDefault="00000000" w:rsidP="002408C8">
            <w:pPr>
              <w:pStyle w:val="SDMTableBoxParaNotNumbered"/>
              <w:rPr>
                <w:rFonts w:eastAsia="DengXian" w:cs="Arial"/>
              </w:rPr>
            </w:pPr>
            <m:oMathPara>
              <m:oMathParaPr>
                <m:jc m:val="left"/>
              </m:oMathParaPr>
              <m:oMath>
                <m:sSub>
                  <m:sSubPr>
                    <m:ctrlPr>
                      <w:rPr>
                        <w:rFonts w:ascii="Cambria Math" w:hAnsi="Cambria Math" w:cs="Arial"/>
                        <w:i/>
                      </w:rPr>
                    </m:ctrlPr>
                  </m:sSubPr>
                  <m:e>
                    <m:r>
                      <w:rPr>
                        <w:rFonts w:ascii="Cambria Math" w:hAnsi="Cambria Math" w:cs="Arial"/>
                      </w:rPr>
                      <m:t>LE</m:t>
                    </m:r>
                  </m:e>
                  <m:sub>
                    <m:r>
                      <w:rPr>
                        <w:rFonts w:ascii="Cambria Math" w:hAnsi="Cambria Math" w:cs="Arial"/>
                      </w:rPr>
                      <m:t>EG,PJ,y</m:t>
                    </m:r>
                  </m:sub>
                </m:sSub>
              </m:oMath>
            </m:oMathPara>
          </w:p>
        </w:tc>
        <w:tc>
          <w:tcPr>
            <w:tcW w:w="345" w:type="dxa"/>
            <w:vAlign w:val="top"/>
          </w:tcPr>
          <w:p w14:paraId="41702EA2" w14:textId="77777777" w:rsidR="00E00C00" w:rsidRPr="002408C8" w:rsidRDefault="00E00C00" w:rsidP="002408C8">
            <w:pPr>
              <w:pStyle w:val="SDMTableBoxParaNotNumbered"/>
              <w:rPr>
                <w:rFonts w:cs="Arial"/>
              </w:rPr>
            </w:pPr>
            <w:r w:rsidRPr="002408C8">
              <w:rPr>
                <w:rFonts w:cs="Arial"/>
              </w:rPr>
              <w:t>=</w:t>
            </w:r>
          </w:p>
        </w:tc>
        <w:tc>
          <w:tcPr>
            <w:tcW w:w="0" w:type="auto"/>
            <w:vAlign w:val="top"/>
          </w:tcPr>
          <w:p w14:paraId="07B9DE7D" w14:textId="6286BCE8" w:rsidR="00E00C00" w:rsidRPr="002408C8" w:rsidRDefault="00E00C00" w:rsidP="002408C8">
            <w:pPr>
              <w:pStyle w:val="SDMTableBoxParaNotNumbered"/>
              <w:rPr>
                <w:rFonts w:cs="Arial"/>
              </w:rPr>
            </w:pPr>
            <w:r w:rsidRPr="002408C8">
              <w:rPr>
                <w:rFonts w:cs="Arial"/>
              </w:rPr>
              <w:t xml:space="preserve">Leakage emissions from electricity </w:t>
            </w:r>
            <w:r w:rsidR="0061379C" w:rsidRPr="002408C8">
              <w:rPr>
                <w:rFonts w:cs="Arial"/>
              </w:rPr>
              <w:t>generation</w:t>
            </w:r>
            <w:r w:rsidR="00F428E2" w:rsidRPr="002408C8">
              <w:rPr>
                <w:rFonts w:cs="Arial"/>
              </w:rPr>
              <w:t xml:space="preserve"> </w:t>
            </w:r>
            <w:r w:rsidRPr="002408C8">
              <w:rPr>
                <w:rFonts w:cs="Arial"/>
              </w:rPr>
              <w:t>in the baseline scenario in year</w:t>
            </w:r>
            <w:r w:rsidR="00D97A6B" w:rsidRPr="002408C8">
              <w:rPr>
                <w:rFonts w:cs="Arial"/>
              </w:rPr>
              <w:t> </w:t>
            </w:r>
            <w:r w:rsidRPr="002408C8">
              <w:rPr>
                <w:rFonts w:cs="Arial"/>
                <w:i/>
              </w:rPr>
              <w:t>y</w:t>
            </w:r>
            <w:r w:rsidRPr="002408C8">
              <w:rPr>
                <w:rFonts w:cs="Arial"/>
              </w:rPr>
              <w:t xml:space="preserve"> (t</w:t>
            </w:r>
            <w:r w:rsidR="00AE7800" w:rsidRPr="002408C8">
              <w:rPr>
                <w:rFonts w:cs="Arial"/>
              </w:rPr>
              <w:t> </w:t>
            </w:r>
            <w:r w:rsidRPr="002408C8">
              <w:rPr>
                <w:rFonts w:cs="Arial"/>
              </w:rPr>
              <w:t>CO</w:t>
            </w:r>
            <w:r w:rsidRPr="002408C8">
              <w:rPr>
                <w:rFonts w:cs="Arial"/>
                <w:vertAlign w:val="subscript"/>
              </w:rPr>
              <w:t>2</w:t>
            </w:r>
            <w:r w:rsidRPr="002408C8">
              <w:rPr>
                <w:rFonts w:cs="Arial"/>
              </w:rPr>
              <w:t>)</w:t>
            </w:r>
          </w:p>
        </w:tc>
      </w:tr>
      <w:tr w:rsidR="00446018" w:rsidRPr="002408C8" w14:paraId="46A41D53" w14:textId="77777777" w:rsidTr="002408C8">
        <w:tc>
          <w:tcPr>
            <w:tcW w:w="1928" w:type="dxa"/>
            <w:vAlign w:val="top"/>
          </w:tcPr>
          <w:p w14:paraId="09E8CF7B" w14:textId="77777777" w:rsidR="00446018" w:rsidRPr="002408C8" w:rsidRDefault="00000000" w:rsidP="002408C8">
            <w:pPr>
              <w:pStyle w:val="SDMTableBoxParaNotNumbered"/>
              <w:rPr>
                <w:rFonts w:cs="Arial"/>
              </w:rPr>
            </w:pPr>
            <m:oMathPara>
              <m:oMathParaPr>
                <m:jc m:val="left"/>
              </m:oMathParaPr>
              <m:oMath>
                <m:sSub>
                  <m:sSubPr>
                    <m:ctrlPr>
                      <w:rPr>
                        <w:rFonts w:ascii="Cambria Math" w:hAnsi="Cambria Math" w:cs="Arial"/>
                        <w:i/>
                      </w:rPr>
                    </m:ctrlPr>
                  </m:sSubPr>
                  <m:e>
                    <m:r>
                      <w:rPr>
                        <w:rFonts w:ascii="Cambria Math" w:hAnsi="Cambria Math" w:cs="Arial"/>
                      </w:rPr>
                      <m:t>LE</m:t>
                    </m:r>
                  </m:e>
                  <m:sub>
                    <m:r>
                      <w:rPr>
                        <w:rFonts w:ascii="Cambria Math" w:hAnsi="Cambria Math" w:cs="Arial"/>
                      </w:rPr>
                      <m:t>EC,PJ,y</m:t>
                    </m:r>
                  </m:sub>
                </m:sSub>
              </m:oMath>
            </m:oMathPara>
          </w:p>
        </w:tc>
        <w:tc>
          <w:tcPr>
            <w:tcW w:w="345" w:type="dxa"/>
            <w:vAlign w:val="top"/>
          </w:tcPr>
          <w:p w14:paraId="436C4A25" w14:textId="77777777" w:rsidR="00446018" w:rsidRPr="002408C8" w:rsidRDefault="00446018" w:rsidP="002408C8">
            <w:pPr>
              <w:pStyle w:val="SDMTableBoxParaNotNumbered"/>
              <w:rPr>
                <w:rFonts w:cs="Arial"/>
              </w:rPr>
            </w:pPr>
            <w:r w:rsidRPr="002408C8">
              <w:rPr>
                <w:rFonts w:cs="Arial"/>
              </w:rPr>
              <w:t>=</w:t>
            </w:r>
          </w:p>
        </w:tc>
        <w:tc>
          <w:tcPr>
            <w:tcW w:w="0" w:type="auto"/>
            <w:vAlign w:val="top"/>
          </w:tcPr>
          <w:p w14:paraId="2C655615" w14:textId="2A1BE2BF" w:rsidR="00446018" w:rsidRPr="002408C8" w:rsidRDefault="00446018" w:rsidP="002408C8">
            <w:pPr>
              <w:pStyle w:val="SDMTableBoxParaNotNumbered"/>
              <w:rPr>
                <w:rFonts w:cs="Arial"/>
              </w:rPr>
            </w:pPr>
            <w:r w:rsidRPr="002408C8">
              <w:rPr>
                <w:rFonts w:cs="Arial"/>
              </w:rPr>
              <w:t xml:space="preserve">Leakage emissions from electricity </w:t>
            </w:r>
            <w:r w:rsidR="0061379C" w:rsidRPr="002408C8">
              <w:rPr>
                <w:rFonts w:cs="Arial"/>
              </w:rPr>
              <w:t xml:space="preserve">consumption </w:t>
            </w:r>
            <w:r w:rsidRPr="002408C8">
              <w:rPr>
                <w:rFonts w:cs="Arial"/>
              </w:rPr>
              <w:t>in the baseline scenario in year</w:t>
            </w:r>
            <w:r w:rsidR="00D97A6B" w:rsidRPr="002408C8">
              <w:rPr>
                <w:rFonts w:cs="Arial"/>
              </w:rPr>
              <w:t> </w:t>
            </w:r>
            <w:r w:rsidRPr="002408C8">
              <w:rPr>
                <w:rFonts w:cs="Arial"/>
                <w:i/>
              </w:rPr>
              <w:t>y</w:t>
            </w:r>
            <w:r w:rsidRPr="002408C8">
              <w:rPr>
                <w:rFonts w:cs="Arial"/>
              </w:rPr>
              <w:t xml:space="preserve"> (t</w:t>
            </w:r>
            <w:r w:rsidR="00AE7800" w:rsidRPr="002408C8">
              <w:rPr>
                <w:rFonts w:cs="Arial"/>
              </w:rPr>
              <w:t> </w:t>
            </w:r>
            <w:r w:rsidRPr="002408C8">
              <w:rPr>
                <w:rFonts w:cs="Arial"/>
              </w:rPr>
              <w:t>CO</w:t>
            </w:r>
            <w:r w:rsidRPr="002408C8">
              <w:rPr>
                <w:rFonts w:cs="Arial"/>
                <w:vertAlign w:val="subscript"/>
              </w:rPr>
              <w:t>2</w:t>
            </w:r>
            <w:r w:rsidRPr="002408C8">
              <w:rPr>
                <w:rFonts w:cs="Arial"/>
              </w:rPr>
              <w:t>)</w:t>
            </w:r>
          </w:p>
        </w:tc>
      </w:tr>
      <w:tr w:rsidR="00E00C00" w:rsidRPr="002408C8" w14:paraId="709CDC71" w14:textId="77777777" w:rsidTr="002408C8">
        <w:tc>
          <w:tcPr>
            <w:tcW w:w="1928" w:type="dxa"/>
            <w:vAlign w:val="top"/>
          </w:tcPr>
          <w:p w14:paraId="2105CDC0" w14:textId="77777777" w:rsidR="00E00C00" w:rsidRPr="002408C8" w:rsidRDefault="00000000" w:rsidP="002408C8">
            <w:pPr>
              <w:pStyle w:val="SDMTableBoxParaNotNumbered"/>
              <w:rPr>
                <w:rFonts w:eastAsia="DengXian" w:cs="Arial"/>
              </w:rPr>
            </w:pPr>
            <m:oMathPara>
              <m:oMathParaPr>
                <m:jc m:val="left"/>
              </m:oMathParaPr>
              <m:oMath>
                <m:sSub>
                  <m:sSubPr>
                    <m:ctrlPr>
                      <w:rPr>
                        <w:rFonts w:ascii="Cambria Math" w:hAnsi="Cambria Math" w:cs="Arial"/>
                        <w:i/>
                      </w:rPr>
                    </m:ctrlPr>
                  </m:sSubPr>
                  <m:e>
                    <m:r>
                      <w:rPr>
                        <w:rFonts w:ascii="Cambria Math" w:hAnsi="Cambria Math" w:cs="Arial"/>
                      </w:rPr>
                      <m:t>EG</m:t>
                    </m:r>
                  </m:e>
                  <m:sub>
                    <m:r>
                      <w:rPr>
                        <w:rFonts w:ascii="Cambria Math" w:hAnsi="Cambria Math" w:cs="Arial"/>
                      </w:rPr>
                      <m:t>s,h</m:t>
                    </m:r>
                  </m:sub>
                </m:sSub>
              </m:oMath>
            </m:oMathPara>
          </w:p>
        </w:tc>
        <w:tc>
          <w:tcPr>
            <w:tcW w:w="345" w:type="dxa"/>
            <w:vAlign w:val="top"/>
          </w:tcPr>
          <w:p w14:paraId="76B2F4FF" w14:textId="77777777" w:rsidR="00E00C00" w:rsidRPr="002408C8" w:rsidRDefault="00E00C00" w:rsidP="002408C8">
            <w:pPr>
              <w:pStyle w:val="SDMTableBoxParaNotNumbered"/>
              <w:rPr>
                <w:rFonts w:cs="Arial"/>
              </w:rPr>
            </w:pPr>
            <w:r w:rsidRPr="002408C8">
              <w:rPr>
                <w:rFonts w:cs="Arial"/>
              </w:rPr>
              <w:t>=</w:t>
            </w:r>
          </w:p>
        </w:tc>
        <w:tc>
          <w:tcPr>
            <w:tcW w:w="0" w:type="auto"/>
            <w:vAlign w:val="top"/>
          </w:tcPr>
          <w:p w14:paraId="4A6DC7F5" w14:textId="66B5DC74" w:rsidR="00E00C00" w:rsidRPr="002408C8" w:rsidRDefault="00E00C00" w:rsidP="002408C8">
            <w:pPr>
              <w:pStyle w:val="SDMTableBoxParaNotNumbered"/>
              <w:rPr>
                <w:rFonts w:cs="Arial"/>
              </w:rPr>
            </w:pPr>
            <w:r w:rsidRPr="002408C8">
              <w:rPr>
                <w:rFonts w:cs="Arial"/>
              </w:rPr>
              <w:t>Electricity generated by the</w:t>
            </w:r>
            <w:r w:rsidR="00FA6A67" w:rsidRPr="002408C8">
              <w:rPr>
                <w:rFonts w:cs="Arial"/>
              </w:rPr>
              <w:t xml:space="preserve"> electricity generation source</w:t>
            </w:r>
            <w:r w:rsidR="002408C8">
              <w:rPr>
                <w:rFonts w:cs="Arial"/>
              </w:rPr>
              <w:t> </w:t>
            </w:r>
            <w:r w:rsidR="00FA6A67" w:rsidRPr="002408C8">
              <w:rPr>
                <w:rFonts w:cs="Arial"/>
                <w:i/>
                <w:iCs/>
              </w:rPr>
              <w:t>s</w:t>
            </w:r>
            <w:r w:rsidRPr="002408C8">
              <w:rPr>
                <w:rFonts w:cs="Arial"/>
              </w:rPr>
              <w:t xml:space="preserve"> in </w:t>
            </w:r>
            <w:r w:rsidR="00DE7158" w:rsidRPr="002408C8">
              <w:rPr>
                <w:rFonts w:cs="Arial"/>
              </w:rPr>
              <w:t>hour</w:t>
            </w:r>
            <w:r w:rsidR="00D97A6B" w:rsidRPr="002408C8">
              <w:rPr>
                <w:rFonts w:cs="Arial"/>
              </w:rPr>
              <w:t> </w:t>
            </w:r>
            <w:r w:rsidR="00647D27" w:rsidRPr="002408C8">
              <w:rPr>
                <w:rFonts w:cs="Arial"/>
                <w:i/>
                <w:iCs/>
              </w:rPr>
              <w:t>h</w:t>
            </w:r>
            <w:r w:rsidRPr="002408C8">
              <w:rPr>
                <w:rFonts w:cs="Arial"/>
              </w:rPr>
              <w:t xml:space="preserve"> (MWh)</w:t>
            </w:r>
          </w:p>
        </w:tc>
      </w:tr>
      <w:tr w:rsidR="00A459ED" w:rsidRPr="002408C8" w14:paraId="656B40C6" w14:textId="77777777" w:rsidTr="002408C8">
        <w:tc>
          <w:tcPr>
            <w:tcW w:w="1928" w:type="dxa"/>
            <w:vAlign w:val="top"/>
          </w:tcPr>
          <w:p w14:paraId="4CC1BE1B" w14:textId="77777777" w:rsidR="00A459ED" w:rsidRPr="002408C8" w:rsidRDefault="00000000" w:rsidP="002408C8">
            <w:pPr>
              <w:pStyle w:val="SDMTableBoxParaNotNumbered"/>
              <w:rPr>
                <w:rFonts w:cs="Arial"/>
              </w:rPr>
            </w:pPr>
            <m:oMathPara>
              <m:oMathParaPr>
                <m:jc m:val="left"/>
              </m:oMathParaPr>
              <m:oMath>
                <m:sSub>
                  <m:sSubPr>
                    <m:ctrlPr>
                      <w:rPr>
                        <w:rFonts w:ascii="Cambria Math" w:hAnsi="Cambria Math" w:cs="Arial"/>
                        <w:i/>
                      </w:rPr>
                    </m:ctrlPr>
                  </m:sSubPr>
                  <m:e>
                    <m:r>
                      <w:rPr>
                        <w:rFonts w:ascii="Cambria Math" w:hAnsi="Cambria Math" w:cs="Arial"/>
                      </w:rPr>
                      <m:t>EC</m:t>
                    </m:r>
                  </m:e>
                  <m:sub>
                    <m:r>
                      <w:rPr>
                        <w:rFonts w:ascii="Cambria Math" w:hAnsi="Cambria Math" w:cs="Arial"/>
                      </w:rPr>
                      <m:t>s,h</m:t>
                    </m:r>
                  </m:sub>
                </m:sSub>
              </m:oMath>
            </m:oMathPara>
          </w:p>
        </w:tc>
        <w:tc>
          <w:tcPr>
            <w:tcW w:w="345" w:type="dxa"/>
            <w:vAlign w:val="top"/>
          </w:tcPr>
          <w:p w14:paraId="3FA6F0BE" w14:textId="77777777" w:rsidR="00A459ED" w:rsidRPr="002408C8" w:rsidRDefault="00D0092C" w:rsidP="002408C8">
            <w:pPr>
              <w:pStyle w:val="SDMTableBoxParaNotNumbered"/>
              <w:rPr>
                <w:rFonts w:cs="Arial"/>
              </w:rPr>
            </w:pPr>
            <w:r w:rsidRPr="002408C8">
              <w:rPr>
                <w:rFonts w:cs="Arial"/>
              </w:rPr>
              <w:t>=</w:t>
            </w:r>
          </w:p>
        </w:tc>
        <w:tc>
          <w:tcPr>
            <w:tcW w:w="0" w:type="auto"/>
            <w:vAlign w:val="top"/>
          </w:tcPr>
          <w:p w14:paraId="026E8830" w14:textId="7E8195B7" w:rsidR="00A459ED" w:rsidRPr="002408C8" w:rsidRDefault="00D0092C" w:rsidP="002408C8">
            <w:pPr>
              <w:pStyle w:val="SDMTableBoxParaNotNumbered"/>
              <w:rPr>
                <w:rFonts w:cs="Arial"/>
              </w:rPr>
            </w:pPr>
            <w:r w:rsidRPr="002408C8">
              <w:rPr>
                <w:rFonts w:cs="Arial"/>
              </w:rPr>
              <w:t>Electricity consumed by the electricity consumption source</w:t>
            </w:r>
            <w:r w:rsidR="002408C8">
              <w:rPr>
                <w:rFonts w:cs="Arial"/>
              </w:rPr>
              <w:t> </w:t>
            </w:r>
            <w:r w:rsidRPr="002408C8">
              <w:rPr>
                <w:rFonts w:cs="Arial"/>
                <w:i/>
                <w:iCs/>
              </w:rPr>
              <w:t>s</w:t>
            </w:r>
            <w:r w:rsidRPr="002408C8">
              <w:rPr>
                <w:rFonts w:cs="Arial"/>
              </w:rPr>
              <w:t xml:space="preserve"> in hour</w:t>
            </w:r>
            <w:r w:rsidR="00D97A6B" w:rsidRPr="002408C8">
              <w:rPr>
                <w:rFonts w:cs="Arial"/>
              </w:rPr>
              <w:t> </w:t>
            </w:r>
            <w:r w:rsidRPr="002408C8">
              <w:rPr>
                <w:rFonts w:cs="Arial"/>
                <w:i/>
                <w:iCs/>
              </w:rPr>
              <w:t>h</w:t>
            </w:r>
            <w:r w:rsidRPr="002408C8">
              <w:rPr>
                <w:rFonts w:cs="Arial"/>
              </w:rPr>
              <w:t xml:space="preserve"> (MWh)</w:t>
            </w:r>
          </w:p>
        </w:tc>
      </w:tr>
      <w:tr w:rsidR="00E00C00" w:rsidRPr="002408C8" w14:paraId="27C8F265" w14:textId="77777777" w:rsidTr="002408C8">
        <w:tc>
          <w:tcPr>
            <w:tcW w:w="1928" w:type="dxa"/>
            <w:vAlign w:val="top"/>
          </w:tcPr>
          <w:p w14:paraId="5EA0D3A2" w14:textId="77777777" w:rsidR="00E00C00" w:rsidRPr="002408C8" w:rsidRDefault="00000000" w:rsidP="002408C8">
            <w:pPr>
              <w:pStyle w:val="SDMTableBoxParaNotNumbered"/>
              <w:rPr>
                <w:rFonts w:eastAsia="DengXian" w:cs="Arial"/>
              </w:rPr>
            </w:pPr>
            <m:oMathPara>
              <m:oMathParaPr>
                <m:jc m:val="left"/>
              </m:oMathParaPr>
              <m:oMath>
                <m:sSub>
                  <m:sSubPr>
                    <m:ctrlPr>
                      <w:rPr>
                        <w:rFonts w:ascii="Cambria Math" w:hAnsi="Cambria Math" w:cs="Arial"/>
                        <w:i/>
                      </w:rPr>
                    </m:ctrlPr>
                  </m:sSubPr>
                  <m:e>
                    <m:r>
                      <w:rPr>
                        <w:rFonts w:ascii="Cambria Math" w:hAnsi="Cambria Math" w:cs="Arial"/>
                      </w:rPr>
                      <m:t>EF</m:t>
                    </m:r>
                  </m:e>
                  <m:sub>
                    <m:r>
                      <w:rPr>
                        <w:rFonts w:ascii="Cambria Math" w:hAnsi="Cambria Math" w:cs="Arial"/>
                      </w:rPr>
                      <m:t>EG,BL,s,h</m:t>
                    </m:r>
                  </m:sub>
                </m:sSub>
              </m:oMath>
            </m:oMathPara>
          </w:p>
        </w:tc>
        <w:tc>
          <w:tcPr>
            <w:tcW w:w="345" w:type="dxa"/>
            <w:vAlign w:val="top"/>
          </w:tcPr>
          <w:p w14:paraId="5AE3C751" w14:textId="77777777" w:rsidR="00E00C00" w:rsidRPr="002408C8" w:rsidRDefault="00E00C00" w:rsidP="002408C8">
            <w:pPr>
              <w:pStyle w:val="SDMTableBoxParaNotNumbered"/>
              <w:rPr>
                <w:rFonts w:cs="Arial"/>
              </w:rPr>
            </w:pPr>
            <w:r w:rsidRPr="002408C8">
              <w:rPr>
                <w:rFonts w:cs="Arial"/>
              </w:rPr>
              <w:t>=</w:t>
            </w:r>
          </w:p>
        </w:tc>
        <w:tc>
          <w:tcPr>
            <w:tcW w:w="0" w:type="auto"/>
            <w:vAlign w:val="top"/>
          </w:tcPr>
          <w:p w14:paraId="6F62439E" w14:textId="6DE79445" w:rsidR="00E00C00" w:rsidRPr="002408C8" w:rsidRDefault="00E00C00" w:rsidP="002408C8">
            <w:pPr>
              <w:pStyle w:val="SDMTableBoxParaNotNumbered"/>
              <w:rPr>
                <w:rFonts w:cs="Arial"/>
              </w:rPr>
            </w:pPr>
            <w:r w:rsidRPr="002408C8">
              <w:rPr>
                <w:rFonts w:cs="Arial"/>
              </w:rPr>
              <w:t xml:space="preserve">Emission factor </w:t>
            </w:r>
            <w:r w:rsidR="003A211B" w:rsidRPr="002408C8">
              <w:rPr>
                <w:rFonts w:cs="Arial"/>
              </w:rPr>
              <w:t>for</w:t>
            </w:r>
            <w:r w:rsidRPr="002408C8">
              <w:rPr>
                <w:rFonts w:cs="Arial"/>
              </w:rPr>
              <w:t xml:space="preserve"> electricity generated by the electricity generation source</w:t>
            </w:r>
            <w:r w:rsidR="00D97A6B" w:rsidRPr="002408C8">
              <w:rPr>
                <w:rFonts w:cs="Arial"/>
              </w:rPr>
              <w:t> </w:t>
            </w:r>
            <w:r w:rsidRPr="002408C8">
              <w:rPr>
                <w:rFonts w:cs="Arial"/>
                <w:i/>
              </w:rPr>
              <w:t>s</w:t>
            </w:r>
            <w:r w:rsidRPr="002408C8">
              <w:rPr>
                <w:rFonts w:cs="Arial"/>
              </w:rPr>
              <w:t xml:space="preserve"> in the baseline scenario in </w:t>
            </w:r>
            <w:r w:rsidR="00647D27" w:rsidRPr="002408C8">
              <w:rPr>
                <w:rFonts w:cs="Arial"/>
              </w:rPr>
              <w:t>hour</w:t>
            </w:r>
            <w:r w:rsidR="00D97A6B" w:rsidRPr="002408C8">
              <w:rPr>
                <w:rFonts w:cs="Arial"/>
              </w:rPr>
              <w:t> </w:t>
            </w:r>
            <w:r w:rsidR="00647D27" w:rsidRPr="002408C8">
              <w:rPr>
                <w:rFonts w:cs="Arial"/>
                <w:i/>
                <w:iCs/>
              </w:rPr>
              <w:t>h</w:t>
            </w:r>
            <w:r w:rsidRPr="002408C8">
              <w:rPr>
                <w:rFonts w:cs="Arial"/>
              </w:rPr>
              <w:t xml:space="preserve"> (</w:t>
            </w:r>
            <w:r w:rsidR="00DD74EC" w:rsidRPr="002408C8">
              <w:rPr>
                <w:rFonts w:cs="Arial"/>
              </w:rPr>
              <w:t>t</w:t>
            </w:r>
            <w:r w:rsidR="00D57E54" w:rsidRPr="002408C8">
              <w:rPr>
                <w:rFonts w:cs="Arial"/>
              </w:rPr>
              <w:t> </w:t>
            </w:r>
            <w:r w:rsidR="00DD74EC" w:rsidRPr="002408C8">
              <w:rPr>
                <w:rFonts w:cs="Arial"/>
              </w:rPr>
              <w:t>CO</w:t>
            </w:r>
            <w:r w:rsidR="00DD74EC" w:rsidRPr="002408C8">
              <w:rPr>
                <w:rFonts w:ascii="Cambria Math" w:hAnsi="Cambria Math" w:cs="Cambria Math"/>
              </w:rPr>
              <w:t>₂</w:t>
            </w:r>
            <w:r w:rsidR="00DD74EC" w:rsidRPr="002408C8">
              <w:rPr>
                <w:rFonts w:cs="Arial"/>
              </w:rPr>
              <w:t>/MWh</w:t>
            </w:r>
            <w:r w:rsidRPr="002408C8">
              <w:rPr>
                <w:rFonts w:cs="Arial"/>
              </w:rPr>
              <w:t>)</w:t>
            </w:r>
          </w:p>
        </w:tc>
      </w:tr>
      <w:tr w:rsidR="00B33468" w:rsidRPr="002408C8" w14:paraId="01DE97C3" w14:textId="77777777" w:rsidTr="002408C8">
        <w:tc>
          <w:tcPr>
            <w:tcW w:w="1928" w:type="dxa"/>
            <w:vAlign w:val="top"/>
          </w:tcPr>
          <w:p w14:paraId="6307D90B" w14:textId="77777777" w:rsidR="00B33468" w:rsidRPr="002408C8" w:rsidRDefault="00000000" w:rsidP="002408C8">
            <w:pPr>
              <w:pStyle w:val="SDMTableBoxParaNotNumbered"/>
              <w:rPr>
                <w:rFonts w:cs="Arial"/>
              </w:rPr>
            </w:pPr>
            <m:oMathPara>
              <m:oMathParaPr>
                <m:jc m:val="left"/>
              </m:oMathParaPr>
              <m:oMath>
                <m:sSub>
                  <m:sSubPr>
                    <m:ctrlPr>
                      <w:rPr>
                        <w:rFonts w:ascii="Cambria Math" w:hAnsi="Cambria Math" w:cs="Arial"/>
                        <w:i/>
                      </w:rPr>
                    </m:ctrlPr>
                  </m:sSubPr>
                  <m:e>
                    <m:r>
                      <w:rPr>
                        <w:rFonts w:ascii="Cambria Math" w:hAnsi="Cambria Math" w:cs="Arial"/>
                      </w:rPr>
                      <m:t>EF</m:t>
                    </m:r>
                  </m:e>
                  <m:sub>
                    <m:r>
                      <w:rPr>
                        <w:rFonts w:ascii="Cambria Math" w:hAnsi="Cambria Math" w:cs="Arial"/>
                      </w:rPr>
                      <m:t>EC,BL,s,h</m:t>
                    </m:r>
                  </m:sub>
                </m:sSub>
              </m:oMath>
            </m:oMathPara>
          </w:p>
        </w:tc>
        <w:tc>
          <w:tcPr>
            <w:tcW w:w="345" w:type="dxa"/>
            <w:vAlign w:val="top"/>
          </w:tcPr>
          <w:p w14:paraId="3F1E585B" w14:textId="77777777" w:rsidR="00B33468" w:rsidRPr="002408C8" w:rsidRDefault="00B33468" w:rsidP="002408C8">
            <w:pPr>
              <w:pStyle w:val="SDMTableBoxParaNotNumbered"/>
              <w:rPr>
                <w:rFonts w:cs="Arial"/>
              </w:rPr>
            </w:pPr>
            <w:r w:rsidRPr="002408C8">
              <w:rPr>
                <w:rFonts w:cs="Arial"/>
              </w:rPr>
              <w:t>=</w:t>
            </w:r>
          </w:p>
        </w:tc>
        <w:tc>
          <w:tcPr>
            <w:tcW w:w="0" w:type="auto"/>
            <w:vAlign w:val="top"/>
          </w:tcPr>
          <w:p w14:paraId="0A308157" w14:textId="3DA5ACEC" w:rsidR="00B33468" w:rsidRPr="002408C8" w:rsidRDefault="00B33468" w:rsidP="002408C8">
            <w:pPr>
              <w:pStyle w:val="SDMTableBoxParaNotNumbered"/>
              <w:rPr>
                <w:rFonts w:cs="Arial"/>
              </w:rPr>
            </w:pPr>
            <w:r w:rsidRPr="002408C8">
              <w:rPr>
                <w:rFonts w:cs="Arial"/>
              </w:rPr>
              <w:t xml:space="preserve">Emission factor </w:t>
            </w:r>
            <w:r w:rsidR="003A211B" w:rsidRPr="002408C8">
              <w:rPr>
                <w:rFonts w:cs="Arial"/>
              </w:rPr>
              <w:t>for</w:t>
            </w:r>
            <w:r w:rsidRPr="002408C8">
              <w:rPr>
                <w:rFonts w:cs="Arial"/>
              </w:rPr>
              <w:t xml:space="preserve"> electricity consumed by the electricity consumption source</w:t>
            </w:r>
            <w:r w:rsidR="0033417D">
              <w:rPr>
                <w:rFonts w:cs="Arial"/>
              </w:rPr>
              <w:t> </w:t>
            </w:r>
            <w:r w:rsidRPr="002408C8">
              <w:rPr>
                <w:rFonts w:cs="Arial"/>
                <w:i/>
              </w:rPr>
              <w:t>s</w:t>
            </w:r>
            <w:r w:rsidRPr="002408C8">
              <w:rPr>
                <w:rFonts w:cs="Arial"/>
              </w:rPr>
              <w:t xml:space="preserve"> in the baseline scenario in hour</w:t>
            </w:r>
            <w:r w:rsidR="00D97A6B" w:rsidRPr="002408C8">
              <w:rPr>
                <w:rFonts w:cs="Arial"/>
              </w:rPr>
              <w:t> </w:t>
            </w:r>
            <w:r w:rsidRPr="002408C8">
              <w:rPr>
                <w:rFonts w:cs="Arial"/>
                <w:i/>
                <w:iCs/>
              </w:rPr>
              <w:t>h</w:t>
            </w:r>
            <w:r w:rsidRPr="002408C8">
              <w:rPr>
                <w:rFonts w:cs="Arial"/>
              </w:rPr>
              <w:t xml:space="preserve"> (</w:t>
            </w:r>
            <w:r w:rsidR="00DD74EC" w:rsidRPr="002408C8">
              <w:rPr>
                <w:rFonts w:cs="Arial"/>
              </w:rPr>
              <w:t>t</w:t>
            </w:r>
            <w:r w:rsidR="00D57E54" w:rsidRPr="002408C8">
              <w:rPr>
                <w:rFonts w:cs="Arial"/>
              </w:rPr>
              <w:t> </w:t>
            </w:r>
            <w:r w:rsidR="00DD74EC" w:rsidRPr="002408C8">
              <w:rPr>
                <w:rFonts w:cs="Arial"/>
              </w:rPr>
              <w:t>CO</w:t>
            </w:r>
            <w:r w:rsidR="00DD74EC" w:rsidRPr="002408C8">
              <w:rPr>
                <w:rFonts w:ascii="Cambria Math" w:hAnsi="Cambria Math" w:cs="Cambria Math"/>
              </w:rPr>
              <w:t>₂</w:t>
            </w:r>
            <w:r w:rsidR="00DD74EC" w:rsidRPr="002408C8">
              <w:rPr>
                <w:rFonts w:cs="Arial"/>
              </w:rPr>
              <w:t>/MWh</w:t>
            </w:r>
            <w:r w:rsidRPr="002408C8">
              <w:rPr>
                <w:rFonts w:cs="Arial"/>
              </w:rPr>
              <w:t>)</w:t>
            </w:r>
          </w:p>
        </w:tc>
      </w:tr>
      <w:tr w:rsidR="00E00C00" w:rsidRPr="002408C8" w14:paraId="3226F0B4" w14:textId="77777777" w:rsidTr="002408C8">
        <w:tc>
          <w:tcPr>
            <w:tcW w:w="1928" w:type="dxa"/>
            <w:vAlign w:val="top"/>
          </w:tcPr>
          <w:p w14:paraId="5370CD4F" w14:textId="77777777" w:rsidR="00E00C00" w:rsidRPr="002408C8" w:rsidRDefault="00000000" w:rsidP="002408C8">
            <w:pPr>
              <w:pStyle w:val="SDMTableBoxParaNotNumbered"/>
              <w:rPr>
                <w:rFonts w:eastAsia="DengXian" w:cs="Arial"/>
              </w:rPr>
            </w:pPr>
            <m:oMathPara>
              <m:oMathParaPr>
                <m:jc m:val="left"/>
              </m:oMathParaPr>
              <m:oMath>
                <m:sSub>
                  <m:sSubPr>
                    <m:ctrlPr>
                      <w:rPr>
                        <w:rFonts w:ascii="Cambria Math" w:hAnsi="Cambria Math" w:cs="Arial"/>
                        <w:i/>
                      </w:rPr>
                    </m:ctrlPr>
                  </m:sSubPr>
                  <m:e>
                    <m:r>
                      <w:rPr>
                        <w:rFonts w:ascii="Cambria Math" w:hAnsi="Cambria Math" w:cs="Arial"/>
                      </w:rPr>
                      <m:t>EF</m:t>
                    </m:r>
                  </m:e>
                  <m:sub>
                    <m:r>
                      <w:rPr>
                        <w:rFonts w:ascii="Cambria Math" w:hAnsi="Cambria Math" w:cs="Arial"/>
                      </w:rPr>
                      <m:t>EG,PJ,s,h</m:t>
                    </m:r>
                  </m:sub>
                </m:sSub>
              </m:oMath>
            </m:oMathPara>
          </w:p>
        </w:tc>
        <w:tc>
          <w:tcPr>
            <w:tcW w:w="345" w:type="dxa"/>
            <w:vAlign w:val="top"/>
          </w:tcPr>
          <w:p w14:paraId="298135C1" w14:textId="77777777" w:rsidR="00E00C00" w:rsidRPr="002408C8" w:rsidRDefault="00E00C00" w:rsidP="002408C8">
            <w:pPr>
              <w:pStyle w:val="SDMTableBoxParaNotNumbered"/>
              <w:rPr>
                <w:rFonts w:cs="Arial"/>
              </w:rPr>
            </w:pPr>
            <w:r w:rsidRPr="002408C8">
              <w:rPr>
                <w:rFonts w:cs="Arial"/>
              </w:rPr>
              <w:t>=</w:t>
            </w:r>
          </w:p>
        </w:tc>
        <w:tc>
          <w:tcPr>
            <w:tcW w:w="0" w:type="auto"/>
            <w:vAlign w:val="top"/>
          </w:tcPr>
          <w:p w14:paraId="5CF806BA" w14:textId="2F793939" w:rsidR="00E00C00" w:rsidRPr="002408C8" w:rsidRDefault="00E00C00" w:rsidP="002408C8">
            <w:pPr>
              <w:pStyle w:val="SDMTableBoxParaNotNumbered"/>
              <w:rPr>
                <w:rFonts w:cs="Arial"/>
              </w:rPr>
            </w:pPr>
            <w:r w:rsidRPr="002408C8">
              <w:rPr>
                <w:rFonts w:cs="Arial"/>
              </w:rPr>
              <w:t xml:space="preserve">Emission factor </w:t>
            </w:r>
            <w:r w:rsidR="00276147" w:rsidRPr="002408C8">
              <w:rPr>
                <w:rFonts w:cs="Arial"/>
              </w:rPr>
              <w:t>for</w:t>
            </w:r>
            <w:r w:rsidRPr="002408C8">
              <w:rPr>
                <w:rFonts w:cs="Arial"/>
              </w:rPr>
              <w:t xml:space="preserve"> electricity generated by the electricity generation source</w:t>
            </w:r>
            <w:r w:rsidR="0033417D">
              <w:rPr>
                <w:rFonts w:cs="Arial"/>
              </w:rPr>
              <w:t> </w:t>
            </w:r>
            <w:r w:rsidRPr="002408C8">
              <w:rPr>
                <w:rFonts w:cs="Arial"/>
              </w:rPr>
              <w:t xml:space="preserve">s in the project scenario in </w:t>
            </w:r>
            <w:r w:rsidR="00647D27" w:rsidRPr="002408C8">
              <w:rPr>
                <w:rFonts w:cs="Arial"/>
              </w:rPr>
              <w:t>hour</w:t>
            </w:r>
            <w:r w:rsidR="00D97A6B" w:rsidRPr="002408C8">
              <w:rPr>
                <w:rFonts w:cs="Arial"/>
              </w:rPr>
              <w:t> </w:t>
            </w:r>
            <w:r w:rsidR="00647D27" w:rsidRPr="002408C8">
              <w:rPr>
                <w:rFonts w:cs="Arial"/>
                <w:i/>
                <w:iCs/>
              </w:rPr>
              <w:t>h</w:t>
            </w:r>
            <w:r w:rsidRPr="002408C8">
              <w:rPr>
                <w:rFonts w:cs="Arial"/>
              </w:rPr>
              <w:t xml:space="preserve"> (</w:t>
            </w:r>
            <w:r w:rsidR="00DD74EC" w:rsidRPr="002408C8">
              <w:rPr>
                <w:rFonts w:cs="Arial"/>
              </w:rPr>
              <w:t>t</w:t>
            </w:r>
            <w:r w:rsidR="00D57E54" w:rsidRPr="002408C8">
              <w:rPr>
                <w:rFonts w:cs="Arial"/>
              </w:rPr>
              <w:t> </w:t>
            </w:r>
            <w:r w:rsidR="00DD74EC" w:rsidRPr="002408C8">
              <w:rPr>
                <w:rFonts w:cs="Arial"/>
              </w:rPr>
              <w:t>CO</w:t>
            </w:r>
            <w:r w:rsidR="00DD74EC" w:rsidRPr="002408C8">
              <w:rPr>
                <w:rFonts w:ascii="Cambria Math" w:hAnsi="Cambria Math" w:cs="Cambria Math"/>
              </w:rPr>
              <w:t>₂</w:t>
            </w:r>
            <w:r w:rsidR="00DD74EC" w:rsidRPr="002408C8">
              <w:rPr>
                <w:rFonts w:cs="Arial"/>
              </w:rPr>
              <w:t>/MWh</w:t>
            </w:r>
            <w:r w:rsidRPr="002408C8">
              <w:rPr>
                <w:rFonts w:cs="Arial"/>
              </w:rPr>
              <w:t>)</w:t>
            </w:r>
          </w:p>
        </w:tc>
      </w:tr>
      <w:tr w:rsidR="00B33468" w:rsidRPr="002408C8" w14:paraId="68BACC2C" w14:textId="77777777" w:rsidTr="002408C8">
        <w:tc>
          <w:tcPr>
            <w:tcW w:w="1928" w:type="dxa"/>
            <w:vAlign w:val="top"/>
          </w:tcPr>
          <w:p w14:paraId="1AECE8C8" w14:textId="77777777" w:rsidR="00B33468" w:rsidRPr="002408C8" w:rsidRDefault="00000000" w:rsidP="002408C8">
            <w:pPr>
              <w:pStyle w:val="SDMTableBoxParaNotNumbered"/>
              <w:rPr>
                <w:rFonts w:cs="Arial"/>
              </w:rPr>
            </w:pPr>
            <m:oMathPara>
              <m:oMathParaPr>
                <m:jc m:val="left"/>
              </m:oMathParaPr>
              <m:oMath>
                <m:sSub>
                  <m:sSubPr>
                    <m:ctrlPr>
                      <w:rPr>
                        <w:rFonts w:ascii="Cambria Math" w:hAnsi="Cambria Math" w:cs="Arial"/>
                        <w:i/>
                      </w:rPr>
                    </m:ctrlPr>
                  </m:sSubPr>
                  <m:e>
                    <m:r>
                      <w:rPr>
                        <w:rFonts w:ascii="Cambria Math" w:hAnsi="Cambria Math" w:cs="Arial"/>
                      </w:rPr>
                      <m:t>EF</m:t>
                    </m:r>
                  </m:e>
                  <m:sub>
                    <m:r>
                      <w:rPr>
                        <w:rFonts w:ascii="Cambria Math" w:hAnsi="Cambria Math" w:cs="Arial"/>
                      </w:rPr>
                      <m:t>EC,PJ,s,h</m:t>
                    </m:r>
                  </m:sub>
                </m:sSub>
              </m:oMath>
            </m:oMathPara>
          </w:p>
        </w:tc>
        <w:tc>
          <w:tcPr>
            <w:tcW w:w="345" w:type="dxa"/>
            <w:vAlign w:val="top"/>
          </w:tcPr>
          <w:p w14:paraId="0DAB0DC3" w14:textId="77777777" w:rsidR="00B33468" w:rsidRPr="002408C8" w:rsidRDefault="00B33468" w:rsidP="002408C8">
            <w:pPr>
              <w:pStyle w:val="SDMTableBoxParaNotNumbered"/>
              <w:rPr>
                <w:rFonts w:cs="Arial"/>
              </w:rPr>
            </w:pPr>
            <w:r w:rsidRPr="002408C8">
              <w:rPr>
                <w:rFonts w:cs="Arial"/>
              </w:rPr>
              <w:t>=</w:t>
            </w:r>
          </w:p>
        </w:tc>
        <w:tc>
          <w:tcPr>
            <w:tcW w:w="0" w:type="auto"/>
            <w:vAlign w:val="top"/>
          </w:tcPr>
          <w:p w14:paraId="763BA1CA" w14:textId="7E86C7AA" w:rsidR="00B33468" w:rsidRPr="002408C8" w:rsidRDefault="00B33468" w:rsidP="002408C8">
            <w:pPr>
              <w:pStyle w:val="SDMTableBoxParaNotNumbered"/>
              <w:rPr>
                <w:rFonts w:cs="Arial"/>
              </w:rPr>
            </w:pPr>
            <w:r w:rsidRPr="002408C8">
              <w:rPr>
                <w:rFonts w:cs="Arial"/>
              </w:rPr>
              <w:t xml:space="preserve">Emission factor </w:t>
            </w:r>
            <w:r w:rsidR="00276147" w:rsidRPr="002408C8">
              <w:rPr>
                <w:rFonts w:cs="Arial"/>
              </w:rPr>
              <w:t>for</w:t>
            </w:r>
            <w:r w:rsidRPr="002408C8">
              <w:rPr>
                <w:rFonts w:cs="Arial"/>
              </w:rPr>
              <w:t xml:space="preserve"> electricity consumed by the electricity consumption source</w:t>
            </w:r>
            <w:r w:rsidR="00D97A6B" w:rsidRPr="002408C8">
              <w:rPr>
                <w:rFonts w:cs="Arial"/>
              </w:rPr>
              <w:t> </w:t>
            </w:r>
            <w:r w:rsidRPr="002408C8">
              <w:rPr>
                <w:rFonts w:cs="Arial"/>
              </w:rPr>
              <w:t>s in the project scenario in hour</w:t>
            </w:r>
            <w:r w:rsidR="00D97A6B" w:rsidRPr="002408C8">
              <w:rPr>
                <w:rFonts w:cs="Arial"/>
              </w:rPr>
              <w:t> </w:t>
            </w:r>
            <w:r w:rsidRPr="002408C8">
              <w:rPr>
                <w:rFonts w:cs="Arial"/>
                <w:i/>
                <w:iCs/>
              </w:rPr>
              <w:t>h</w:t>
            </w:r>
            <w:r w:rsidRPr="002408C8">
              <w:rPr>
                <w:rFonts w:cs="Arial"/>
              </w:rPr>
              <w:t xml:space="preserve"> (</w:t>
            </w:r>
            <w:r w:rsidR="00DD74EC" w:rsidRPr="002408C8">
              <w:rPr>
                <w:rFonts w:cs="Arial"/>
              </w:rPr>
              <w:t>t</w:t>
            </w:r>
            <w:r w:rsidR="00D57E54" w:rsidRPr="002408C8">
              <w:rPr>
                <w:rFonts w:cs="Arial"/>
              </w:rPr>
              <w:t> </w:t>
            </w:r>
            <w:r w:rsidR="00DD74EC" w:rsidRPr="002408C8">
              <w:rPr>
                <w:rFonts w:cs="Arial"/>
              </w:rPr>
              <w:t>CO</w:t>
            </w:r>
            <w:r w:rsidR="00DD74EC" w:rsidRPr="002408C8">
              <w:rPr>
                <w:rFonts w:ascii="Cambria Math" w:hAnsi="Cambria Math" w:cs="Cambria Math"/>
              </w:rPr>
              <w:t>₂</w:t>
            </w:r>
            <w:r w:rsidR="00DD74EC" w:rsidRPr="002408C8">
              <w:rPr>
                <w:rFonts w:cs="Arial"/>
              </w:rPr>
              <w:t>/MWh</w:t>
            </w:r>
            <w:r w:rsidRPr="002408C8">
              <w:rPr>
                <w:rFonts w:cs="Arial"/>
              </w:rPr>
              <w:t>)</w:t>
            </w:r>
          </w:p>
        </w:tc>
      </w:tr>
      <w:tr w:rsidR="00E00C00" w:rsidRPr="002408C8" w14:paraId="468F8498" w14:textId="77777777" w:rsidTr="002408C8">
        <w:tc>
          <w:tcPr>
            <w:tcW w:w="1928" w:type="dxa"/>
            <w:vAlign w:val="top"/>
          </w:tcPr>
          <w:p w14:paraId="6137B5AF" w14:textId="77777777" w:rsidR="00E00C00" w:rsidRPr="002408C8" w:rsidRDefault="00000000" w:rsidP="002408C8">
            <w:pPr>
              <w:pStyle w:val="SDMTableBoxParaNotNumbered"/>
              <w:rPr>
                <w:rFonts w:eastAsia="DengXian" w:cs="Arial"/>
              </w:rPr>
            </w:pPr>
            <m:oMathPara>
              <m:oMathParaPr>
                <m:jc m:val="left"/>
              </m:oMathParaPr>
              <m:oMath>
                <m:sSub>
                  <m:sSubPr>
                    <m:ctrlPr>
                      <w:rPr>
                        <w:rFonts w:ascii="Cambria Math" w:hAnsi="Cambria Math" w:cs="Arial"/>
                        <w:i/>
                      </w:rPr>
                    </m:ctrlPr>
                  </m:sSubPr>
                  <m:e>
                    <m:r>
                      <w:rPr>
                        <w:rFonts w:ascii="Cambria Math" w:hAnsi="Cambria Math" w:cs="Arial"/>
                      </w:rPr>
                      <m:t>F</m:t>
                    </m:r>
                  </m:e>
                  <m:sub>
                    <m:r>
                      <w:rPr>
                        <w:rFonts w:ascii="Cambria Math" w:hAnsi="Cambria Math" w:cs="Arial"/>
                      </w:rPr>
                      <m:t>TDL,s,y</m:t>
                    </m:r>
                  </m:sub>
                </m:sSub>
              </m:oMath>
            </m:oMathPara>
          </w:p>
        </w:tc>
        <w:tc>
          <w:tcPr>
            <w:tcW w:w="345" w:type="dxa"/>
            <w:vAlign w:val="top"/>
          </w:tcPr>
          <w:p w14:paraId="3141E486" w14:textId="77777777" w:rsidR="00E00C00" w:rsidRPr="002408C8" w:rsidRDefault="00E00C00" w:rsidP="002408C8">
            <w:pPr>
              <w:pStyle w:val="SDMTableBoxParaNotNumbered"/>
              <w:rPr>
                <w:rFonts w:cs="Arial"/>
              </w:rPr>
            </w:pPr>
            <w:r w:rsidRPr="002408C8">
              <w:rPr>
                <w:rFonts w:cs="Arial"/>
              </w:rPr>
              <w:t>=</w:t>
            </w:r>
          </w:p>
        </w:tc>
        <w:tc>
          <w:tcPr>
            <w:tcW w:w="0" w:type="auto"/>
            <w:vAlign w:val="top"/>
          </w:tcPr>
          <w:p w14:paraId="47E8BC60" w14:textId="5600117E" w:rsidR="00E00C00" w:rsidRPr="002408C8" w:rsidRDefault="00E00C00" w:rsidP="002408C8">
            <w:pPr>
              <w:pStyle w:val="SDMTableBoxParaNotNumbered"/>
              <w:rPr>
                <w:rFonts w:cs="Arial"/>
              </w:rPr>
            </w:pPr>
            <w:r w:rsidRPr="002408C8">
              <w:rPr>
                <w:rFonts w:cs="Arial"/>
              </w:rPr>
              <w:t xml:space="preserve">Factor </w:t>
            </w:r>
            <w:r w:rsidR="00276147" w:rsidRPr="002408C8">
              <w:rPr>
                <w:rFonts w:cs="Arial"/>
              </w:rPr>
              <w:t>accounting</w:t>
            </w:r>
            <w:r w:rsidRPr="002408C8">
              <w:rPr>
                <w:rFonts w:cs="Arial"/>
              </w:rPr>
              <w:t xml:space="preserve"> for transmission and distribution losses applicable to</w:t>
            </w:r>
            <w:r w:rsidR="002B6F91" w:rsidRPr="002408C8">
              <w:rPr>
                <w:rFonts w:cs="Arial"/>
              </w:rPr>
              <w:t xml:space="preserve"> </w:t>
            </w:r>
            <w:r w:rsidRPr="002408C8">
              <w:rPr>
                <w:rFonts w:cs="Arial"/>
              </w:rPr>
              <w:t>source</w:t>
            </w:r>
            <w:r w:rsidR="00C934E7" w:rsidRPr="002408C8">
              <w:rPr>
                <w:rFonts w:cs="Arial"/>
              </w:rPr>
              <w:t>s</w:t>
            </w:r>
            <w:r w:rsidR="00D97A6B" w:rsidRPr="002408C8">
              <w:rPr>
                <w:rFonts w:cs="Arial"/>
              </w:rPr>
              <w:t> </w:t>
            </w:r>
            <w:r w:rsidRPr="002408C8">
              <w:rPr>
                <w:rFonts w:cs="Arial"/>
              </w:rPr>
              <w:t xml:space="preserve">s in </w:t>
            </w:r>
            <w:r w:rsidR="00647D27" w:rsidRPr="002408C8">
              <w:rPr>
                <w:rFonts w:cs="Arial"/>
              </w:rPr>
              <w:t>hour</w:t>
            </w:r>
            <w:r w:rsidR="00D97A6B" w:rsidRPr="002408C8">
              <w:rPr>
                <w:rFonts w:cs="Arial"/>
              </w:rPr>
              <w:t> </w:t>
            </w:r>
            <w:r w:rsidR="00647D27" w:rsidRPr="002408C8">
              <w:rPr>
                <w:rFonts w:cs="Arial"/>
                <w:i/>
                <w:iCs/>
              </w:rPr>
              <w:t>h</w:t>
            </w:r>
          </w:p>
        </w:tc>
      </w:tr>
      <w:tr w:rsidR="00E00C00" w:rsidRPr="002408C8" w14:paraId="295647CF" w14:textId="77777777" w:rsidTr="002408C8">
        <w:tc>
          <w:tcPr>
            <w:tcW w:w="1928" w:type="dxa"/>
            <w:vAlign w:val="top"/>
          </w:tcPr>
          <w:p w14:paraId="0ADE8D45" w14:textId="77777777" w:rsidR="00E00C00" w:rsidRPr="002408C8" w:rsidRDefault="00000DE0" w:rsidP="002408C8">
            <w:pPr>
              <w:pStyle w:val="SDMTableBoxParaNotNumbered"/>
              <w:rPr>
                <w:rFonts w:eastAsia="DengXian" w:cs="Arial"/>
              </w:rPr>
            </w:pPr>
            <m:oMathPara>
              <m:oMathParaPr>
                <m:jc m:val="left"/>
              </m:oMathParaPr>
              <m:oMath>
                <m:r>
                  <w:rPr>
                    <w:rFonts w:ascii="Cambria Math" w:hAnsi="Cambria Math" w:cs="Arial"/>
                  </w:rPr>
                  <m:t>s</m:t>
                </m:r>
              </m:oMath>
            </m:oMathPara>
          </w:p>
        </w:tc>
        <w:tc>
          <w:tcPr>
            <w:tcW w:w="345" w:type="dxa"/>
            <w:vAlign w:val="top"/>
          </w:tcPr>
          <w:p w14:paraId="16DE3F93" w14:textId="77777777" w:rsidR="00E00C00" w:rsidRPr="002408C8" w:rsidRDefault="00E00C00" w:rsidP="002408C8">
            <w:pPr>
              <w:pStyle w:val="SDMTableBoxParaNotNumbered"/>
              <w:rPr>
                <w:rFonts w:cs="Arial"/>
              </w:rPr>
            </w:pPr>
            <w:r w:rsidRPr="002408C8">
              <w:rPr>
                <w:rFonts w:cs="Arial"/>
              </w:rPr>
              <w:t>=</w:t>
            </w:r>
          </w:p>
        </w:tc>
        <w:tc>
          <w:tcPr>
            <w:tcW w:w="0" w:type="auto"/>
            <w:vAlign w:val="top"/>
          </w:tcPr>
          <w:p w14:paraId="6739A405" w14:textId="77777777" w:rsidR="00E00C00" w:rsidRPr="002408C8" w:rsidRDefault="00E00C00" w:rsidP="002408C8">
            <w:pPr>
              <w:pStyle w:val="SDMTableBoxParaNotNumbered"/>
              <w:rPr>
                <w:rFonts w:cs="Arial"/>
              </w:rPr>
            </w:pPr>
            <w:r w:rsidRPr="002408C8">
              <w:rPr>
                <w:rFonts w:cs="Arial"/>
              </w:rPr>
              <w:t>Relevant electricity generation or consumption sources</w:t>
            </w:r>
          </w:p>
        </w:tc>
      </w:tr>
      <w:tr w:rsidR="00E00C00" w:rsidRPr="002408C8" w14:paraId="5E598860" w14:textId="77777777" w:rsidTr="002408C8">
        <w:tc>
          <w:tcPr>
            <w:tcW w:w="1928" w:type="dxa"/>
            <w:vAlign w:val="top"/>
          </w:tcPr>
          <w:p w14:paraId="6E0D8A91" w14:textId="4C1F56B8" w:rsidR="00E00C00" w:rsidRPr="002408C8" w:rsidRDefault="00044B6E" w:rsidP="002408C8">
            <w:pPr>
              <w:pStyle w:val="SDMTableBoxParaNotNumbered"/>
              <w:rPr>
                <w:rFonts w:eastAsia="DengXian" w:cs="Arial"/>
              </w:rPr>
            </w:pPr>
            <m:oMathPara>
              <m:oMathParaPr>
                <m:jc m:val="left"/>
              </m:oMathParaPr>
              <m:oMath>
                <m:r>
                  <w:rPr>
                    <w:rFonts w:ascii="Cambria Math" w:eastAsia="DengXian" w:hAnsi="Cambria Math" w:cs="Arial"/>
                  </w:rPr>
                  <m:t>h</m:t>
                </m:r>
              </m:oMath>
            </m:oMathPara>
          </w:p>
        </w:tc>
        <w:tc>
          <w:tcPr>
            <w:tcW w:w="345" w:type="dxa"/>
            <w:vAlign w:val="top"/>
          </w:tcPr>
          <w:p w14:paraId="1889C9A0" w14:textId="77777777" w:rsidR="00E00C00" w:rsidRPr="002408C8" w:rsidRDefault="00E00C00" w:rsidP="002408C8">
            <w:pPr>
              <w:pStyle w:val="SDMTableBoxParaNotNumbered"/>
              <w:rPr>
                <w:rFonts w:cs="Arial"/>
              </w:rPr>
            </w:pPr>
            <w:r w:rsidRPr="002408C8">
              <w:rPr>
                <w:rFonts w:eastAsiaTheme="minorEastAsia" w:cs="Arial"/>
                <w:lang w:eastAsia="zh-CN"/>
              </w:rPr>
              <w:t>=</w:t>
            </w:r>
          </w:p>
        </w:tc>
        <w:tc>
          <w:tcPr>
            <w:tcW w:w="0" w:type="auto"/>
            <w:vAlign w:val="top"/>
          </w:tcPr>
          <w:p w14:paraId="7908B6CB" w14:textId="718792CD" w:rsidR="00E00C00" w:rsidRPr="002408C8" w:rsidRDefault="00D67F2F" w:rsidP="002408C8">
            <w:pPr>
              <w:pStyle w:val="SDMTableBoxParaNotNumbered"/>
              <w:rPr>
                <w:rFonts w:cs="Arial"/>
              </w:rPr>
            </w:pPr>
            <w:r w:rsidRPr="002408C8">
              <w:rPr>
                <w:rFonts w:eastAsiaTheme="minorEastAsia" w:cs="Arial"/>
                <w:lang w:eastAsia="zh-CN"/>
              </w:rPr>
              <w:t xml:space="preserve">All hours </w:t>
            </w:r>
            <w:r w:rsidR="00125CEB" w:rsidRPr="002408C8">
              <w:rPr>
                <w:rFonts w:eastAsiaTheme="minorEastAsia" w:cs="Arial"/>
                <w:lang w:eastAsia="zh-CN"/>
              </w:rPr>
              <w:t xml:space="preserve">within </w:t>
            </w:r>
            <w:r w:rsidR="00647D27" w:rsidRPr="002408C8">
              <w:rPr>
                <w:rFonts w:eastAsiaTheme="minorEastAsia" w:cs="Arial"/>
                <w:lang w:eastAsia="zh-CN"/>
              </w:rPr>
              <w:t xml:space="preserve">the </w:t>
            </w:r>
            <w:r w:rsidR="00C934E7" w:rsidRPr="002408C8">
              <w:rPr>
                <w:rFonts w:eastAsiaTheme="minorEastAsia" w:cs="Arial"/>
                <w:lang w:eastAsia="zh-CN"/>
              </w:rPr>
              <w:t xml:space="preserve">calendar </w:t>
            </w:r>
            <w:r w:rsidR="00647D27" w:rsidRPr="002408C8">
              <w:rPr>
                <w:rFonts w:eastAsiaTheme="minorEastAsia" w:cs="Arial"/>
                <w:lang w:eastAsia="zh-CN"/>
              </w:rPr>
              <w:t>year</w:t>
            </w:r>
            <w:r w:rsidR="00D97A6B" w:rsidRPr="002408C8">
              <w:rPr>
                <w:rFonts w:eastAsiaTheme="minorEastAsia" w:cs="Arial"/>
                <w:lang w:eastAsia="zh-CN"/>
              </w:rPr>
              <w:t> </w:t>
            </w:r>
            <w:r w:rsidR="00647D27" w:rsidRPr="002408C8">
              <w:rPr>
                <w:rFonts w:eastAsiaTheme="minorEastAsia" w:cs="Arial"/>
                <w:i/>
                <w:iCs/>
                <w:lang w:eastAsia="zh-CN"/>
              </w:rPr>
              <w:t>y</w:t>
            </w:r>
          </w:p>
        </w:tc>
      </w:tr>
      <w:tr w:rsidR="00E00C00" w:rsidRPr="002408C8" w14:paraId="2935A8BE" w14:textId="77777777" w:rsidTr="002408C8">
        <w:tc>
          <w:tcPr>
            <w:tcW w:w="1928" w:type="dxa"/>
            <w:vAlign w:val="top"/>
          </w:tcPr>
          <w:p w14:paraId="2BD1A3D1" w14:textId="77777777" w:rsidR="00E00C00" w:rsidRPr="002408C8" w:rsidRDefault="00000DE0" w:rsidP="002408C8">
            <w:pPr>
              <w:pStyle w:val="SDMTableBoxParaNotNumbered"/>
              <w:rPr>
                <w:rFonts w:eastAsia="DengXian" w:cs="Arial"/>
              </w:rPr>
            </w:pPr>
            <m:oMathPara>
              <m:oMathParaPr>
                <m:jc m:val="left"/>
              </m:oMathParaPr>
              <m:oMath>
                <m:r>
                  <w:rPr>
                    <w:rFonts w:ascii="Cambria Math" w:hAnsi="Cambria Math" w:cs="Arial"/>
                  </w:rPr>
                  <m:t>y</m:t>
                </m:r>
              </m:oMath>
            </m:oMathPara>
          </w:p>
        </w:tc>
        <w:tc>
          <w:tcPr>
            <w:tcW w:w="345" w:type="dxa"/>
            <w:vAlign w:val="top"/>
          </w:tcPr>
          <w:p w14:paraId="248653B5" w14:textId="77777777" w:rsidR="00E00C00" w:rsidRPr="002408C8" w:rsidRDefault="00E00C00" w:rsidP="002408C8">
            <w:pPr>
              <w:pStyle w:val="SDMTableBoxParaNotNumbered"/>
              <w:rPr>
                <w:rFonts w:cs="Arial"/>
              </w:rPr>
            </w:pPr>
            <w:r w:rsidRPr="002408C8">
              <w:rPr>
                <w:rFonts w:eastAsiaTheme="minorEastAsia" w:cs="Arial"/>
                <w:lang w:eastAsia="zh-CN"/>
              </w:rPr>
              <w:t>=</w:t>
            </w:r>
          </w:p>
        </w:tc>
        <w:tc>
          <w:tcPr>
            <w:tcW w:w="0" w:type="auto"/>
            <w:vAlign w:val="top"/>
          </w:tcPr>
          <w:p w14:paraId="504604DE" w14:textId="77777777" w:rsidR="00E00C00" w:rsidRPr="002408C8" w:rsidRDefault="00E00C00" w:rsidP="002408C8">
            <w:pPr>
              <w:pStyle w:val="SDMTableBoxParaNotNumbered"/>
              <w:rPr>
                <w:rFonts w:cs="Arial"/>
              </w:rPr>
            </w:pPr>
            <w:r w:rsidRPr="002408C8">
              <w:rPr>
                <w:rFonts w:eastAsiaTheme="minorEastAsia" w:cs="Arial"/>
                <w:lang w:eastAsia="zh-CN"/>
              </w:rPr>
              <w:t>Calendar year of the crediting period for which emission reductions are determined</w:t>
            </w:r>
          </w:p>
        </w:tc>
      </w:tr>
    </w:tbl>
    <w:p w14:paraId="0A9750AD" w14:textId="0FA4579A" w:rsidR="0BBB0979" w:rsidRDefault="0BBB0979">
      <w:pPr>
        <w:pStyle w:val="SDMHead2"/>
        <w:rPr>
          <w:rFonts w:eastAsia="Arial"/>
          <w:bCs/>
        </w:rPr>
      </w:pPr>
      <w:bookmarkStart w:id="684" w:name="_Toc215923337"/>
      <w:bookmarkStart w:id="685" w:name="_Toc216093033"/>
      <w:bookmarkStart w:id="686" w:name="_Ref216179302"/>
      <w:bookmarkStart w:id="687" w:name="_Toc216271762"/>
      <w:bookmarkStart w:id="688" w:name="_Toc216279379"/>
      <w:bookmarkStart w:id="689" w:name="_Toc216283417"/>
      <w:bookmarkStart w:id="690" w:name="_Toc216288035"/>
      <w:bookmarkStart w:id="691" w:name="_Toc219666142"/>
      <w:bookmarkStart w:id="692" w:name="_Toc220001402"/>
      <w:bookmarkStart w:id="693" w:name="_Ref221038823"/>
      <w:bookmarkStart w:id="694" w:name="_Toc221096426"/>
      <w:bookmarkStart w:id="695" w:name="_Toc221097978"/>
      <w:bookmarkStart w:id="696" w:name="_Toc221116274"/>
      <w:bookmarkStart w:id="697" w:name="_Toc221117290"/>
      <w:bookmarkStart w:id="698" w:name="_Toc222132128"/>
      <w:bookmarkStart w:id="699" w:name="_Toc222494929"/>
      <w:bookmarkStart w:id="700" w:name="_Toc222512445"/>
      <w:bookmarkStart w:id="701" w:name="_Toc222741765"/>
      <w:r w:rsidRPr="65ED4667">
        <w:rPr>
          <w:rFonts w:eastAsia="Arial"/>
          <w:bCs/>
        </w:rPr>
        <w:t>Uncertainty determination</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14:paraId="69FEB38B" w14:textId="25FEAF50" w:rsidR="00CA53C1" w:rsidRDefault="00CA53C1">
      <w:pPr>
        <w:pStyle w:val="SDMPara"/>
        <w:rPr>
          <w:rFonts w:eastAsia="Arial"/>
        </w:rPr>
      </w:pPr>
      <w:r>
        <w:rPr>
          <w:rFonts w:eastAsia="Arial"/>
        </w:rPr>
        <w:t xml:space="preserve">Activity participants shall determine the uncertainty </w:t>
      </w:r>
      <w:r w:rsidR="00924ACF">
        <w:rPr>
          <w:rFonts w:eastAsia="Arial"/>
        </w:rPr>
        <w:t>of the emissions</w:t>
      </w:r>
      <w:r w:rsidR="002643BB">
        <w:rPr>
          <w:rFonts w:eastAsia="Arial"/>
        </w:rPr>
        <w:t xml:space="preserve"> or emission factors</w:t>
      </w:r>
      <w:r w:rsidR="00924ACF">
        <w:rPr>
          <w:rFonts w:eastAsia="Arial"/>
        </w:rPr>
        <w:t xml:space="preserve"> </w:t>
      </w:r>
      <w:r w:rsidR="006D47BC">
        <w:rPr>
          <w:rFonts w:eastAsia="Arial"/>
        </w:rPr>
        <w:t>from</w:t>
      </w:r>
      <w:r w:rsidR="00924ACF">
        <w:rPr>
          <w:rFonts w:eastAsia="Arial"/>
        </w:rPr>
        <w:t xml:space="preserve"> electricity generation and/or consumption</w:t>
      </w:r>
      <w:r w:rsidR="00E52ADE">
        <w:rPr>
          <w:rFonts w:eastAsia="Arial"/>
        </w:rPr>
        <w:t>,</w:t>
      </w:r>
      <w:r w:rsidR="00924ACF">
        <w:rPr>
          <w:rFonts w:eastAsia="Arial"/>
        </w:rPr>
        <w:t xml:space="preserve"> unless otherwise specified by the mechanism methodology referring to this tool.</w:t>
      </w:r>
      <w:r w:rsidR="00226627">
        <w:rPr>
          <w:rFonts w:eastAsia="Arial"/>
        </w:rPr>
        <w:t xml:space="preserve"> The </w:t>
      </w:r>
      <w:r w:rsidR="00B95DB3">
        <w:rPr>
          <w:rFonts w:eastAsia="Arial"/>
        </w:rPr>
        <w:t xml:space="preserve">determined </w:t>
      </w:r>
      <w:r w:rsidR="00226627">
        <w:rPr>
          <w:rFonts w:eastAsia="Arial"/>
        </w:rPr>
        <w:t>uncertainty shall then be used in the calculation</w:t>
      </w:r>
      <w:r w:rsidR="00B95DB3">
        <w:rPr>
          <w:rFonts w:eastAsia="Arial"/>
        </w:rPr>
        <w:t>s</w:t>
      </w:r>
      <w:r w:rsidR="00226627">
        <w:rPr>
          <w:rFonts w:eastAsia="Arial"/>
        </w:rPr>
        <w:t>, as specified by the mechanism methodology.</w:t>
      </w:r>
    </w:p>
    <w:p w14:paraId="6B3ACC43" w14:textId="126F4967" w:rsidR="0BBB0979" w:rsidRPr="00C16DC3" w:rsidRDefault="56DC65DE">
      <w:pPr>
        <w:pStyle w:val="SDMPara"/>
        <w:rPr>
          <w:rFonts w:eastAsia="Arial"/>
        </w:rPr>
      </w:pPr>
      <w:r w:rsidRPr="0084485C">
        <w:t>The</w:t>
      </w:r>
      <w:r w:rsidRPr="3C60DA00">
        <w:rPr>
          <w:rFonts w:eastAsia="Arial"/>
        </w:rPr>
        <w:t xml:space="preserve"> uncertainty shall be determined by considering the uncertainty </w:t>
      </w:r>
      <w:r w:rsidR="00046AAA">
        <w:rPr>
          <w:rFonts w:eastAsia="Arial"/>
        </w:rPr>
        <w:t>associated with the</w:t>
      </w:r>
      <w:r w:rsidR="00046AAA" w:rsidRPr="3C60DA00">
        <w:rPr>
          <w:rFonts w:eastAsia="Arial"/>
        </w:rPr>
        <w:t xml:space="preserve"> </w:t>
      </w:r>
      <w:r w:rsidRPr="3C60DA00">
        <w:rPr>
          <w:rFonts w:eastAsia="Arial"/>
        </w:rPr>
        <w:t>method</w:t>
      </w:r>
      <w:r w:rsidR="002706F5">
        <w:rPr>
          <w:rFonts w:eastAsia="Arial"/>
        </w:rPr>
        <w:t>s</w:t>
      </w:r>
      <w:r w:rsidRPr="3C60DA00">
        <w:rPr>
          <w:rFonts w:eastAsia="Arial"/>
        </w:rPr>
        <w:t xml:space="preserve">, </w:t>
      </w:r>
      <w:r w:rsidR="005B0A4F">
        <w:rPr>
          <w:rFonts w:eastAsia="Arial"/>
        </w:rPr>
        <w:t>assumptions,</w:t>
      </w:r>
      <w:r w:rsidR="00A35DA7">
        <w:rPr>
          <w:rFonts w:eastAsia="Arial"/>
        </w:rPr>
        <w:t xml:space="preserve"> </w:t>
      </w:r>
      <w:r w:rsidRPr="3C60DA00">
        <w:rPr>
          <w:rFonts w:eastAsia="Arial"/>
        </w:rPr>
        <w:t>data</w:t>
      </w:r>
      <w:r w:rsidR="006756B2">
        <w:rPr>
          <w:rFonts w:eastAsia="Arial"/>
        </w:rPr>
        <w:t>,</w:t>
      </w:r>
      <w:r w:rsidRPr="3C60DA00">
        <w:rPr>
          <w:rFonts w:eastAsia="Arial"/>
        </w:rPr>
        <w:t xml:space="preserve"> and measurements </w:t>
      </w:r>
      <w:r w:rsidR="00A35DA7" w:rsidRPr="6BC00673">
        <w:rPr>
          <w:rFonts w:eastAsia="Arial"/>
        </w:rPr>
        <w:t>used</w:t>
      </w:r>
      <w:r w:rsidRPr="3C60DA00">
        <w:rPr>
          <w:rFonts w:eastAsia="Arial"/>
        </w:rPr>
        <w:t>, following the guidance of Volume</w:t>
      </w:r>
      <w:r w:rsidR="00B23B70">
        <w:rPr>
          <w:rFonts w:eastAsia="Arial"/>
        </w:rPr>
        <w:t> </w:t>
      </w:r>
      <w:r w:rsidRPr="3C60DA00">
        <w:rPr>
          <w:rFonts w:eastAsia="Arial"/>
        </w:rPr>
        <w:t>1, Chapter</w:t>
      </w:r>
      <w:r w:rsidR="00B23B70">
        <w:rPr>
          <w:rFonts w:eastAsia="Arial"/>
        </w:rPr>
        <w:t> </w:t>
      </w:r>
      <w:r w:rsidRPr="3C60DA00">
        <w:rPr>
          <w:rFonts w:eastAsia="Arial"/>
        </w:rPr>
        <w:t xml:space="preserve">3 of the 2019 </w:t>
      </w:r>
      <w:r w:rsidR="00841EB4">
        <w:rPr>
          <w:rFonts w:eastAsia="Arial"/>
        </w:rPr>
        <w:t>R</w:t>
      </w:r>
      <w:r w:rsidR="00841EB4" w:rsidRPr="3C60DA00">
        <w:rPr>
          <w:rFonts w:eastAsia="Arial"/>
        </w:rPr>
        <w:t>efinement</w:t>
      </w:r>
      <w:r w:rsidR="00AE7385">
        <w:rPr>
          <w:rFonts w:eastAsia="Arial"/>
        </w:rPr>
        <w:t xml:space="preserve"> of the 2006 IPCC Guidelines</w:t>
      </w:r>
      <w:r w:rsidRPr="3C60DA00">
        <w:rPr>
          <w:rFonts w:eastAsia="Arial"/>
        </w:rPr>
        <w:t xml:space="preserve">. The uncertainty shall be expressed as the standard error of the mean </w:t>
      </w:r>
      <w:r w:rsidR="5A10A1D3" w:rsidRPr="00BE10EB">
        <w:rPr>
          <w:rFonts w:eastAsia="Arial"/>
        </w:rPr>
        <w:t>and incorporated into the uncertainty calculations</w:t>
      </w:r>
      <w:r w:rsidR="5A10A1D3" w:rsidRPr="00C865D3">
        <w:rPr>
          <w:rFonts w:eastAsia="Arial"/>
        </w:rPr>
        <w:t xml:space="preserve"> </w:t>
      </w:r>
      <w:r w:rsidR="47C3743A" w:rsidRPr="00C865D3">
        <w:rPr>
          <w:rFonts w:eastAsia="Arial"/>
        </w:rPr>
        <w:t>as specified by</w:t>
      </w:r>
      <w:r w:rsidR="5A10A1D3" w:rsidRPr="00C865D3">
        <w:rPr>
          <w:rFonts w:eastAsia="Arial"/>
        </w:rPr>
        <w:t xml:space="preserve"> the mechanism methodology.</w:t>
      </w:r>
      <w:r w:rsidR="5A10A1D3">
        <w:rPr>
          <w:rFonts w:eastAsia="Arial"/>
        </w:rPr>
        <w:t xml:space="preserve"> </w:t>
      </w:r>
      <w:r w:rsidRPr="3C60DA00">
        <w:rPr>
          <w:rFonts w:eastAsia="Arial"/>
        </w:rPr>
        <w:t xml:space="preserve">For </w:t>
      </w:r>
      <w:r w:rsidR="007F24E2">
        <w:rPr>
          <w:rFonts w:eastAsia="Arial"/>
        </w:rPr>
        <w:t>both</w:t>
      </w:r>
      <w:r w:rsidRPr="3C60DA00" w:rsidDel="000A4A25">
        <w:rPr>
          <w:rFonts w:eastAsia="Arial"/>
        </w:rPr>
        <w:t xml:space="preserve"> </w:t>
      </w:r>
      <w:r w:rsidR="000A4A25" w:rsidRPr="000A4A25">
        <w:rPr>
          <w:rFonts w:eastAsia="Arial"/>
          <w:b/>
          <w:bCs/>
        </w:rPr>
        <w:t>case</w:t>
      </w:r>
      <w:r w:rsidR="00B63033">
        <w:rPr>
          <w:rFonts w:eastAsia="Arial"/>
          <w:b/>
          <w:bCs/>
        </w:rPr>
        <w:t> </w:t>
      </w:r>
      <w:r w:rsidRPr="000A4A25">
        <w:rPr>
          <w:rFonts w:eastAsia="Arial"/>
          <w:b/>
          <w:bCs/>
        </w:rPr>
        <w:t>1</w:t>
      </w:r>
      <w:r w:rsidRPr="3C60DA00">
        <w:rPr>
          <w:rFonts w:eastAsia="Arial"/>
        </w:rPr>
        <w:t xml:space="preserve"> and </w:t>
      </w:r>
      <w:r w:rsidR="000A4A25" w:rsidRPr="000A4A25">
        <w:rPr>
          <w:rFonts w:eastAsia="Arial"/>
          <w:b/>
          <w:bCs/>
        </w:rPr>
        <w:t>case</w:t>
      </w:r>
      <w:r w:rsidR="00B63033">
        <w:rPr>
          <w:rFonts w:eastAsia="Arial"/>
          <w:b/>
          <w:bCs/>
        </w:rPr>
        <w:t> </w:t>
      </w:r>
      <w:r w:rsidRPr="000A4A25">
        <w:rPr>
          <w:rFonts w:eastAsia="Arial"/>
          <w:b/>
          <w:bCs/>
        </w:rPr>
        <w:t>2</w:t>
      </w:r>
      <w:r w:rsidRPr="3C60DA00">
        <w:rPr>
          <w:rFonts w:eastAsia="Arial"/>
        </w:rPr>
        <w:t xml:space="preserve">, the upper and </w:t>
      </w:r>
      <w:r w:rsidR="007F24E2">
        <w:rPr>
          <w:rFonts w:eastAsia="Arial"/>
        </w:rPr>
        <w:t>the</w:t>
      </w:r>
      <w:r w:rsidRPr="3C60DA00">
        <w:rPr>
          <w:rFonts w:eastAsia="Arial"/>
        </w:rPr>
        <w:t xml:space="preserve"> lower bound of the uncertainty </w:t>
      </w:r>
      <w:r w:rsidR="004F0E88" w:rsidRPr="6BC00673">
        <w:rPr>
          <w:rFonts w:eastAsia="Arial"/>
        </w:rPr>
        <w:t>at</w:t>
      </w:r>
      <w:r w:rsidRPr="3C60DA00" w:rsidDel="005856D1">
        <w:rPr>
          <w:rFonts w:eastAsia="Arial"/>
        </w:rPr>
        <w:t xml:space="preserve"> </w:t>
      </w:r>
      <w:r w:rsidR="005856D1">
        <w:rPr>
          <w:rFonts w:eastAsia="Arial"/>
        </w:rPr>
        <w:t>a</w:t>
      </w:r>
      <w:r w:rsidR="005856D1" w:rsidRPr="3C60DA00">
        <w:rPr>
          <w:rFonts w:eastAsia="Arial"/>
        </w:rPr>
        <w:t xml:space="preserve"> </w:t>
      </w:r>
      <w:r w:rsidRPr="3C60DA00">
        <w:rPr>
          <w:rFonts w:eastAsia="Arial"/>
        </w:rPr>
        <w:t>95 per</w:t>
      </w:r>
      <w:r w:rsidR="000A4A25">
        <w:rPr>
          <w:rFonts w:eastAsia="Arial"/>
        </w:rPr>
        <w:t xml:space="preserve"> </w:t>
      </w:r>
      <w:r w:rsidRPr="3C60DA00">
        <w:rPr>
          <w:rFonts w:eastAsia="Arial"/>
        </w:rPr>
        <w:t xml:space="preserve">cent confidence interval shall be </w:t>
      </w:r>
      <w:r w:rsidR="007F24E2">
        <w:rPr>
          <w:rFonts w:eastAsia="Arial"/>
        </w:rPr>
        <w:t>specified</w:t>
      </w:r>
      <w:r w:rsidRPr="3C60DA00">
        <w:rPr>
          <w:rFonts w:eastAsia="Arial"/>
        </w:rPr>
        <w:t>.</w:t>
      </w:r>
    </w:p>
    <w:p w14:paraId="49BB0E57" w14:textId="77777777" w:rsidR="152A3BA4" w:rsidRDefault="0002236A" w:rsidP="00C72647">
      <w:pPr>
        <w:pStyle w:val="SDMPara"/>
        <w:keepNext/>
        <w:rPr>
          <w:rFonts w:eastAsia="Arial"/>
        </w:rPr>
      </w:pPr>
      <w:r>
        <w:rPr>
          <w:rFonts w:eastAsia="Arial"/>
        </w:rPr>
        <w:t xml:space="preserve">Specifically, </w:t>
      </w:r>
      <w:r w:rsidRPr="6BC00673">
        <w:rPr>
          <w:rFonts w:eastAsia="Arial"/>
        </w:rPr>
        <w:t>t</w:t>
      </w:r>
      <w:r w:rsidR="152A3BA4" w:rsidRPr="6BC00673">
        <w:rPr>
          <w:rFonts w:eastAsia="Arial"/>
        </w:rPr>
        <w:t xml:space="preserve">he </w:t>
      </w:r>
      <w:r w:rsidR="009B5AFC">
        <w:rPr>
          <w:rFonts w:eastAsia="Arial"/>
        </w:rPr>
        <w:t xml:space="preserve">following sources of </w:t>
      </w:r>
      <w:r w:rsidR="152A3BA4" w:rsidRPr="3C60DA00">
        <w:rPr>
          <w:rFonts w:eastAsia="Arial"/>
        </w:rPr>
        <w:t>uncertainty shall be consider</w:t>
      </w:r>
      <w:r w:rsidR="009B5AFC">
        <w:rPr>
          <w:rFonts w:eastAsia="Arial"/>
        </w:rPr>
        <w:t>ed</w:t>
      </w:r>
      <w:r w:rsidR="00E7553E">
        <w:rPr>
          <w:rFonts w:eastAsia="Arial"/>
        </w:rPr>
        <w:t xml:space="preserve"> in the quantification of </w:t>
      </w:r>
      <w:r w:rsidR="00E7553E" w:rsidRPr="6BC00673">
        <w:rPr>
          <w:rFonts w:eastAsia="Arial"/>
        </w:rPr>
        <w:t>uncertainty</w:t>
      </w:r>
      <w:r w:rsidR="152A3BA4" w:rsidRPr="3C60DA00">
        <w:rPr>
          <w:rFonts w:eastAsia="Arial"/>
        </w:rPr>
        <w:t>:</w:t>
      </w:r>
    </w:p>
    <w:p w14:paraId="2821FDF1" w14:textId="0A4BBB15" w:rsidR="152A3BA4" w:rsidRDefault="000A4A25" w:rsidP="00C72647">
      <w:pPr>
        <w:pStyle w:val="SDMSubPara1"/>
        <w:keepNext/>
        <w:rPr>
          <w:rFonts w:eastAsia="Arial"/>
        </w:rPr>
      </w:pPr>
      <w:r w:rsidRPr="000A4A25">
        <w:rPr>
          <w:rFonts w:eastAsia="Arial"/>
          <w:b/>
          <w:bCs/>
        </w:rPr>
        <w:t>U</w:t>
      </w:r>
      <w:r w:rsidR="152A3BA4" w:rsidRPr="000A4A25">
        <w:rPr>
          <w:rFonts w:eastAsia="Arial"/>
          <w:b/>
          <w:bCs/>
        </w:rPr>
        <w:t>ncertainty of input data</w:t>
      </w:r>
      <w:r w:rsidR="00D02644">
        <w:rPr>
          <w:rFonts w:eastAsia="Arial"/>
        </w:rPr>
        <w:t>,</w:t>
      </w:r>
      <w:r w:rsidR="152A3BA4" w:rsidRPr="3C60DA00" w:rsidDel="00D02644">
        <w:rPr>
          <w:rFonts w:eastAsia="Arial"/>
        </w:rPr>
        <w:t xml:space="preserve"> </w:t>
      </w:r>
      <w:r w:rsidR="00D02644" w:rsidRPr="3C60DA00">
        <w:rPr>
          <w:rFonts w:eastAsia="Arial"/>
        </w:rPr>
        <w:t>includ</w:t>
      </w:r>
      <w:r w:rsidR="00D02644">
        <w:rPr>
          <w:rFonts w:eastAsia="Arial"/>
        </w:rPr>
        <w:t>ing</w:t>
      </w:r>
      <w:r w:rsidR="00D02644" w:rsidRPr="3C60DA00">
        <w:rPr>
          <w:rFonts w:eastAsia="Arial"/>
        </w:rPr>
        <w:t xml:space="preserve"> </w:t>
      </w:r>
      <w:r w:rsidR="152A3BA4" w:rsidRPr="3C60DA00">
        <w:rPr>
          <w:rFonts w:eastAsia="Arial"/>
        </w:rPr>
        <w:t xml:space="preserve">the uncertainty </w:t>
      </w:r>
      <w:r w:rsidR="002F51D8">
        <w:rPr>
          <w:rFonts w:eastAsia="Arial"/>
        </w:rPr>
        <w:t xml:space="preserve">associated with </w:t>
      </w:r>
      <w:r w:rsidR="152A3BA4" w:rsidRPr="3C60DA00">
        <w:rPr>
          <w:rFonts w:eastAsia="Arial"/>
        </w:rPr>
        <w:t>measurement</w:t>
      </w:r>
      <w:r w:rsidR="002F51D8">
        <w:rPr>
          <w:rFonts w:eastAsia="Arial"/>
        </w:rPr>
        <w:t>s</w:t>
      </w:r>
      <w:r w:rsidR="152A3BA4" w:rsidRPr="3C60DA00">
        <w:rPr>
          <w:rFonts w:eastAsia="Arial"/>
        </w:rPr>
        <w:t xml:space="preserve"> </w:t>
      </w:r>
      <w:r w:rsidR="00465163">
        <w:rPr>
          <w:rFonts w:eastAsia="Arial"/>
        </w:rPr>
        <w:t xml:space="preserve">or default values </w:t>
      </w:r>
      <w:r w:rsidR="00E7553E">
        <w:rPr>
          <w:rFonts w:eastAsia="Arial"/>
        </w:rPr>
        <w:t xml:space="preserve">(unless the default values explicitly represent conservative default values) </w:t>
      </w:r>
      <w:r w:rsidR="152A3BA4" w:rsidRPr="6BC00673">
        <w:rPr>
          <w:rFonts w:eastAsia="Arial"/>
        </w:rPr>
        <w:t>used</w:t>
      </w:r>
      <w:r w:rsidR="152A3BA4" w:rsidRPr="3C60DA00" w:rsidDel="00F0214C">
        <w:rPr>
          <w:rFonts w:eastAsia="Arial"/>
        </w:rPr>
        <w:t xml:space="preserve"> </w:t>
      </w:r>
      <w:r w:rsidR="00F0214C">
        <w:rPr>
          <w:rFonts w:eastAsia="Arial"/>
        </w:rPr>
        <w:t>in</w:t>
      </w:r>
      <w:r w:rsidR="00F0214C" w:rsidRPr="3C60DA00">
        <w:rPr>
          <w:rFonts w:eastAsia="Arial"/>
        </w:rPr>
        <w:t xml:space="preserve"> </w:t>
      </w:r>
      <w:r w:rsidR="152A3BA4" w:rsidRPr="3C60DA00">
        <w:rPr>
          <w:rFonts w:eastAsia="Arial"/>
        </w:rPr>
        <w:t>the</w:t>
      </w:r>
      <w:r w:rsidR="00DC7A51">
        <w:rPr>
          <w:rFonts w:eastAsia="Arial"/>
        </w:rPr>
        <w:t xml:space="preserve"> calculation</w:t>
      </w:r>
      <w:r w:rsidR="00D40E58">
        <w:rPr>
          <w:rFonts w:eastAsia="Arial"/>
        </w:rPr>
        <w:t>s</w:t>
      </w:r>
      <w:r w:rsidR="152A3BA4" w:rsidRPr="6BC00673">
        <w:rPr>
          <w:rFonts w:eastAsia="Arial"/>
        </w:rPr>
        <w:t>.</w:t>
      </w:r>
      <w:r w:rsidR="152A3BA4" w:rsidRPr="3C60DA00">
        <w:rPr>
          <w:rFonts w:eastAsia="Arial"/>
        </w:rPr>
        <w:t xml:space="preserve"> Such data include:</w:t>
      </w:r>
    </w:p>
    <w:p w14:paraId="3B17D454" w14:textId="2FB1F5FD" w:rsidR="152A3BA4" w:rsidRPr="000F7724" w:rsidRDefault="00026EDA">
      <w:pPr>
        <w:pStyle w:val="SDMSubPara2"/>
      </w:pPr>
      <w:r w:rsidRPr="00A048B4">
        <w:t>D</w:t>
      </w:r>
      <w:r w:rsidR="74BB0366" w:rsidRPr="000F7724">
        <w:t xml:space="preserve">ata </w:t>
      </w:r>
      <w:r w:rsidR="00A92872" w:rsidRPr="000F7724">
        <w:t xml:space="preserve">related to </w:t>
      </w:r>
      <w:r w:rsidR="74BB0366" w:rsidRPr="000F7724">
        <w:t>power unit</w:t>
      </w:r>
      <w:r w:rsidR="008B7E8F" w:rsidRPr="000F7724">
        <w:t>s</w:t>
      </w:r>
      <w:r w:rsidR="00B31969" w:rsidRPr="000F7724">
        <w:t xml:space="preserve"> </w:t>
      </w:r>
      <w:r w:rsidR="00C063BA" w:rsidRPr="000F7724">
        <w:t>in</w:t>
      </w:r>
      <w:r w:rsidR="74BB0366" w:rsidRPr="000F7724">
        <w:t xml:space="preserve"> the electricity system and</w:t>
      </w:r>
      <w:r w:rsidR="00C063BA" w:rsidRPr="000F7724">
        <w:t>/or</w:t>
      </w:r>
      <w:r w:rsidR="74BB0366" w:rsidRPr="000F7724">
        <w:t xml:space="preserve"> </w:t>
      </w:r>
      <w:r w:rsidR="0943509E">
        <w:t xml:space="preserve">fossil-fuel fired </w:t>
      </w:r>
      <w:r w:rsidR="74BB0366" w:rsidRPr="000F7724">
        <w:t>captive power plant</w:t>
      </w:r>
      <w:r w:rsidR="00C063BA" w:rsidRPr="000F7724">
        <w:t>s</w:t>
      </w:r>
      <w:r w:rsidR="74BB0366" w:rsidRPr="000F7724">
        <w:t>, such as the amount</w:t>
      </w:r>
      <w:r w:rsidRPr="000F7724">
        <w:t xml:space="preserve"> of fuel consumed</w:t>
      </w:r>
      <w:r w:rsidR="74BB0366" w:rsidRPr="000F7724">
        <w:t>, net calorific values</w:t>
      </w:r>
      <w:r w:rsidR="008133F8" w:rsidRPr="000F7724">
        <w:t>,</w:t>
      </w:r>
      <w:r w:rsidR="74BB0366" w:rsidRPr="000F7724">
        <w:t xml:space="preserve"> emission factor</w:t>
      </w:r>
      <w:r w:rsidR="00B27417" w:rsidRPr="000F7724">
        <w:t>s</w:t>
      </w:r>
      <w:r w:rsidR="74BB0366" w:rsidRPr="000F7724">
        <w:t xml:space="preserve"> of fuel</w:t>
      </w:r>
      <w:r w:rsidR="008133F8" w:rsidRPr="000F7724">
        <w:t>s</w:t>
      </w:r>
      <w:r w:rsidR="74BB0366" w:rsidRPr="000F7724">
        <w:t>,</w:t>
      </w:r>
      <w:r w:rsidR="00C430F6" w:rsidRPr="000F7724" w:rsidDel="008133F8">
        <w:t xml:space="preserve"> </w:t>
      </w:r>
      <w:r w:rsidR="74BB0366" w:rsidRPr="000F7724">
        <w:t>electricity generation</w:t>
      </w:r>
      <w:r w:rsidR="00E82EF8" w:rsidRPr="000F7724">
        <w:t>,</w:t>
      </w:r>
      <w:r w:rsidR="74BB0366" w:rsidRPr="000F7724">
        <w:t xml:space="preserve"> and </w:t>
      </w:r>
      <w:r w:rsidR="00C430F6" w:rsidRPr="000F7724">
        <w:t xml:space="preserve">conversion </w:t>
      </w:r>
      <w:r w:rsidR="74BB0366" w:rsidRPr="000F7724">
        <w:t>efficiency</w:t>
      </w:r>
      <w:r w:rsidR="00C430F6" w:rsidRPr="000F7724">
        <w:t xml:space="preserve"> of power plant</w:t>
      </w:r>
      <w:r w:rsidR="00E82EF8" w:rsidRPr="000F7724">
        <w:t>s</w:t>
      </w:r>
      <w:r w:rsidR="74BB0366" w:rsidRPr="000F7724">
        <w:t>;</w:t>
      </w:r>
    </w:p>
    <w:p w14:paraId="1C3962D3" w14:textId="5D258543" w:rsidR="00962F84" w:rsidRPr="000F7724" w:rsidRDefault="00E82EF8">
      <w:pPr>
        <w:pStyle w:val="SDMSubPara2"/>
      </w:pPr>
      <w:r w:rsidRPr="000F7724">
        <w:t>D</w:t>
      </w:r>
      <w:r w:rsidR="74BB0366" w:rsidRPr="000F7724">
        <w:t>ata used to determine transmission and distribution loss</w:t>
      </w:r>
      <w:r w:rsidR="00E92521" w:rsidRPr="000F7724">
        <w:t>es</w:t>
      </w:r>
      <w:r w:rsidR="74BB0366" w:rsidRPr="000F7724">
        <w:t>, such as total electricity generation and consumption within the electricity system</w:t>
      </w:r>
      <w:r w:rsidR="00962F84" w:rsidRPr="000F7724">
        <w:t>;</w:t>
      </w:r>
      <w:r w:rsidR="00F905E8" w:rsidRPr="000F7724">
        <w:t xml:space="preserve"> and</w:t>
      </w:r>
    </w:p>
    <w:p w14:paraId="6090F6FE" w14:textId="668C4883" w:rsidR="152A3BA4" w:rsidRPr="000F7724" w:rsidRDefault="00F905E8">
      <w:pPr>
        <w:pStyle w:val="SDMSubPara2"/>
      </w:pPr>
      <w:r w:rsidRPr="000F7724">
        <w:t>M</w:t>
      </w:r>
      <w:r w:rsidR="004B473D" w:rsidRPr="000F7724">
        <w:t>easurements</w:t>
      </w:r>
      <w:r w:rsidRPr="000F7724">
        <w:t xml:space="preserve"> of electricity generation and/or consumption</w:t>
      </w:r>
      <w:r w:rsidR="000C63F6" w:rsidRPr="000F7724">
        <w:t xml:space="preserve"> by equipment operated under the Article 6.4 activity or in the baseline scenario</w:t>
      </w:r>
      <w:r w:rsidR="00202D85" w:rsidRPr="000F7724">
        <w:t>;</w:t>
      </w:r>
      <w:r w:rsidR="00B4035F" w:rsidRPr="000F7724">
        <w:t xml:space="preserve"> and</w:t>
      </w:r>
    </w:p>
    <w:p w14:paraId="34604CE9" w14:textId="61C30857" w:rsidR="152A3BA4" w:rsidRDefault="00E82EF8">
      <w:pPr>
        <w:pStyle w:val="SDMSubPara1"/>
        <w:rPr>
          <w:rFonts w:eastAsia="Arial"/>
        </w:rPr>
      </w:pPr>
      <w:r w:rsidRPr="00380665">
        <w:rPr>
          <w:rFonts w:eastAsia="Arial"/>
          <w:b/>
          <w:bCs/>
        </w:rPr>
        <w:t>U</w:t>
      </w:r>
      <w:r w:rsidR="152A3BA4" w:rsidRPr="00380665">
        <w:rPr>
          <w:rFonts w:eastAsia="Arial"/>
          <w:b/>
          <w:bCs/>
        </w:rPr>
        <w:t>ncertainty</w:t>
      </w:r>
      <w:r w:rsidR="152A3BA4" w:rsidRPr="00380665">
        <w:rPr>
          <w:rFonts w:eastAsia="Arial"/>
          <w:b/>
        </w:rPr>
        <w:t xml:space="preserve"> </w:t>
      </w:r>
      <w:r w:rsidR="002F4191" w:rsidRPr="00380665">
        <w:rPr>
          <w:rFonts w:eastAsia="Arial"/>
          <w:b/>
        </w:rPr>
        <w:t>associated with method</w:t>
      </w:r>
      <w:r w:rsidR="00202D85" w:rsidRPr="00380665">
        <w:rPr>
          <w:rFonts w:eastAsia="Arial"/>
          <w:b/>
        </w:rPr>
        <w:t>s</w:t>
      </w:r>
      <w:r w:rsidR="002F4191" w:rsidRPr="00380665">
        <w:rPr>
          <w:rFonts w:eastAsia="Arial"/>
          <w:b/>
        </w:rPr>
        <w:t xml:space="preserve"> and assumptions</w:t>
      </w:r>
      <w:r w:rsidR="00B4035F">
        <w:rPr>
          <w:rFonts w:eastAsia="Arial"/>
          <w:b/>
          <w:bCs/>
        </w:rPr>
        <w:t xml:space="preserve">, </w:t>
      </w:r>
      <w:r w:rsidR="00E33444">
        <w:rPr>
          <w:rFonts w:eastAsia="Arial"/>
        </w:rPr>
        <w:t xml:space="preserve">including the </w:t>
      </w:r>
      <w:r w:rsidR="00C120FD">
        <w:rPr>
          <w:rFonts w:eastAsia="Arial"/>
        </w:rPr>
        <w:t>weigh</w:t>
      </w:r>
      <w:r w:rsidR="00BB311C">
        <w:rPr>
          <w:rFonts w:eastAsia="Arial"/>
        </w:rPr>
        <w:t>t</w:t>
      </w:r>
      <w:r w:rsidR="00C120FD">
        <w:rPr>
          <w:rFonts w:eastAsia="Arial"/>
        </w:rPr>
        <w:t xml:space="preserve">ing of the OM and BM </w:t>
      </w:r>
      <w:r w:rsidR="152A3BA4" w:rsidRPr="3C60DA00">
        <w:rPr>
          <w:rFonts w:eastAsia="Arial"/>
        </w:rPr>
        <w:t>in determining the CM emission factor</w:t>
      </w:r>
      <w:r w:rsidR="002E4DAB">
        <w:rPr>
          <w:rFonts w:eastAsia="Arial"/>
        </w:rPr>
        <w:t>, as specified in this methodological tool</w:t>
      </w:r>
      <w:r w:rsidR="152A3BA4" w:rsidRPr="3C60DA00">
        <w:rPr>
          <w:rFonts w:eastAsia="Arial"/>
        </w:rPr>
        <w:t xml:space="preserve">. </w:t>
      </w:r>
      <w:r w:rsidR="00B34D57">
        <w:rPr>
          <w:rFonts w:eastAsia="Arial"/>
        </w:rPr>
        <w:t>This</w:t>
      </w:r>
      <w:r w:rsidR="00B34D57" w:rsidRPr="3C60DA00">
        <w:rPr>
          <w:rFonts w:eastAsia="Arial"/>
        </w:rPr>
        <w:t xml:space="preserve"> </w:t>
      </w:r>
      <w:r w:rsidR="152A3BA4" w:rsidRPr="3C60DA00">
        <w:rPr>
          <w:rFonts w:eastAsia="Arial"/>
        </w:rPr>
        <w:t xml:space="preserve">includes uncertainties associated with the specific methods chosen </w:t>
      </w:r>
      <w:r w:rsidR="00E41CB9">
        <w:rPr>
          <w:rFonts w:eastAsia="Arial"/>
        </w:rPr>
        <w:t>to</w:t>
      </w:r>
      <w:r w:rsidR="152A3BA4" w:rsidRPr="3C60DA00" w:rsidDel="00E41CB9">
        <w:rPr>
          <w:rFonts w:eastAsia="Arial"/>
        </w:rPr>
        <w:t xml:space="preserve"> </w:t>
      </w:r>
      <w:r w:rsidR="00E41CB9" w:rsidRPr="3C60DA00">
        <w:rPr>
          <w:rFonts w:eastAsia="Arial"/>
        </w:rPr>
        <w:t>determ</w:t>
      </w:r>
      <w:r w:rsidR="00E41CB9">
        <w:rPr>
          <w:rFonts w:eastAsia="Arial"/>
        </w:rPr>
        <w:t>ine</w:t>
      </w:r>
      <w:r w:rsidR="00E41CB9" w:rsidRPr="3C60DA00">
        <w:rPr>
          <w:rFonts w:eastAsia="Arial"/>
        </w:rPr>
        <w:t xml:space="preserve"> </w:t>
      </w:r>
      <w:r w:rsidR="152A3BA4" w:rsidRPr="3C60DA00">
        <w:rPr>
          <w:rFonts w:eastAsia="Arial"/>
        </w:rPr>
        <w:t>the OM and BM emission factors</w:t>
      </w:r>
      <w:r w:rsidR="00DC7EDE">
        <w:rPr>
          <w:rFonts w:eastAsia="Arial"/>
        </w:rPr>
        <w:t xml:space="preserve"> (dispatch data OM, simple OM, simple adjusted OM, average OM and BM)</w:t>
      </w:r>
      <w:r w:rsidR="00BE50EA">
        <w:rPr>
          <w:rFonts w:eastAsia="Arial"/>
        </w:rPr>
        <w:t>,</w:t>
      </w:r>
      <w:r w:rsidR="152A3BA4" w:rsidRPr="3C60DA00">
        <w:rPr>
          <w:rFonts w:eastAsia="Arial"/>
        </w:rPr>
        <w:t xml:space="preserve"> as well as the uncertainty </w:t>
      </w:r>
      <w:r w:rsidR="00BE50EA">
        <w:rPr>
          <w:rFonts w:eastAsia="Arial"/>
        </w:rPr>
        <w:t>associated</w:t>
      </w:r>
      <w:r w:rsidR="00BE50EA" w:rsidRPr="3C60DA00">
        <w:rPr>
          <w:rFonts w:eastAsia="Arial"/>
        </w:rPr>
        <w:t xml:space="preserve"> </w:t>
      </w:r>
      <w:r w:rsidR="009F5F48">
        <w:rPr>
          <w:rFonts w:eastAsia="Arial"/>
        </w:rPr>
        <w:t>with</w:t>
      </w:r>
      <w:r w:rsidR="009F5F48" w:rsidRPr="3C60DA00">
        <w:rPr>
          <w:rFonts w:eastAsia="Arial"/>
        </w:rPr>
        <w:t xml:space="preserve"> </w:t>
      </w:r>
      <w:r w:rsidR="152A3BA4" w:rsidRPr="3C60DA00">
        <w:rPr>
          <w:rFonts w:eastAsia="Arial"/>
        </w:rPr>
        <w:t xml:space="preserve">the weighting used to combine them into </w:t>
      </w:r>
      <w:r w:rsidR="009F5F48">
        <w:rPr>
          <w:rFonts w:eastAsia="Arial"/>
        </w:rPr>
        <w:t xml:space="preserve">a </w:t>
      </w:r>
      <w:r w:rsidR="152A3BA4" w:rsidRPr="3C60DA00">
        <w:rPr>
          <w:rFonts w:eastAsia="Arial"/>
        </w:rPr>
        <w:t xml:space="preserve">single CM emission factor, as detailed in </w:t>
      </w:r>
      <w:r w:rsidR="00FC3BB0">
        <w:rPr>
          <w:rFonts w:eastAsia="Arial"/>
        </w:rPr>
        <w:fldChar w:fldCharType="begin"/>
      </w:r>
      <w:r w:rsidR="00FC3BB0">
        <w:rPr>
          <w:rFonts w:eastAsia="Arial"/>
        </w:rPr>
        <w:instrText xml:space="preserve"> REF _Ref219921825 \w \h </w:instrText>
      </w:r>
      <w:r w:rsidR="00FC3BB0">
        <w:rPr>
          <w:rFonts w:eastAsia="Arial"/>
        </w:rPr>
      </w:r>
      <w:r w:rsidR="00FC3BB0">
        <w:rPr>
          <w:rFonts w:eastAsia="Arial"/>
        </w:rPr>
        <w:fldChar w:fldCharType="separate"/>
      </w:r>
      <w:r w:rsidR="00D811A8">
        <w:rPr>
          <w:rFonts w:eastAsia="Arial"/>
          <w:cs/>
        </w:rPr>
        <w:t>‎</w:t>
      </w:r>
      <w:r w:rsidR="00D811A8">
        <w:rPr>
          <w:rFonts w:eastAsia="Arial"/>
        </w:rPr>
        <w:t>5.7.1.2</w:t>
      </w:r>
      <w:r w:rsidR="00FC3BB0">
        <w:rPr>
          <w:rFonts w:eastAsia="Arial"/>
        </w:rPr>
        <w:fldChar w:fldCharType="end"/>
      </w:r>
      <w:r w:rsidR="00FC3BB0">
        <w:rPr>
          <w:rFonts w:eastAsia="Arial"/>
        </w:rPr>
        <w:t xml:space="preserve">, </w:t>
      </w:r>
      <w:r w:rsidR="004A2CD2">
        <w:rPr>
          <w:rFonts w:eastAsia="Arial"/>
        </w:rPr>
        <w:fldChar w:fldCharType="begin"/>
      </w:r>
      <w:r w:rsidR="004A2CD2">
        <w:rPr>
          <w:rFonts w:eastAsia="Arial"/>
        </w:rPr>
        <w:instrText xml:space="preserve"> REF _Ref221038996 \w \h </w:instrText>
      </w:r>
      <w:r w:rsidR="004A2CD2">
        <w:rPr>
          <w:rFonts w:eastAsia="Arial"/>
        </w:rPr>
      </w:r>
      <w:r w:rsidR="004A2CD2">
        <w:rPr>
          <w:rFonts w:eastAsia="Arial"/>
        </w:rPr>
        <w:fldChar w:fldCharType="separate"/>
      </w:r>
      <w:r w:rsidR="00D811A8">
        <w:rPr>
          <w:rFonts w:eastAsia="Arial"/>
          <w:cs/>
        </w:rPr>
        <w:t>‎</w:t>
      </w:r>
      <w:r w:rsidR="00D811A8">
        <w:rPr>
          <w:rFonts w:eastAsia="Arial"/>
        </w:rPr>
        <w:t>5.7.1.3</w:t>
      </w:r>
      <w:r w:rsidR="004A2CD2">
        <w:rPr>
          <w:rFonts w:eastAsia="Arial"/>
        </w:rPr>
        <w:fldChar w:fldCharType="end"/>
      </w:r>
      <w:r w:rsidR="00D561CA">
        <w:rPr>
          <w:rFonts w:eastAsia="Arial"/>
        </w:rPr>
        <w:t xml:space="preserve"> and </w:t>
      </w:r>
      <w:r w:rsidR="004A2CD2">
        <w:rPr>
          <w:rFonts w:eastAsia="Arial"/>
        </w:rPr>
        <w:fldChar w:fldCharType="begin"/>
      </w:r>
      <w:r w:rsidR="004A2CD2">
        <w:rPr>
          <w:rFonts w:eastAsia="Arial"/>
        </w:rPr>
        <w:instrText xml:space="preserve"> REF _Ref221038901 \w \h </w:instrText>
      </w:r>
      <w:r w:rsidR="004A2CD2">
        <w:rPr>
          <w:rFonts w:eastAsia="Arial"/>
        </w:rPr>
      </w:r>
      <w:r w:rsidR="004A2CD2">
        <w:rPr>
          <w:rFonts w:eastAsia="Arial"/>
        </w:rPr>
        <w:fldChar w:fldCharType="separate"/>
      </w:r>
      <w:r w:rsidR="00D811A8">
        <w:rPr>
          <w:rFonts w:eastAsia="Arial"/>
          <w:cs/>
        </w:rPr>
        <w:t>‎</w:t>
      </w:r>
      <w:r w:rsidR="00D811A8">
        <w:rPr>
          <w:rFonts w:eastAsia="Arial"/>
        </w:rPr>
        <w:t>5.7.1.4</w:t>
      </w:r>
      <w:r w:rsidR="004A2CD2">
        <w:rPr>
          <w:rFonts w:eastAsia="Arial"/>
        </w:rPr>
        <w:fldChar w:fldCharType="end"/>
      </w:r>
      <w:r w:rsidR="00D561CA">
        <w:rPr>
          <w:rFonts w:eastAsia="Arial"/>
        </w:rPr>
        <w:t xml:space="preserve"> </w:t>
      </w:r>
      <w:r w:rsidR="00D561CA" w:rsidRPr="004A2CD2">
        <w:rPr>
          <w:rFonts w:eastAsia="Arial"/>
        </w:rPr>
        <w:t>(sub-step</w:t>
      </w:r>
      <w:r w:rsidR="006F7A0B">
        <w:rPr>
          <w:rFonts w:eastAsia="Arial"/>
        </w:rPr>
        <w:t> </w:t>
      </w:r>
      <w:r w:rsidR="00D561CA" w:rsidRPr="004A2CD2">
        <w:rPr>
          <w:rFonts w:eastAsia="Arial"/>
        </w:rPr>
        <w:t>c)</w:t>
      </w:r>
      <w:r w:rsidR="152A3BA4" w:rsidRPr="3C60DA00">
        <w:rPr>
          <w:rFonts w:eastAsia="Arial"/>
        </w:rPr>
        <w:t>.</w:t>
      </w:r>
    </w:p>
    <w:p w14:paraId="6D7349ED" w14:textId="04D3FB7F" w:rsidR="303F59FF" w:rsidRDefault="4BE0F458">
      <w:pPr>
        <w:pStyle w:val="SDMPara"/>
        <w:rPr>
          <w:rFonts w:eastAsia="Arial"/>
          <w:lang w:eastAsia="en-US"/>
        </w:rPr>
      </w:pPr>
      <w:r w:rsidRPr="3FAB49C7">
        <w:rPr>
          <w:rFonts w:eastAsia="Arial"/>
          <w:lang w:eastAsia="en-US"/>
        </w:rPr>
        <w:t xml:space="preserve">When applying conservative </w:t>
      </w:r>
      <w:r w:rsidR="001D6B72">
        <w:rPr>
          <w:rFonts w:eastAsia="Arial"/>
          <w:lang w:eastAsia="en-US"/>
        </w:rPr>
        <w:t xml:space="preserve">default </w:t>
      </w:r>
      <w:r w:rsidRPr="3FAB49C7">
        <w:rPr>
          <w:rFonts w:eastAsia="Arial"/>
          <w:lang w:eastAsia="en-US"/>
        </w:rPr>
        <w:t xml:space="preserve">values provided in </w:t>
      </w:r>
      <w:r w:rsidR="00D561CA" w:rsidRPr="3FAB49C7">
        <w:rPr>
          <w:rFonts w:eastAsia="Arial"/>
          <w:lang w:eastAsia="en-US"/>
        </w:rPr>
        <w:t>th</w:t>
      </w:r>
      <w:r w:rsidR="00D561CA">
        <w:rPr>
          <w:rFonts w:eastAsia="Arial"/>
          <w:lang w:eastAsia="en-US"/>
        </w:rPr>
        <w:t>is</w:t>
      </w:r>
      <w:r w:rsidR="00D561CA" w:rsidRPr="3FAB49C7">
        <w:rPr>
          <w:rFonts w:eastAsia="Arial"/>
          <w:lang w:eastAsia="en-US"/>
        </w:rPr>
        <w:t xml:space="preserve"> </w:t>
      </w:r>
      <w:r w:rsidRPr="3FAB49C7">
        <w:rPr>
          <w:rFonts w:eastAsia="Arial"/>
          <w:lang w:eastAsia="en-US"/>
        </w:rPr>
        <w:t xml:space="preserve">tool (i.e., </w:t>
      </w:r>
      <w:r w:rsidR="00960569">
        <w:rPr>
          <w:rFonts w:eastAsia="Arial"/>
          <w:lang w:eastAsia="en-US"/>
        </w:rPr>
        <w:t xml:space="preserve">values that are </w:t>
      </w:r>
      <w:r w:rsidR="00D90B4D">
        <w:rPr>
          <w:rFonts w:eastAsia="Arial"/>
          <w:lang w:eastAsia="en-US"/>
        </w:rPr>
        <w:t xml:space="preserve">explicitly </w:t>
      </w:r>
      <w:r w:rsidR="00960569">
        <w:rPr>
          <w:rFonts w:eastAsia="Arial"/>
          <w:lang w:eastAsia="en-US"/>
        </w:rPr>
        <w:t xml:space="preserve">specified </w:t>
      </w:r>
      <w:r w:rsidR="00567E7A">
        <w:rPr>
          <w:rFonts w:eastAsia="Arial"/>
          <w:lang w:eastAsia="en-US"/>
        </w:rPr>
        <w:t xml:space="preserve">as </w:t>
      </w:r>
      <w:r w:rsidR="00960569">
        <w:rPr>
          <w:rFonts w:eastAsia="Arial"/>
          <w:lang w:eastAsia="en-US"/>
        </w:rPr>
        <w:t xml:space="preserve">conservative and for which no uncertainty range is </w:t>
      </w:r>
      <w:r w:rsidR="00960569" w:rsidRPr="6BC00673">
        <w:rPr>
          <w:rFonts w:eastAsia="Arial"/>
          <w:lang w:eastAsia="en-US"/>
        </w:rPr>
        <w:t>indicated</w:t>
      </w:r>
      <w:r w:rsidRPr="3FAB49C7">
        <w:rPr>
          <w:rFonts w:eastAsia="Arial"/>
          <w:lang w:eastAsia="en-US"/>
        </w:rPr>
        <w:t xml:space="preserve">, </w:t>
      </w:r>
      <w:r w:rsidR="00E06D7E">
        <w:rPr>
          <w:rFonts w:eastAsia="Arial"/>
          <w:lang w:eastAsia="en-US"/>
        </w:rPr>
        <w:t>including</w:t>
      </w:r>
      <w:r w:rsidR="00E06D7E" w:rsidRPr="3FAB49C7">
        <w:rPr>
          <w:rFonts w:eastAsia="Arial"/>
          <w:lang w:eastAsia="en-US"/>
        </w:rPr>
        <w:t xml:space="preserve"> </w:t>
      </w:r>
      <w:r w:rsidR="008457E2">
        <w:rPr>
          <w:rFonts w:eastAsia="Arial"/>
          <w:lang w:eastAsia="en-US"/>
        </w:rPr>
        <w:t>conservative default values based on</w:t>
      </w:r>
      <w:r w:rsidRPr="3FAB49C7">
        <w:rPr>
          <w:rFonts w:eastAsia="Arial"/>
          <w:lang w:eastAsia="en-US"/>
        </w:rPr>
        <w:t xml:space="preserve"> </w:t>
      </w:r>
      <w:r w:rsidR="00ED02B3">
        <w:rPr>
          <w:rFonts w:eastAsia="Arial"/>
          <w:lang w:eastAsia="en-US"/>
        </w:rPr>
        <w:t xml:space="preserve">IPCC </w:t>
      </w:r>
      <w:r w:rsidR="00625F97">
        <w:rPr>
          <w:rFonts w:eastAsia="Arial"/>
          <w:lang w:eastAsia="en-US"/>
        </w:rPr>
        <w:t>data that are</w:t>
      </w:r>
      <w:r w:rsidRPr="3FAB49C7">
        <w:rPr>
          <w:rFonts w:eastAsia="Arial"/>
          <w:lang w:eastAsia="en-US"/>
        </w:rPr>
        <w:t xml:space="preserve"> </w:t>
      </w:r>
      <w:r w:rsidR="00CD7D67">
        <w:rPr>
          <w:rFonts w:eastAsia="Arial"/>
          <w:lang w:eastAsia="en-US"/>
        </w:rPr>
        <w:t xml:space="preserve">set </w:t>
      </w:r>
      <w:r w:rsidR="00960569">
        <w:rPr>
          <w:rFonts w:eastAsia="Arial"/>
          <w:lang w:eastAsia="en-US"/>
        </w:rPr>
        <w:t>at</w:t>
      </w:r>
      <w:r w:rsidR="00960569" w:rsidRPr="3FAB49C7">
        <w:rPr>
          <w:rFonts w:eastAsia="Arial"/>
          <w:lang w:eastAsia="en-US"/>
        </w:rPr>
        <w:t xml:space="preserve"> </w:t>
      </w:r>
      <w:r w:rsidR="77C8DC11">
        <w:t xml:space="preserve">the upper or lower bound of </w:t>
      </w:r>
      <w:r w:rsidR="00960569">
        <w:t xml:space="preserve">the uncertainty </w:t>
      </w:r>
      <w:r w:rsidR="008457E2">
        <w:t>range</w:t>
      </w:r>
      <w:r w:rsidR="00960569">
        <w:t xml:space="preserve"> at a </w:t>
      </w:r>
      <w:r w:rsidR="77C8DC11">
        <w:t>95 per cent confidence interval</w:t>
      </w:r>
      <w:r w:rsidRPr="3FAB49C7">
        <w:rPr>
          <w:rFonts w:eastAsia="Arial"/>
          <w:lang w:eastAsia="en-US"/>
        </w:rPr>
        <w:t>), no further uncertainty analysis for these specific values is required</w:t>
      </w:r>
      <w:r w:rsidR="00CD7D67">
        <w:rPr>
          <w:rFonts w:eastAsia="Arial"/>
          <w:lang w:eastAsia="en-US"/>
        </w:rPr>
        <w:t>. Accordingly,</w:t>
      </w:r>
      <w:r w:rsidR="00256A88">
        <w:rPr>
          <w:rFonts w:eastAsia="Arial"/>
          <w:lang w:eastAsia="en-US"/>
        </w:rPr>
        <w:t xml:space="preserve"> these values shall not be </w:t>
      </w:r>
      <w:r w:rsidR="00CD7D67">
        <w:rPr>
          <w:rFonts w:eastAsia="Arial"/>
          <w:lang w:eastAsia="en-US"/>
        </w:rPr>
        <w:t xml:space="preserve">considered </w:t>
      </w:r>
      <w:r w:rsidR="00256A88">
        <w:rPr>
          <w:rFonts w:eastAsia="Arial"/>
          <w:lang w:eastAsia="en-US"/>
        </w:rPr>
        <w:t xml:space="preserve">to </w:t>
      </w:r>
      <w:r w:rsidR="001407F9">
        <w:rPr>
          <w:rFonts w:eastAsia="Arial"/>
          <w:lang w:eastAsia="en-US"/>
        </w:rPr>
        <w:t>contribute</w:t>
      </w:r>
      <w:r w:rsidR="00256A88" w:rsidDel="001407F9">
        <w:rPr>
          <w:rFonts w:eastAsia="Arial"/>
          <w:lang w:eastAsia="en-US"/>
        </w:rPr>
        <w:t xml:space="preserve"> </w:t>
      </w:r>
      <w:r w:rsidR="001F1622">
        <w:rPr>
          <w:rFonts w:eastAsia="Arial"/>
          <w:lang w:eastAsia="en-US"/>
        </w:rPr>
        <w:t>to</w:t>
      </w:r>
      <w:r w:rsidR="001407F9">
        <w:rPr>
          <w:rFonts w:eastAsia="Arial"/>
          <w:lang w:eastAsia="en-US"/>
        </w:rPr>
        <w:t xml:space="preserve"> </w:t>
      </w:r>
      <w:r w:rsidR="00256A88">
        <w:rPr>
          <w:rFonts w:eastAsia="Arial"/>
          <w:lang w:eastAsia="en-US"/>
        </w:rPr>
        <w:t>uncertainty in the quantification of overall emission reductions</w:t>
      </w:r>
      <w:r w:rsidR="00256A88" w:rsidRPr="6BC00673">
        <w:rPr>
          <w:rFonts w:eastAsia="Arial"/>
          <w:lang w:eastAsia="en-US"/>
        </w:rPr>
        <w:t>.</w:t>
      </w:r>
    </w:p>
    <w:p w14:paraId="7AE80DA4" w14:textId="77777777" w:rsidR="00FF70B5" w:rsidRDefault="009D0F50">
      <w:pPr>
        <w:pStyle w:val="SDMHead1"/>
      </w:pPr>
      <w:bookmarkStart w:id="702" w:name="_Toc215208613"/>
      <w:bookmarkStart w:id="703" w:name="_Toc215216132"/>
      <w:bookmarkStart w:id="704" w:name="_Toc215222868"/>
      <w:bookmarkStart w:id="705" w:name="_Toc215223056"/>
      <w:bookmarkStart w:id="706" w:name="_Toc215223278"/>
      <w:bookmarkStart w:id="707" w:name="_Toc215574904"/>
      <w:bookmarkStart w:id="708" w:name="_Toc215579118"/>
      <w:bookmarkStart w:id="709" w:name="_Ref212362896"/>
      <w:bookmarkStart w:id="710" w:name="_Toc212389914"/>
      <w:bookmarkStart w:id="711" w:name="_Toc478738167"/>
      <w:bookmarkStart w:id="712" w:name="_Toc202965409"/>
      <w:bookmarkStart w:id="713" w:name="_Ref210036134"/>
      <w:bookmarkStart w:id="714" w:name="_Ref210036137"/>
      <w:bookmarkStart w:id="715" w:name="_Toc215208615"/>
      <w:bookmarkStart w:id="716" w:name="_Toc215216134"/>
      <w:bookmarkStart w:id="717" w:name="_Toc215222870"/>
      <w:bookmarkStart w:id="718" w:name="_Toc215223058"/>
      <w:bookmarkStart w:id="719" w:name="_Toc215223280"/>
      <w:bookmarkStart w:id="720" w:name="_Toc215574906"/>
      <w:bookmarkStart w:id="721" w:name="_Toc215923338"/>
      <w:bookmarkStart w:id="722" w:name="_Toc216093034"/>
      <w:bookmarkStart w:id="723" w:name="_Toc216271763"/>
      <w:bookmarkStart w:id="724" w:name="_Toc216279380"/>
      <w:bookmarkStart w:id="725" w:name="_Toc216283418"/>
      <w:bookmarkStart w:id="726" w:name="_Toc216288036"/>
      <w:bookmarkStart w:id="727" w:name="_Toc219666143"/>
      <w:bookmarkStart w:id="728" w:name="_Toc220001403"/>
      <w:bookmarkStart w:id="729" w:name="_Toc221096427"/>
      <w:bookmarkStart w:id="730" w:name="_Toc221097979"/>
      <w:bookmarkStart w:id="731" w:name="_Toc221116275"/>
      <w:bookmarkStart w:id="732" w:name="_Toc221117291"/>
      <w:bookmarkStart w:id="733" w:name="_Toc222132129"/>
      <w:bookmarkStart w:id="734" w:name="_Toc222494930"/>
      <w:bookmarkStart w:id="735" w:name="_Toc222512446"/>
      <w:bookmarkStart w:id="736" w:name="_Toc222741766"/>
      <w:bookmarkEnd w:id="702"/>
      <w:bookmarkEnd w:id="703"/>
      <w:bookmarkEnd w:id="704"/>
      <w:bookmarkEnd w:id="705"/>
      <w:bookmarkEnd w:id="706"/>
      <w:bookmarkEnd w:id="707"/>
      <w:bookmarkEnd w:id="708"/>
      <w:r w:rsidRPr="009D0F50">
        <w:t>Monitoring methodology</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14:paraId="33605938" w14:textId="39A1FA69" w:rsidR="00A65367" w:rsidRDefault="00A65367">
      <w:pPr>
        <w:pStyle w:val="SDMPara"/>
        <w:rPr>
          <w:rFonts w:eastAsia="Arial"/>
        </w:rPr>
      </w:pPr>
      <w:r w:rsidRPr="001F31E5">
        <w:rPr>
          <w:rFonts w:eastAsia="Arial"/>
        </w:rPr>
        <w:t xml:space="preserve">Some parameters listed </w:t>
      </w:r>
      <w:r w:rsidR="00CF697A">
        <w:rPr>
          <w:rFonts w:eastAsia="Arial"/>
        </w:rPr>
        <w:t>in this section shall</w:t>
      </w:r>
      <w:r w:rsidR="00CF697A" w:rsidRPr="001F31E5">
        <w:rPr>
          <w:rFonts w:eastAsia="Arial"/>
        </w:rPr>
        <w:t xml:space="preserve"> </w:t>
      </w:r>
      <w:r w:rsidRPr="001F31E5">
        <w:rPr>
          <w:rFonts w:eastAsia="Arial"/>
        </w:rPr>
        <w:t xml:space="preserve">either be monitored continuously during the crediting period or calculated only once for the crediting period, depending on the data vintage </w:t>
      </w:r>
      <w:r w:rsidR="001F68FD">
        <w:rPr>
          <w:rFonts w:eastAsia="Arial"/>
        </w:rPr>
        <w:t>selected. This shall be done</w:t>
      </w:r>
      <w:r w:rsidRPr="001F31E5" w:rsidDel="00EA4E41">
        <w:rPr>
          <w:rFonts w:eastAsia="Arial"/>
        </w:rPr>
        <w:t xml:space="preserve"> </w:t>
      </w:r>
      <w:r w:rsidR="00EA4E41">
        <w:rPr>
          <w:rFonts w:eastAsia="Arial"/>
        </w:rPr>
        <w:t>in accordance with</w:t>
      </w:r>
      <w:r w:rsidR="00EA4E41" w:rsidRPr="001F31E5">
        <w:rPr>
          <w:rFonts w:eastAsia="Arial"/>
        </w:rPr>
        <w:t xml:space="preserve"> </w:t>
      </w:r>
      <w:r w:rsidRPr="001F31E5" w:rsidDel="00EA4E41">
        <w:rPr>
          <w:rFonts w:eastAsia="Arial"/>
        </w:rPr>
        <w:t xml:space="preserve">the </w:t>
      </w:r>
      <w:r w:rsidR="4F1BE2C5" w:rsidRPr="48E174E3">
        <w:rPr>
          <w:rFonts w:eastAsia="Arial"/>
        </w:rPr>
        <w:t>methodological approaches</w:t>
      </w:r>
      <w:r w:rsidRPr="001F31E5">
        <w:rPr>
          <w:rFonts w:eastAsia="Arial"/>
        </w:rPr>
        <w:t xml:space="preserve"> </w:t>
      </w:r>
      <w:r w:rsidR="0033159B">
        <w:rPr>
          <w:rFonts w:eastAsia="Arial"/>
        </w:rPr>
        <w:t xml:space="preserve">set out in </w:t>
      </w:r>
      <w:r w:rsidR="0033159B" w:rsidRPr="00F26E36">
        <w:rPr>
          <w:rFonts w:eastAsia="Arial"/>
          <w:b/>
          <w:bCs/>
        </w:rPr>
        <w:t>section</w:t>
      </w:r>
      <w:r w:rsidR="00B23B70">
        <w:rPr>
          <w:rFonts w:eastAsia="Arial"/>
          <w:b/>
          <w:bCs/>
        </w:rPr>
        <w:t> </w:t>
      </w:r>
      <w:r w:rsidR="0033159B" w:rsidRPr="00F26E36">
        <w:rPr>
          <w:rFonts w:eastAsia="Arial"/>
          <w:b/>
          <w:bCs/>
        </w:rPr>
        <w:t>5</w:t>
      </w:r>
      <w:r w:rsidR="0033159B">
        <w:rPr>
          <w:rFonts w:eastAsia="Arial"/>
        </w:rPr>
        <w:t xml:space="preserve">, and with the </w:t>
      </w:r>
      <w:r w:rsidRPr="001F31E5">
        <w:rPr>
          <w:rFonts w:eastAsia="Arial"/>
        </w:rPr>
        <w:t xml:space="preserve">guidance on </w:t>
      </w:r>
      <w:r w:rsidR="2D4A895D" w:rsidRPr="00F26E36">
        <w:rPr>
          <w:rFonts w:eastAsia="Arial"/>
          <w:b/>
          <w:bCs/>
        </w:rPr>
        <w:t xml:space="preserve">measurement </w:t>
      </w:r>
      <w:r w:rsidR="00C02434" w:rsidRPr="00F26E36">
        <w:rPr>
          <w:rFonts w:eastAsia="Arial"/>
          <w:b/>
          <w:bCs/>
        </w:rPr>
        <w:t>and updating frequency</w:t>
      </w:r>
      <w:r w:rsidRPr="001F31E5">
        <w:rPr>
          <w:rFonts w:eastAsia="Arial"/>
        </w:rPr>
        <w:t xml:space="preserve"> </w:t>
      </w:r>
      <w:r w:rsidR="00DA55C3">
        <w:rPr>
          <w:rFonts w:eastAsia="Arial"/>
        </w:rPr>
        <w:t xml:space="preserve">and </w:t>
      </w:r>
      <w:r w:rsidR="00F47B18" w:rsidRPr="00F26E36">
        <w:rPr>
          <w:rFonts w:eastAsia="Arial"/>
          <w:b/>
          <w:bCs/>
        </w:rPr>
        <w:t>additional comments</w:t>
      </w:r>
      <w:r w:rsidR="00F47B18">
        <w:rPr>
          <w:rFonts w:eastAsia="Arial"/>
        </w:rPr>
        <w:t xml:space="preserve"> </w:t>
      </w:r>
      <w:r w:rsidR="00F26E36">
        <w:rPr>
          <w:rFonts w:eastAsia="Arial"/>
        </w:rPr>
        <w:t xml:space="preserve">provided </w:t>
      </w:r>
      <w:r w:rsidR="00F26E36" w:rsidRPr="0002199F">
        <w:rPr>
          <w:rFonts w:eastAsia="Arial"/>
          <w:b/>
          <w:bCs/>
        </w:rPr>
        <w:t>in this section</w:t>
      </w:r>
      <w:r w:rsidR="00F26E36">
        <w:rPr>
          <w:rFonts w:eastAsia="Arial"/>
        </w:rPr>
        <w:t>, including the relevant data/parameter tables, as applicable</w:t>
      </w:r>
      <w:r w:rsidR="0002199F">
        <w:rPr>
          <w:rFonts w:eastAsia="Arial"/>
        </w:rPr>
        <w:t>.</w:t>
      </w:r>
    </w:p>
    <w:p w14:paraId="124B90F0" w14:textId="626C98CB" w:rsidR="00A65367" w:rsidRPr="001F31E5" w:rsidRDefault="0B1DE836" w:rsidP="00C72647">
      <w:pPr>
        <w:pStyle w:val="SDMPara"/>
        <w:keepNext/>
        <w:rPr>
          <w:rFonts w:eastAsia="Arial"/>
        </w:rPr>
      </w:pPr>
      <w:r w:rsidRPr="6BB59D32">
        <w:rPr>
          <w:rFonts w:eastAsia="Arial"/>
        </w:rPr>
        <w:t xml:space="preserve">The calculation of the </w:t>
      </w:r>
      <w:r w:rsidR="0002199F">
        <w:rPr>
          <w:rFonts w:eastAsia="Arial"/>
        </w:rPr>
        <w:t>OM</w:t>
      </w:r>
      <w:r w:rsidRPr="6BB59D32">
        <w:rPr>
          <w:rFonts w:eastAsia="Arial"/>
        </w:rPr>
        <w:t xml:space="preserve"> and </w:t>
      </w:r>
      <w:r w:rsidR="0002199F">
        <w:rPr>
          <w:rFonts w:eastAsia="Arial"/>
        </w:rPr>
        <w:t>BM</w:t>
      </w:r>
      <w:r w:rsidRPr="6BB59D32">
        <w:rPr>
          <w:rFonts w:eastAsia="Arial"/>
        </w:rPr>
        <w:t xml:space="preserve"> emission factors </w:t>
      </w:r>
      <w:r w:rsidR="0002199F">
        <w:rPr>
          <w:rFonts w:eastAsia="Arial"/>
        </w:rPr>
        <w:t>shall</w:t>
      </w:r>
      <w:r w:rsidRPr="6BB59D32">
        <w:rPr>
          <w:rFonts w:eastAsia="Arial"/>
        </w:rPr>
        <w:t xml:space="preserve"> be documented electronically in a spreadsheet that </w:t>
      </w:r>
      <w:r w:rsidR="0002199F">
        <w:rPr>
          <w:rFonts w:eastAsia="Arial"/>
        </w:rPr>
        <w:t>shall</w:t>
      </w:r>
      <w:r w:rsidRPr="6BB59D32">
        <w:rPr>
          <w:rFonts w:eastAsia="Arial"/>
        </w:rPr>
        <w:t xml:space="preserve"> be attached to the PDD</w:t>
      </w:r>
      <w:r w:rsidR="2EFF306A" w:rsidRPr="6BB59D32">
        <w:rPr>
          <w:rFonts w:eastAsia="Arial"/>
        </w:rPr>
        <w:t xml:space="preserve"> and</w:t>
      </w:r>
      <w:r w:rsidR="000150BF">
        <w:rPr>
          <w:rFonts w:eastAsia="Arial"/>
        </w:rPr>
        <w:t>,</w:t>
      </w:r>
      <w:r w:rsidR="2EFF306A" w:rsidRPr="6BB59D32">
        <w:rPr>
          <w:rFonts w:eastAsia="Arial"/>
        </w:rPr>
        <w:t xml:space="preserve"> </w:t>
      </w:r>
      <w:r w:rsidR="000150BF">
        <w:rPr>
          <w:rFonts w:eastAsia="Arial"/>
        </w:rPr>
        <w:t xml:space="preserve">where applicable, to </w:t>
      </w:r>
      <w:r w:rsidR="2EFF306A" w:rsidRPr="6BB59D32">
        <w:rPr>
          <w:rFonts w:eastAsia="Arial"/>
        </w:rPr>
        <w:t>monitoring report</w:t>
      </w:r>
      <w:r w:rsidR="000150BF">
        <w:rPr>
          <w:rFonts w:eastAsia="Arial"/>
        </w:rPr>
        <w:t>s</w:t>
      </w:r>
      <w:r w:rsidR="1935CD07" w:rsidRPr="6BB59D32">
        <w:rPr>
          <w:rFonts w:eastAsia="Arial"/>
        </w:rPr>
        <w:t xml:space="preserve">. </w:t>
      </w:r>
      <w:r w:rsidR="47B5364A" w:rsidRPr="6BB59D32">
        <w:rPr>
          <w:rFonts w:eastAsia="Arial"/>
        </w:rPr>
        <w:t xml:space="preserve">All data shall be presented in a manner that enables </w:t>
      </w:r>
      <w:r w:rsidR="000150BF" w:rsidRPr="6BB59D32">
        <w:rPr>
          <w:rFonts w:eastAsia="Arial"/>
        </w:rPr>
        <w:t>reproduc</w:t>
      </w:r>
      <w:r w:rsidR="000150BF">
        <w:rPr>
          <w:rFonts w:eastAsia="Arial"/>
        </w:rPr>
        <w:t>tion</w:t>
      </w:r>
      <w:r w:rsidR="000150BF" w:rsidRPr="6BB59D32">
        <w:rPr>
          <w:rFonts w:eastAsia="Arial"/>
        </w:rPr>
        <w:t xml:space="preserve"> </w:t>
      </w:r>
      <w:r w:rsidR="47B5364A" w:rsidRPr="6BB59D32">
        <w:rPr>
          <w:rFonts w:eastAsia="Arial"/>
        </w:rPr>
        <w:t xml:space="preserve">of the calculation of the </w:t>
      </w:r>
      <w:r w:rsidR="002B1CCE">
        <w:rPr>
          <w:rFonts w:eastAsia="Arial"/>
        </w:rPr>
        <w:t>OM and BM</w:t>
      </w:r>
      <w:r w:rsidR="47B5364A" w:rsidRPr="6BB59D32">
        <w:rPr>
          <w:rFonts w:eastAsia="Arial"/>
        </w:rPr>
        <w:t xml:space="preserve"> emission factor</w:t>
      </w:r>
      <w:r w:rsidR="20B9ED7F" w:rsidRPr="6BB59D32">
        <w:rPr>
          <w:rFonts w:eastAsia="Arial"/>
        </w:rPr>
        <w:t>s</w:t>
      </w:r>
      <w:r w:rsidR="2C2A44BB" w:rsidRPr="00167C69">
        <w:rPr>
          <w:rFonts w:eastAsia="Arial"/>
        </w:rPr>
        <w:t xml:space="preserve">. </w:t>
      </w:r>
      <w:r w:rsidR="1935CD07" w:rsidRPr="00167C69">
        <w:rPr>
          <w:rFonts w:eastAsia="Arial"/>
        </w:rPr>
        <w:t>This</w:t>
      </w:r>
      <w:r w:rsidR="1935CD07" w:rsidRPr="6BB59D32">
        <w:rPr>
          <w:rFonts w:eastAsia="Arial"/>
        </w:rPr>
        <w:t xml:space="preserve"> </w:t>
      </w:r>
      <w:r w:rsidR="002B1CCE">
        <w:rPr>
          <w:rFonts w:eastAsia="Arial"/>
        </w:rPr>
        <w:t>shall</w:t>
      </w:r>
      <w:r w:rsidR="1935CD07" w:rsidRPr="6BB59D32">
        <w:rPr>
          <w:rFonts w:eastAsia="Arial"/>
        </w:rPr>
        <w:t xml:space="preserve"> include all data used to calculate the emission factors, including:</w:t>
      </w:r>
    </w:p>
    <w:p w14:paraId="7804079F" w14:textId="2A66FAF9" w:rsidR="00A65367" w:rsidRPr="00C92D67" w:rsidRDefault="00A65367" w:rsidP="00C72647">
      <w:pPr>
        <w:pStyle w:val="SDMSubPara1"/>
        <w:keepNext/>
        <w:rPr>
          <w:rFonts w:eastAsia="Arial"/>
        </w:rPr>
      </w:pPr>
      <w:r w:rsidRPr="001F31E5">
        <w:rPr>
          <w:rFonts w:eastAsia="Arial"/>
        </w:rPr>
        <w:t xml:space="preserve">The following </w:t>
      </w:r>
      <w:r w:rsidRPr="00006448">
        <w:t>information</w:t>
      </w:r>
      <w:r w:rsidRPr="00C92D67">
        <w:rPr>
          <w:rFonts w:eastAsia="Arial"/>
        </w:rPr>
        <w:t xml:space="preserve"> for each power plant</w:t>
      </w:r>
      <w:r w:rsidR="00913F97">
        <w:rPr>
          <w:rFonts w:eastAsia="Arial"/>
        </w:rPr>
        <w:t xml:space="preserve"> or power </w:t>
      </w:r>
      <w:r w:rsidRPr="00C92D67">
        <w:rPr>
          <w:rFonts w:eastAsia="Arial"/>
        </w:rPr>
        <w:t>unit:</w:t>
      </w:r>
    </w:p>
    <w:p w14:paraId="4DA5670E" w14:textId="77777777" w:rsidR="00A65367" w:rsidRPr="00307112" w:rsidRDefault="00A65367">
      <w:pPr>
        <w:pStyle w:val="SDMSubPara2"/>
      </w:pPr>
      <w:r w:rsidRPr="00307112">
        <w:t>Information to clearly identify the plant;</w:t>
      </w:r>
    </w:p>
    <w:p w14:paraId="5D6F6D82" w14:textId="77777777" w:rsidR="00A65367" w:rsidRPr="00307112" w:rsidRDefault="00A65367">
      <w:pPr>
        <w:pStyle w:val="SDMSubPara2"/>
      </w:pPr>
      <w:r w:rsidRPr="00307112">
        <w:t>The date of commissioning;</w:t>
      </w:r>
    </w:p>
    <w:p w14:paraId="16C903DF" w14:textId="4BB6E033" w:rsidR="00A65367" w:rsidRPr="00307112" w:rsidRDefault="004435E2">
      <w:pPr>
        <w:pStyle w:val="SDMSubPara2"/>
      </w:pPr>
      <w:r>
        <w:t>Installed</w:t>
      </w:r>
      <w:r w:rsidRPr="00307112">
        <w:t xml:space="preserve"> </w:t>
      </w:r>
      <w:r w:rsidR="00A65367" w:rsidRPr="00307112">
        <w:t>capacity (MW);</w:t>
      </w:r>
    </w:p>
    <w:p w14:paraId="38A64E37" w14:textId="41C3D1C7" w:rsidR="00A65367" w:rsidRPr="00307112" w:rsidRDefault="002B6374">
      <w:pPr>
        <w:pStyle w:val="SDMSubPara2"/>
      </w:pPr>
      <w:r>
        <w:t>F</w:t>
      </w:r>
      <w:r w:rsidR="00A65367" w:rsidRPr="00307112">
        <w:t>uel type(s) used;</w:t>
      </w:r>
    </w:p>
    <w:p w14:paraId="5F136367" w14:textId="77777777" w:rsidR="00FF70B5" w:rsidRDefault="00A65367">
      <w:pPr>
        <w:pStyle w:val="SDMSubPara2"/>
      </w:pPr>
      <w:r w:rsidRPr="00307112">
        <w:t>The quantity of net electricity generation in the relevant year(s);</w:t>
      </w:r>
    </w:p>
    <w:p w14:paraId="05D954F1" w14:textId="73B60D0B" w:rsidR="00A65367" w:rsidRPr="00307112" w:rsidRDefault="002B6374">
      <w:pPr>
        <w:pStyle w:val="SDMSubPara2"/>
      </w:pPr>
      <w:r>
        <w:t xml:space="preserve">Where </w:t>
      </w:r>
      <w:r w:rsidR="0B1DE836">
        <w:t>applicable</w:t>
      </w:r>
      <w:r>
        <w:t xml:space="preserve">, </w:t>
      </w:r>
      <w:r w:rsidR="0B1DE836">
        <w:t xml:space="preserve">the fuel consumption of each fuel type in the relevant </w:t>
      </w:r>
      <w:r w:rsidR="7BBDA1B6">
        <w:t>period</w:t>
      </w:r>
      <w:r w:rsidR="0B1DE836">
        <w:t>(s);</w:t>
      </w:r>
      <w:r w:rsidR="007A34E1">
        <w:t xml:space="preserve"> and</w:t>
      </w:r>
    </w:p>
    <w:p w14:paraId="7D9C51F3" w14:textId="35737179" w:rsidR="00A65367" w:rsidRPr="00307112" w:rsidRDefault="002B6374">
      <w:pPr>
        <w:pStyle w:val="SDMSubPara2"/>
      </w:pPr>
      <w:r>
        <w:t>W</w:t>
      </w:r>
      <w:r w:rsidR="0B1DE836">
        <w:t xml:space="preserve">here the simple OM or simple adjusted </w:t>
      </w:r>
      <w:r w:rsidR="00C5576B">
        <w:t>OM</w:t>
      </w:r>
      <w:r w:rsidR="0B1DE836">
        <w:t xml:space="preserve"> is </w:t>
      </w:r>
      <w:r w:rsidR="004009CD">
        <w:t>applied,</w:t>
      </w:r>
      <w:r w:rsidR="0B1DE836">
        <w:t xml:space="preserve"> </w:t>
      </w:r>
      <w:r w:rsidR="004009CD">
        <w:t xml:space="preserve">an indication of </w:t>
      </w:r>
      <w:r w:rsidR="0B1DE836">
        <w:t>whether the plant</w:t>
      </w:r>
      <w:r w:rsidR="004009CD">
        <w:t xml:space="preserve"> or </w:t>
      </w:r>
      <w:r w:rsidR="0B1DE836">
        <w:t xml:space="preserve">unit is </w:t>
      </w:r>
      <w:r w:rsidR="00DD7E0D">
        <w:t xml:space="preserve">designated </w:t>
      </w:r>
      <w:r w:rsidR="0B1DE836">
        <w:t>a</w:t>
      </w:r>
      <w:r w:rsidR="00DD7E0D">
        <w:t>s</w:t>
      </w:r>
      <w:r w:rsidR="0B1DE836">
        <w:t xml:space="preserve"> must-run plant</w:t>
      </w:r>
      <w:r w:rsidR="0045644E">
        <w:t>.</w:t>
      </w:r>
    </w:p>
    <w:p w14:paraId="7100E484" w14:textId="3366FAB9" w:rsidR="00A65367" w:rsidRPr="00C92D67" w:rsidRDefault="00A65367">
      <w:pPr>
        <w:pStyle w:val="SDMSubPara1"/>
        <w:rPr>
          <w:rFonts w:eastAsia="Arial"/>
        </w:rPr>
      </w:pPr>
      <w:r w:rsidRPr="00C92D67">
        <w:rPr>
          <w:rFonts w:eastAsia="Arial"/>
        </w:rPr>
        <w:t>Net calorific values used;</w:t>
      </w:r>
    </w:p>
    <w:p w14:paraId="4A4B84ED" w14:textId="77777777" w:rsidR="00A65367" w:rsidRPr="00C92D67" w:rsidRDefault="00A65367">
      <w:pPr>
        <w:pStyle w:val="SDMSubPara1"/>
        <w:rPr>
          <w:rFonts w:eastAsia="Arial"/>
        </w:rPr>
      </w:pPr>
      <w:r w:rsidRPr="00C92D67">
        <w:rPr>
          <w:rFonts w:eastAsia="Arial"/>
        </w:rPr>
        <w:t>CO</w:t>
      </w:r>
      <w:r w:rsidRPr="00C92D67">
        <w:rPr>
          <w:rFonts w:eastAsia="Arial"/>
          <w:vertAlign w:val="subscript"/>
        </w:rPr>
        <w:t>2</w:t>
      </w:r>
      <w:r w:rsidRPr="00C92D67">
        <w:rPr>
          <w:rFonts w:eastAsia="Arial"/>
        </w:rPr>
        <w:t xml:space="preserve"> emission factors used;</w:t>
      </w:r>
    </w:p>
    <w:p w14:paraId="4E37645E" w14:textId="77777777" w:rsidR="00A65367" w:rsidRPr="00C92D67" w:rsidRDefault="00A65367">
      <w:pPr>
        <w:pStyle w:val="SDMSubPara1"/>
        <w:rPr>
          <w:rFonts w:eastAsia="Arial"/>
        </w:rPr>
      </w:pPr>
      <w:r w:rsidRPr="00C92D67">
        <w:rPr>
          <w:rFonts w:eastAsia="Arial"/>
        </w:rPr>
        <w:t>Plant efficiencies used;</w:t>
      </w:r>
    </w:p>
    <w:p w14:paraId="3E12560C" w14:textId="422A505C" w:rsidR="00A65367" w:rsidRPr="00C92D67" w:rsidRDefault="0B1DE836">
      <w:pPr>
        <w:pStyle w:val="SDMSubPara1"/>
        <w:rPr>
          <w:rFonts w:eastAsia="Arial"/>
        </w:rPr>
      </w:pPr>
      <w:r w:rsidRPr="6BB59D32">
        <w:rPr>
          <w:rFonts w:eastAsia="Arial"/>
        </w:rPr>
        <w:t xml:space="preserve">Identification of the </w:t>
      </w:r>
      <w:r w:rsidR="0000177D">
        <w:rPr>
          <w:rFonts w:eastAsia="Arial"/>
        </w:rPr>
        <w:t xml:space="preserve">power </w:t>
      </w:r>
      <w:r w:rsidRPr="6BB59D32">
        <w:rPr>
          <w:rFonts w:eastAsia="Arial"/>
        </w:rPr>
        <w:t>plants</w:t>
      </w:r>
      <w:r w:rsidR="0000177D">
        <w:rPr>
          <w:rFonts w:eastAsia="Arial"/>
        </w:rPr>
        <w:t xml:space="preserve"> or units</w:t>
      </w:r>
      <w:r w:rsidRPr="6BB59D32">
        <w:rPr>
          <w:rFonts w:eastAsia="Arial"/>
        </w:rPr>
        <w:t xml:space="preserve"> included in the </w:t>
      </w:r>
      <w:r w:rsidR="0000177D">
        <w:rPr>
          <w:rFonts w:eastAsia="Arial"/>
        </w:rPr>
        <w:t>BM</w:t>
      </w:r>
      <w:r w:rsidRPr="6BB59D32">
        <w:rPr>
          <w:rFonts w:eastAsia="Arial"/>
        </w:rPr>
        <w:t xml:space="preserve"> and </w:t>
      </w:r>
      <w:r w:rsidR="0000177D">
        <w:rPr>
          <w:rFonts w:eastAsia="Arial"/>
        </w:rPr>
        <w:t>OM</w:t>
      </w:r>
      <w:r w:rsidRPr="6BB59D32">
        <w:rPr>
          <w:rFonts w:eastAsia="Arial"/>
        </w:rPr>
        <w:t xml:space="preserve"> during the relevant </w:t>
      </w:r>
      <w:r w:rsidR="43F38CAF" w:rsidRPr="6BB59D32">
        <w:rPr>
          <w:rFonts w:eastAsia="Arial"/>
        </w:rPr>
        <w:t>period</w:t>
      </w:r>
      <w:r w:rsidRPr="6BB59D32">
        <w:rPr>
          <w:rFonts w:eastAsia="Arial"/>
        </w:rPr>
        <w:t>(s);</w:t>
      </w:r>
    </w:p>
    <w:p w14:paraId="607BD36A" w14:textId="2E9524F6" w:rsidR="00A65367" w:rsidRPr="00C92D67" w:rsidRDefault="0000177D">
      <w:pPr>
        <w:pStyle w:val="SDMSubPara1"/>
        <w:rPr>
          <w:rFonts w:eastAsia="Arial"/>
        </w:rPr>
      </w:pPr>
      <w:r>
        <w:rPr>
          <w:rFonts w:eastAsia="Arial"/>
        </w:rPr>
        <w:t>Where</w:t>
      </w:r>
      <w:r w:rsidR="0B1DE836" w:rsidRPr="6BB59D32">
        <w:rPr>
          <w:rFonts w:eastAsia="Arial"/>
        </w:rPr>
        <w:t xml:space="preserve"> the </w:t>
      </w:r>
      <w:r w:rsidR="6C3F5312" w:rsidRPr="6BB59D32">
        <w:rPr>
          <w:rFonts w:eastAsia="Arial"/>
        </w:rPr>
        <w:t xml:space="preserve">simple </w:t>
      </w:r>
      <w:r>
        <w:rPr>
          <w:rFonts w:eastAsia="Arial"/>
        </w:rPr>
        <w:t>OM</w:t>
      </w:r>
      <w:r w:rsidR="6C3F5312" w:rsidRPr="6BB59D32">
        <w:rPr>
          <w:rFonts w:eastAsia="Arial"/>
        </w:rPr>
        <w:t xml:space="preserve"> or</w:t>
      </w:r>
      <w:r w:rsidR="0B1DE836" w:rsidRPr="6BB59D32">
        <w:rPr>
          <w:rFonts w:eastAsia="Arial"/>
        </w:rPr>
        <w:t xml:space="preserve"> simple adjusted </w:t>
      </w:r>
      <w:r w:rsidR="00C5576B">
        <w:rPr>
          <w:rFonts w:eastAsia="Arial"/>
        </w:rPr>
        <w:t>OM</w:t>
      </w:r>
      <w:r w:rsidR="0B1DE836" w:rsidRPr="6BB59D32">
        <w:rPr>
          <w:rFonts w:eastAsia="Arial"/>
        </w:rPr>
        <w:t xml:space="preserve"> is </w:t>
      </w:r>
      <w:r>
        <w:rPr>
          <w:rFonts w:eastAsia="Arial"/>
        </w:rPr>
        <w:t>applied,</w:t>
      </w:r>
      <w:r w:rsidR="00F74E46">
        <w:rPr>
          <w:rFonts w:eastAsia="Arial"/>
        </w:rPr>
        <w:t xml:space="preserve"> </w:t>
      </w:r>
      <w:r w:rsidR="00C9705A">
        <w:rPr>
          <w:rFonts w:eastAsia="Arial"/>
        </w:rPr>
        <w:t xml:space="preserve">the </w:t>
      </w:r>
      <w:r w:rsidR="0B1DE836" w:rsidRPr="6BB59D32">
        <w:rPr>
          <w:rFonts w:eastAsia="Arial"/>
        </w:rPr>
        <w:t>hour</w:t>
      </w:r>
      <w:r w:rsidR="4E88A0F4" w:rsidRPr="6BB59D32">
        <w:rPr>
          <w:rFonts w:eastAsia="Arial"/>
        </w:rPr>
        <w:t>s</w:t>
      </w:r>
      <w:r w:rsidR="0B1DE836" w:rsidRPr="6BB59D32">
        <w:rPr>
          <w:rFonts w:eastAsia="Arial"/>
        </w:rPr>
        <w:t xml:space="preserve"> </w:t>
      </w:r>
      <w:r w:rsidR="00C9705A">
        <w:rPr>
          <w:rFonts w:eastAsia="Arial"/>
        </w:rPr>
        <w:t>during which</w:t>
      </w:r>
      <w:r w:rsidR="00C9705A" w:rsidRPr="6BB59D32">
        <w:rPr>
          <w:rFonts w:eastAsia="Arial"/>
        </w:rPr>
        <w:t xml:space="preserve"> </w:t>
      </w:r>
      <w:r w:rsidR="6F694DCF">
        <w:t xml:space="preserve">renewable electricity generation in the electricity system is curtailed because available output exceeded what the electricity system could absorb and/or </w:t>
      </w:r>
      <w:r w:rsidR="793FF3E1" w:rsidRPr="6BB59D32">
        <w:rPr>
          <w:rFonts w:eastAsia="Arial"/>
        </w:rPr>
        <w:t>the project electricity system operates solely based on renewable, nuclear, and/or storage power units, as applicable</w:t>
      </w:r>
      <w:r w:rsidR="0B1DE836" w:rsidRPr="6BB59D32">
        <w:rPr>
          <w:rFonts w:eastAsia="Arial"/>
        </w:rPr>
        <w:t>;</w:t>
      </w:r>
      <w:r w:rsidR="00651CC4">
        <w:rPr>
          <w:rFonts w:eastAsia="Arial"/>
        </w:rPr>
        <w:t xml:space="preserve"> and</w:t>
      </w:r>
    </w:p>
    <w:p w14:paraId="096A672C" w14:textId="254849F1" w:rsidR="00A65367" w:rsidRPr="00C92D67" w:rsidRDefault="00C9705A" w:rsidP="00C72647">
      <w:pPr>
        <w:pStyle w:val="SDMSubPara1"/>
        <w:keepNext/>
        <w:rPr>
          <w:rFonts w:eastAsia="Arial"/>
        </w:rPr>
      </w:pPr>
      <w:r>
        <w:rPr>
          <w:rFonts w:eastAsia="Arial"/>
        </w:rPr>
        <w:t>Where</w:t>
      </w:r>
      <w:r w:rsidR="0B1DE836" w:rsidRPr="6BB59D32">
        <w:rPr>
          <w:rFonts w:eastAsia="Arial"/>
        </w:rPr>
        <w:t xml:space="preserve"> the dispatch data </w:t>
      </w:r>
      <w:r>
        <w:rPr>
          <w:rFonts w:eastAsia="Arial"/>
        </w:rPr>
        <w:t>OM</w:t>
      </w:r>
      <w:r w:rsidR="0B1DE836" w:rsidRPr="6BB59D32">
        <w:rPr>
          <w:rFonts w:eastAsia="Arial"/>
        </w:rPr>
        <w:t xml:space="preserve"> is </w:t>
      </w:r>
      <w:r>
        <w:rPr>
          <w:rFonts w:eastAsia="Arial"/>
        </w:rPr>
        <w:t>applied</w:t>
      </w:r>
      <w:r w:rsidR="003220DB">
        <w:rPr>
          <w:rFonts w:eastAsia="Arial"/>
        </w:rPr>
        <w:t>,</w:t>
      </w:r>
      <w:r w:rsidR="0B1DE836" w:rsidRPr="6BB59D32">
        <w:rPr>
          <w:rFonts w:eastAsia="Arial"/>
        </w:rPr>
        <w:t xml:space="preserve"> for each hour</w:t>
      </w:r>
      <w:r w:rsidR="00321E72">
        <w:rPr>
          <w:rFonts w:eastAsia="Arial"/>
        </w:rPr>
        <w:t> </w:t>
      </w:r>
      <w:r w:rsidR="0B1DE836" w:rsidRPr="003220DB">
        <w:rPr>
          <w:rFonts w:eastAsia="Arial"/>
          <w:i/>
          <w:iCs/>
        </w:rPr>
        <w:t>h</w:t>
      </w:r>
      <w:r w:rsidR="0B1DE836" w:rsidRPr="6BB59D32">
        <w:rPr>
          <w:rFonts w:eastAsia="Arial"/>
        </w:rPr>
        <w:t xml:space="preserve"> </w:t>
      </w:r>
      <w:r w:rsidR="003220DB">
        <w:rPr>
          <w:rFonts w:eastAsia="Arial"/>
        </w:rPr>
        <w:t>in which</w:t>
      </w:r>
      <w:r w:rsidR="003220DB" w:rsidRPr="6BB59D32">
        <w:rPr>
          <w:rFonts w:eastAsia="Arial"/>
        </w:rPr>
        <w:t xml:space="preserve"> </w:t>
      </w:r>
      <w:r w:rsidR="0B1DE836" w:rsidRPr="6BB59D32">
        <w:rPr>
          <w:rFonts w:eastAsia="Arial"/>
        </w:rPr>
        <w:t xml:space="preserve">the </w:t>
      </w:r>
      <w:r w:rsidR="003220DB">
        <w:rPr>
          <w:rFonts w:eastAsia="Arial"/>
        </w:rPr>
        <w:t xml:space="preserve">Article 6.4 </w:t>
      </w:r>
      <w:r w:rsidR="07E15A6E" w:rsidRPr="6BB59D32">
        <w:rPr>
          <w:rFonts w:eastAsia="Arial"/>
        </w:rPr>
        <w:t>activity</w:t>
      </w:r>
      <w:r w:rsidR="0B1DE836" w:rsidRPr="6BB59D32">
        <w:rPr>
          <w:rFonts w:eastAsia="Arial"/>
        </w:rPr>
        <w:t xml:space="preserve"> </w:t>
      </w:r>
      <w:r w:rsidR="00CF79BB">
        <w:rPr>
          <w:rFonts w:eastAsia="Arial"/>
        </w:rPr>
        <w:t>displaces</w:t>
      </w:r>
      <w:r w:rsidR="3F7BBDFE" w:rsidRPr="6BB59D32">
        <w:rPr>
          <w:rFonts w:eastAsia="Arial"/>
        </w:rPr>
        <w:t xml:space="preserve"> electricity</w:t>
      </w:r>
      <w:r w:rsidR="0B1DE836" w:rsidRPr="6BB59D32">
        <w:rPr>
          <w:rFonts w:eastAsia="Arial"/>
        </w:rPr>
        <w:t xml:space="preserve"> </w:t>
      </w:r>
      <w:r w:rsidR="4D81BDF5" w:rsidRPr="6BB59D32">
        <w:rPr>
          <w:rFonts w:eastAsia="Arial"/>
        </w:rPr>
        <w:t xml:space="preserve">in, or </w:t>
      </w:r>
      <w:r w:rsidR="00CF79BB" w:rsidRPr="6BB59D32">
        <w:rPr>
          <w:rFonts w:eastAsia="Arial"/>
        </w:rPr>
        <w:t>consum</w:t>
      </w:r>
      <w:r w:rsidR="00CF79BB">
        <w:rPr>
          <w:rFonts w:eastAsia="Arial"/>
        </w:rPr>
        <w:t>es</w:t>
      </w:r>
      <w:r w:rsidR="00CF79BB" w:rsidRPr="6BB59D32">
        <w:rPr>
          <w:rFonts w:eastAsia="Arial"/>
        </w:rPr>
        <w:t xml:space="preserve"> </w:t>
      </w:r>
      <w:r w:rsidR="481C9E7E" w:rsidRPr="6BB59D32">
        <w:rPr>
          <w:rFonts w:eastAsia="Arial"/>
        </w:rPr>
        <w:t>electricity</w:t>
      </w:r>
      <w:r w:rsidR="4D81BDF5" w:rsidRPr="6BB59D32">
        <w:rPr>
          <w:rFonts w:eastAsia="Arial"/>
        </w:rPr>
        <w:t xml:space="preserve"> </w:t>
      </w:r>
      <w:r w:rsidR="01449AF9" w:rsidRPr="6BB59D32">
        <w:rPr>
          <w:rFonts w:eastAsia="Arial"/>
        </w:rPr>
        <w:t>from</w:t>
      </w:r>
      <w:r w:rsidR="00CF79BB">
        <w:rPr>
          <w:rFonts w:eastAsia="Arial"/>
        </w:rPr>
        <w:t>,</w:t>
      </w:r>
      <w:r w:rsidR="01449AF9" w:rsidRPr="6BB59D32">
        <w:rPr>
          <w:rFonts w:eastAsia="Arial"/>
        </w:rPr>
        <w:t xml:space="preserve"> the </w:t>
      </w:r>
      <w:r w:rsidR="01449AF9">
        <w:t>electricity system</w:t>
      </w:r>
      <w:r w:rsidR="0B1DE836" w:rsidRPr="6BB59D32">
        <w:rPr>
          <w:rFonts w:eastAsia="Arial"/>
        </w:rPr>
        <w:t>:</w:t>
      </w:r>
    </w:p>
    <w:p w14:paraId="5204B868" w14:textId="77777777" w:rsidR="00A65367" w:rsidRPr="00F575EE" w:rsidRDefault="0B1DE836" w:rsidP="00014EE6">
      <w:pPr>
        <w:pStyle w:val="SDMSubPara2"/>
        <w:numPr>
          <w:ilvl w:val="2"/>
          <w:numId w:val="11"/>
        </w:numPr>
      </w:pPr>
      <w:r>
        <w:t>The dispatch order of all power plants</w:t>
      </w:r>
      <w:r w:rsidR="01449AF9">
        <w:t xml:space="preserve"> connected to the electricity system</w:t>
      </w:r>
      <w:r>
        <w:t>;</w:t>
      </w:r>
    </w:p>
    <w:p w14:paraId="1A235B2E" w14:textId="77777777" w:rsidR="00A65367" w:rsidRPr="00F575EE" w:rsidRDefault="0B1DE836">
      <w:pPr>
        <w:pStyle w:val="SDMSubPara2"/>
      </w:pPr>
      <w:r>
        <w:t xml:space="preserve">The total electricity </w:t>
      </w:r>
      <w:r w:rsidR="21066050">
        <w:t>generation of the electricity system</w:t>
      </w:r>
      <w:r>
        <w:t>;</w:t>
      </w:r>
    </w:p>
    <w:p w14:paraId="596DAEAE" w14:textId="24F3DF22" w:rsidR="00A65367" w:rsidRPr="00F575EE" w:rsidRDefault="0B1DE836">
      <w:pPr>
        <w:pStyle w:val="SDMSubPara2"/>
      </w:pPr>
      <w:r>
        <w:t xml:space="preserve">The quantity of electricity displaced </w:t>
      </w:r>
      <w:r w:rsidR="00651CC4">
        <w:t xml:space="preserve">or consumed </w:t>
      </w:r>
      <w:r>
        <w:t xml:space="preserve">by the </w:t>
      </w:r>
      <w:r w:rsidR="3A314B70">
        <w:t>Article 6.4</w:t>
      </w:r>
      <w:r>
        <w:t xml:space="preserve"> activity;</w:t>
      </w:r>
      <w:r w:rsidR="009E37ED">
        <w:t xml:space="preserve"> </w:t>
      </w:r>
      <w:r w:rsidR="00651CC4">
        <w:t>and</w:t>
      </w:r>
    </w:p>
    <w:p w14:paraId="5FD3212D" w14:textId="1F340B1A" w:rsidR="00A65367" w:rsidRDefault="00A65367">
      <w:pPr>
        <w:pStyle w:val="SDMSubPara2"/>
      </w:pPr>
      <w:r w:rsidRPr="00F575EE">
        <w:t xml:space="preserve">Identification of the </w:t>
      </w:r>
      <w:r w:rsidR="00651CC4">
        <w:t xml:space="preserve">power </w:t>
      </w:r>
      <w:r w:rsidRPr="00F575EE">
        <w:t xml:space="preserve">plants </w:t>
      </w:r>
      <w:r w:rsidR="00651CC4">
        <w:t xml:space="preserve">operating at the margin and, </w:t>
      </w:r>
      <w:r w:rsidRPr="00F575EE">
        <w:t>for each</w:t>
      </w:r>
      <w:r w:rsidR="00EC6E7E">
        <w:t xml:space="preserve"> such</w:t>
      </w:r>
      <w:r w:rsidRPr="00F575EE">
        <w:t xml:space="preserve"> plant</w:t>
      </w:r>
      <w:r w:rsidR="00EC6E7E">
        <w:t>,</w:t>
      </w:r>
      <w:r w:rsidRPr="00F575EE">
        <w:t xml:space="preserve"> information on electricity generation and, where hourly fuel consumption data </w:t>
      </w:r>
      <w:r w:rsidR="00EC6E7E">
        <w:t>are</w:t>
      </w:r>
      <w:r w:rsidR="00EC6E7E" w:rsidRPr="00F575EE">
        <w:t xml:space="preserve"> </w:t>
      </w:r>
      <w:r w:rsidRPr="00F575EE">
        <w:t>available, the types and quantities of fuels consumed during that hour.</w:t>
      </w:r>
    </w:p>
    <w:p w14:paraId="297C6A69" w14:textId="70CD3FE2" w:rsidR="004073D9" w:rsidRDefault="00813842">
      <w:pPr>
        <w:pStyle w:val="SDMPara"/>
      </w:pPr>
      <w:r>
        <w:t>The period for aggregating the amount of electricity generation or consumption shall align with the period used to determine the emission factor</w:t>
      </w:r>
      <w:r w:rsidR="00C17C61">
        <w:t>.</w:t>
      </w:r>
    </w:p>
    <w:p w14:paraId="41AC9EA1" w14:textId="692E3F3D" w:rsidR="00A65367" w:rsidRPr="00D97A6B" w:rsidRDefault="12865A3D" w:rsidP="007066AD">
      <w:pPr>
        <w:pStyle w:val="CaptionFullPage"/>
      </w:pPr>
      <w:bookmarkStart w:id="737" w:name="_Ref220958398"/>
      <w:r>
        <w:t>Data / Parameter table</w:t>
      </w:r>
      <w:r w:rsidR="00D47AFF">
        <w:t> </w:t>
      </w:r>
      <w:r w:rsidR="00925217" w:rsidRPr="6BB59D32">
        <w:fldChar w:fldCharType="begin"/>
      </w:r>
      <w:r w:rsidR="00925217">
        <w:instrText xml:space="preserve"> SEQ Data_/_Parameter_table \* ARABIC </w:instrText>
      </w:r>
      <w:r w:rsidR="00925217" w:rsidRPr="6BB59D32">
        <w:fldChar w:fldCharType="separate"/>
      </w:r>
      <w:r w:rsidR="00D811A8">
        <w:rPr>
          <w:noProof/>
        </w:rPr>
        <w:t>1</w:t>
      </w:r>
      <w:r w:rsidR="00925217" w:rsidRPr="6BB59D32">
        <w:fldChar w:fldCharType="end"/>
      </w:r>
      <w:bookmarkEnd w:id="737"/>
      <w:r w:rsidR="00321E72">
        <w:t>.</w:t>
      </w:r>
    </w:p>
    <w:tbl>
      <w:tblPr>
        <w:tblStyle w:val="TableGrid"/>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425"/>
        <w:gridCol w:w="2126"/>
        <w:gridCol w:w="2410"/>
      </w:tblGrid>
      <w:tr w:rsidR="00631269" w:rsidRPr="00131981" w14:paraId="49391F16" w14:textId="77777777" w:rsidTr="00F36908">
        <w:trPr>
          <w:trHeight w:val="300"/>
        </w:trPr>
        <w:tc>
          <w:tcPr>
            <w:tcW w:w="2552" w:type="dxa"/>
          </w:tcPr>
          <w:bookmarkEnd w:id="38"/>
          <w:bookmarkEnd w:id="39"/>
          <w:bookmarkEnd w:id="40"/>
          <w:bookmarkEnd w:id="41"/>
          <w:bookmarkEnd w:id="42"/>
          <w:bookmarkEnd w:id="43"/>
          <w:p w14:paraId="164E53D1" w14:textId="77777777" w:rsidR="00925217" w:rsidRPr="00131981" w:rsidRDefault="00925217" w:rsidP="00F36908">
            <w:pPr>
              <w:pStyle w:val="SDMTableBoxParaNotNumbered"/>
              <w:keepNext/>
              <w:spacing w:before="60" w:after="60"/>
            </w:pPr>
            <w:r w:rsidRPr="00131981">
              <w:t>Data/parameter</w:t>
            </w:r>
          </w:p>
        </w:tc>
        <w:tc>
          <w:tcPr>
            <w:tcW w:w="6804" w:type="dxa"/>
            <w:gridSpan w:val="4"/>
          </w:tcPr>
          <w:p w14:paraId="55F23DC9" w14:textId="77777777" w:rsidR="00925217" w:rsidRPr="00180031" w:rsidRDefault="00000000" w:rsidP="00F36908">
            <w:pPr>
              <w:pStyle w:val="SDMTableBoxParaNotNumbered"/>
              <w:keepNext/>
              <w:spacing w:before="60" w:after="60"/>
            </w:pPr>
            <m:oMath>
              <m:sSub>
                <m:sSubPr>
                  <m:ctrlPr>
                    <w:rPr>
                      <w:rFonts w:ascii="Cambria Math" w:hAnsi="Cambria Math"/>
                      <w:i/>
                    </w:rPr>
                  </m:ctrlPr>
                </m:sSubPr>
                <m:e>
                  <m:r>
                    <m:rPr>
                      <m:sty m:val="bi"/>
                    </m:rPr>
                    <w:rPr>
                      <w:rFonts w:ascii="Cambria Math" w:hAnsi="Cambria Math"/>
                    </w:rPr>
                    <m:t>EG</m:t>
                  </m:r>
                </m:e>
                <m:sub>
                  <m:r>
                    <m:rPr>
                      <m:sty m:val="bi"/>
                    </m:rPr>
                    <w:rPr>
                      <w:rFonts w:ascii="Cambria Math" w:hAnsi="Cambria Math"/>
                    </w:rPr>
                    <m:t>s</m:t>
                  </m:r>
                  <m:r>
                    <w:rPr>
                      <w:rFonts w:ascii="Cambria Math" w:hAnsi="Cambria Math"/>
                    </w:rPr>
                    <m:t>,</m:t>
                  </m:r>
                  <m:r>
                    <m:rPr>
                      <m:sty m:val="bi"/>
                    </m:rPr>
                    <w:rPr>
                      <w:rFonts w:ascii="Cambria Math" w:hAnsi="Cambria Math"/>
                    </w:rPr>
                    <m:t>y</m:t>
                  </m:r>
                </m:sub>
              </m:sSub>
            </m:oMath>
            <w:r w:rsidR="00925217" w:rsidRPr="008C2BFB">
              <w:rPr>
                <w:i/>
              </w:rPr>
              <w:t xml:space="preserve"> </w:t>
            </w:r>
            <w:r w:rsidR="00180031">
              <w:rPr>
                <w:iCs/>
              </w:rPr>
              <w:t xml:space="preserve">; </w:t>
            </w:r>
            <m:oMath>
              <m:sSub>
                <m:sSubPr>
                  <m:ctrlPr>
                    <w:rPr>
                      <w:rFonts w:ascii="Cambria Math" w:hAnsi="Cambria Math"/>
                      <w:i/>
                    </w:rPr>
                  </m:ctrlPr>
                </m:sSubPr>
                <m:e>
                  <m:r>
                    <m:rPr>
                      <m:sty m:val="bi"/>
                    </m:rPr>
                    <w:rPr>
                      <w:rFonts w:ascii="Cambria Math" w:hAnsi="Cambria Math"/>
                    </w:rPr>
                    <m:t>EG</m:t>
                  </m:r>
                </m:e>
                <m:sub>
                  <m:r>
                    <m:rPr>
                      <m:sty m:val="bi"/>
                    </m:rPr>
                    <w:rPr>
                      <w:rFonts w:ascii="Cambria Math" w:hAnsi="Cambria Math"/>
                    </w:rPr>
                    <m:t>s</m:t>
                  </m:r>
                  <m:r>
                    <w:rPr>
                      <w:rFonts w:ascii="Cambria Math" w:hAnsi="Cambria Math"/>
                    </w:rPr>
                    <m:t>,</m:t>
                  </m:r>
                  <m:r>
                    <m:rPr>
                      <m:sty m:val="bi"/>
                    </m:rPr>
                    <w:rPr>
                      <w:rFonts w:ascii="Cambria Math" w:hAnsi="Cambria Math"/>
                    </w:rPr>
                    <m:t>h</m:t>
                  </m:r>
                </m:sub>
              </m:sSub>
            </m:oMath>
          </w:p>
        </w:tc>
      </w:tr>
      <w:tr w:rsidR="00631269" w:rsidRPr="00131981" w14:paraId="38D956A8" w14:textId="77777777" w:rsidTr="00F36908">
        <w:trPr>
          <w:trHeight w:val="300"/>
        </w:trPr>
        <w:tc>
          <w:tcPr>
            <w:tcW w:w="2552" w:type="dxa"/>
          </w:tcPr>
          <w:p w14:paraId="2F6A6B61" w14:textId="77777777" w:rsidR="00925217" w:rsidRPr="00131981" w:rsidRDefault="00925217" w:rsidP="005C5484">
            <w:pPr>
              <w:pStyle w:val="SDMTableBoxParaNotNumbered"/>
              <w:keepNext/>
              <w:spacing w:before="60" w:after="60"/>
            </w:pPr>
            <w:r w:rsidRPr="00131981">
              <w:t>Description</w:t>
            </w:r>
          </w:p>
        </w:tc>
        <w:tc>
          <w:tcPr>
            <w:tcW w:w="6804" w:type="dxa"/>
            <w:gridSpan w:val="4"/>
          </w:tcPr>
          <w:p w14:paraId="13B474FD" w14:textId="77777777" w:rsidR="00F74E46" w:rsidRDefault="00000000" w:rsidP="005C5484">
            <w:pPr>
              <w:pStyle w:val="SDMTableBoxParaNotNumbered"/>
              <w:keepNext/>
              <w:spacing w:before="60" w:after="60"/>
              <w:rPr>
                <w:i/>
                <w:iCs/>
                <w:lang w:eastAsia="en-US"/>
              </w:rPr>
            </w:pPr>
            <m:oMath>
              <m:sSub>
                <m:sSubPr>
                  <m:ctrlPr>
                    <w:rPr>
                      <w:rFonts w:ascii="Cambria Math" w:hAnsi="Cambria Math"/>
                      <w:i/>
                    </w:rPr>
                  </m:ctrlPr>
                </m:sSubPr>
                <m:e>
                  <m:r>
                    <m:rPr>
                      <m:sty m:val="bi"/>
                    </m:rPr>
                    <w:rPr>
                      <w:rFonts w:ascii="Cambria Math" w:hAnsi="Cambria Math"/>
                    </w:rPr>
                    <m:t>EG</m:t>
                  </m:r>
                </m:e>
                <m:sub>
                  <m:r>
                    <m:rPr>
                      <m:sty m:val="bi"/>
                    </m:rPr>
                    <w:rPr>
                      <w:rFonts w:ascii="Cambria Math" w:hAnsi="Cambria Math"/>
                    </w:rPr>
                    <m:t>s</m:t>
                  </m:r>
                  <m:r>
                    <w:rPr>
                      <w:rFonts w:ascii="Cambria Math" w:hAnsi="Cambria Math"/>
                    </w:rPr>
                    <m:t>,</m:t>
                  </m:r>
                  <m:r>
                    <m:rPr>
                      <m:sty m:val="bi"/>
                    </m:rPr>
                    <w:rPr>
                      <w:rFonts w:ascii="Cambria Math" w:hAnsi="Cambria Math"/>
                    </w:rPr>
                    <m:t>y</m:t>
                  </m:r>
                </m:sub>
              </m:sSub>
            </m:oMath>
            <w:r w:rsidR="00855332" w:rsidRPr="00855332">
              <w:rPr>
                <w:b/>
                <w:bCs/>
                <w:i/>
                <w:iCs/>
              </w:rPr>
              <w:t>:</w:t>
            </w:r>
            <w:r w:rsidR="00855332">
              <w:t xml:space="preserve"> </w:t>
            </w:r>
            <w:r w:rsidR="00925217">
              <w:rPr>
                <w:lang w:eastAsia="en-US"/>
              </w:rPr>
              <w:t xml:space="preserve">Electricity generated by </w:t>
            </w:r>
            <w:r w:rsidR="002B360A">
              <w:rPr>
                <w:lang w:eastAsia="en-US"/>
              </w:rPr>
              <w:t xml:space="preserve">the </w:t>
            </w:r>
            <w:r w:rsidR="004B38DB">
              <w:t xml:space="preserve">electricity generation </w:t>
            </w:r>
            <w:r w:rsidR="00925217" w:rsidDel="002673E6">
              <w:rPr>
                <w:lang w:eastAsia="en-US"/>
              </w:rPr>
              <w:t>source</w:t>
            </w:r>
            <w:r w:rsidR="004B38DB">
              <w:t> </w:t>
            </w:r>
            <w:r w:rsidR="004B38DB" w:rsidRPr="00563551">
              <w:rPr>
                <w:i/>
                <w:iCs/>
              </w:rPr>
              <w:t>s</w:t>
            </w:r>
            <w:r w:rsidR="00925217">
              <w:rPr>
                <w:lang w:eastAsia="en-US"/>
              </w:rPr>
              <w:t xml:space="preserve"> in </w:t>
            </w:r>
            <w:r w:rsidR="00925217" w:rsidRPr="04379C71">
              <w:rPr>
                <w:lang w:eastAsia="en-US"/>
              </w:rPr>
              <w:t>year</w:t>
            </w:r>
            <w:r w:rsidR="00B141B0" w:rsidRPr="04379C71">
              <w:rPr>
                <w:lang w:eastAsia="en-US"/>
              </w:rPr>
              <w:t> </w:t>
            </w:r>
            <w:r w:rsidR="00925217" w:rsidRPr="04379C71">
              <w:rPr>
                <w:i/>
                <w:iCs/>
                <w:lang w:eastAsia="en-US"/>
              </w:rPr>
              <w:t>y</w:t>
            </w:r>
          </w:p>
          <w:p w14:paraId="250B2D66" w14:textId="799B508F" w:rsidR="00925217" w:rsidRPr="00855332" w:rsidRDefault="00000000" w:rsidP="005C5484">
            <w:pPr>
              <w:pStyle w:val="SDMTableBoxParaNotNumbered"/>
              <w:keepNext/>
              <w:spacing w:before="60" w:after="60"/>
              <w:rPr>
                <w:b/>
                <w:lang w:eastAsia="en-US"/>
              </w:rPr>
            </w:pPr>
            <m:oMath>
              <m:sSub>
                <m:sSubPr>
                  <m:ctrlPr>
                    <w:rPr>
                      <w:rFonts w:ascii="Cambria Math" w:hAnsi="Cambria Math"/>
                      <w:i/>
                    </w:rPr>
                  </m:ctrlPr>
                </m:sSubPr>
                <m:e>
                  <m:r>
                    <m:rPr>
                      <m:sty m:val="bi"/>
                    </m:rPr>
                    <w:rPr>
                      <w:rFonts w:ascii="Cambria Math" w:hAnsi="Cambria Math"/>
                    </w:rPr>
                    <m:t>EG</m:t>
                  </m:r>
                </m:e>
                <m:sub>
                  <m:r>
                    <m:rPr>
                      <m:sty m:val="bi"/>
                    </m:rPr>
                    <w:rPr>
                      <w:rFonts w:ascii="Cambria Math" w:hAnsi="Cambria Math"/>
                    </w:rPr>
                    <m:t>s</m:t>
                  </m:r>
                  <m:r>
                    <w:rPr>
                      <w:rFonts w:ascii="Cambria Math" w:hAnsi="Cambria Math"/>
                    </w:rPr>
                    <m:t>,</m:t>
                  </m:r>
                  <m:r>
                    <m:rPr>
                      <m:sty m:val="bi"/>
                    </m:rPr>
                    <w:rPr>
                      <w:rFonts w:ascii="Cambria Math" w:hAnsi="Cambria Math"/>
                    </w:rPr>
                    <m:t>h</m:t>
                  </m:r>
                </m:sub>
              </m:sSub>
            </m:oMath>
            <w:r w:rsidR="00855332" w:rsidRPr="00855332">
              <w:rPr>
                <w:b/>
                <w:bCs/>
                <w:i/>
              </w:rPr>
              <w:t>:</w:t>
            </w:r>
            <w:r w:rsidR="00855332">
              <w:rPr>
                <w:i/>
              </w:rPr>
              <w:t xml:space="preserve"> </w:t>
            </w:r>
            <w:r w:rsidR="00855332">
              <w:rPr>
                <w:lang w:eastAsia="en-US"/>
              </w:rPr>
              <w:t xml:space="preserve">Electricity generated by </w:t>
            </w:r>
            <w:r w:rsidR="002B360A">
              <w:rPr>
                <w:lang w:eastAsia="en-US"/>
              </w:rPr>
              <w:t xml:space="preserve">the </w:t>
            </w:r>
            <w:r w:rsidR="00855332">
              <w:t>electricity generation</w:t>
            </w:r>
            <w:r w:rsidR="004B38DB">
              <w:t xml:space="preserve"> </w:t>
            </w:r>
            <w:r w:rsidR="004B38DB">
              <w:rPr>
                <w:lang w:eastAsia="en-US"/>
              </w:rPr>
              <w:t>source</w:t>
            </w:r>
            <w:r w:rsidR="004B38DB">
              <w:t> </w:t>
            </w:r>
            <w:r w:rsidR="004B38DB" w:rsidRPr="00563551">
              <w:rPr>
                <w:i/>
                <w:iCs/>
              </w:rPr>
              <w:t>s</w:t>
            </w:r>
            <w:r w:rsidR="00925217">
              <w:rPr>
                <w:lang w:eastAsia="en-US"/>
              </w:rPr>
              <w:t xml:space="preserve"> in </w:t>
            </w:r>
            <w:r w:rsidR="440B7D91" w:rsidRPr="311FE724">
              <w:rPr>
                <w:lang w:eastAsia="en-US"/>
              </w:rPr>
              <w:t>hour</w:t>
            </w:r>
            <w:r w:rsidR="00D97A6B">
              <w:rPr>
                <w:lang w:eastAsia="en-US"/>
              </w:rPr>
              <w:t> </w:t>
            </w:r>
            <w:r w:rsidR="440B7D91" w:rsidRPr="0A0D995A">
              <w:rPr>
                <w:i/>
                <w:iCs/>
                <w:lang w:eastAsia="en-US"/>
              </w:rPr>
              <w:t>h</w:t>
            </w:r>
          </w:p>
        </w:tc>
      </w:tr>
      <w:tr w:rsidR="00631269" w:rsidRPr="00131981" w14:paraId="13997944" w14:textId="77777777" w:rsidTr="00F36908">
        <w:trPr>
          <w:trHeight w:val="300"/>
        </w:trPr>
        <w:tc>
          <w:tcPr>
            <w:tcW w:w="2552" w:type="dxa"/>
          </w:tcPr>
          <w:p w14:paraId="04DE3224" w14:textId="77777777" w:rsidR="00925217" w:rsidRPr="00131981" w:rsidRDefault="00925217" w:rsidP="00F36908">
            <w:pPr>
              <w:pStyle w:val="SDMTableBoxParaNotNumbered"/>
              <w:spacing w:before="60" w:after="60"/>
            </w:pPr>
            <w:r w:rsidRPr="00131981">
              <w:t>Data unit</w:t>
            </w:r>
          </w:p>
        </w:tc>
        <w:tc>
          <w:tcPr>
            <w:tcW w:w="6804" w:type="dxa"/>
            <w:gridSpan w:val="4"/>
          </w:tcPr>
          <w:p w14:paraId="5B365104" w14:textId="068E3E1C" w:rsidR="00C114D2" w:rsidRDefault="00000000" w:rsidP="00F36908">
            <w:pPr>
              <w:pStyle w:val="SDMTableBoxParaNotNumbered"/>
              <w:spacing w:before="60" w:after="60"/>
            </w:pPr>
            <m:oMath>
              <m:sSub>
                <m:sSubPr>
                  <m:ctrlPr>
                    <w:rPr>
                      <w:rFonts w:ascii="Cambria Math" w:hAnsi="Cambria Math"/>
                      <w:i/>
                    </w:rPr>
                  </m:ctrlPr>
                </m:sSubPr>
                <m:e>
                  <m:r>
                    <m:rPr>
                      <m:sty m:val="bi"/>
                    </m:rPr>
                    <w:rPr>
                      <w:rFonts w:ascii="Cambria Math" w:hAnsi="Cambria Math"/>
                    </w:rPr>
                    <m:t>EG</m:t>
                  </m:r>
                </m:e>
                <m:sub>
                  <m:r>
                    <m:rPr>
                      <m:sty m:val="bi"/>
                    </m:rPr>
                    <w:rPr>
                      <w:rFonts w:ascii="Cambria Math" w:hAnsi="Cambria Math"/>
                    </w:rPr>
                    <m:t>s</m:t>
                  </m:r>
                  <m:r>
                    <w:rPr>
                      <w:rFonts w:ascii="Cambria Math" w:hAnsi="Cambria Math"/>
                    </w:rPr>
                    <m:t>,</m:t>
                  </m:r>
                  <m:r>
                    <m:rPr>
                      <m:sty m:val="bi"/>
                    </m:rPr>
                    <w:rPr>
                      <w:rFonts w:ascii="Cambria Math" w:hAnsi="Cambria Math"/>
                    </w:rPr>
                    <m:t>y</m:t>
                  </m:r>
                </m:sub>
              </m:sSub>
            </m:oMath>
            <w:r w:rsidR="00855332" w:rsidRPr="00855332">
              <w:rPr>
                <w:b/>
                <w:bCs/>
                <w:i/>
                <w:iCs/>
              </w:rPr>
              <w:t>:</w:t>
            </w:r>
            <w:r w:rsidR="1D1B050D">
              <w:t xml:space="preserve"> </w:t>
            </w:r>
            <w:r w:rsidR="00925217">
              <w:t>MWh</w:t>
            </w:r>
            <w:r w:rsidR="00044CB8">
              <w:t xml:space="preserve"> in </w:t>
            </w:r>
            <w:r w:rsidR="00925217">
              <w:t>year</w:t>
            </w:r>
            <w:r w:rsidR="006F7A0B">
              <w:t> </w:t>
            </w:r>
            <w:r w:rsidR="00044CB8" w:rsidRPr="00044CB8">
              <w:rPr>
                <w:i/>
                <w:iCs/>
              </w:rPr>
              <w:t>y</w:t>
            </w:r>
          </w:p>
          <w:p w14:paraId="4DCEDA4C" w14:textId="5EA186A1" w:rsidR="00925217" w:rsidRPr="008C2BFB" w:rsidRDefault="00000000" w:rsidP="00F36908">
            <w:pPr>
              <w:pStyle w:val="SDMTableBoxParaNotNumbered"/>
              <w:spacing w:before="60" w:after="60"/>
            </w:pPr>
            <m:oMath>
              <m:sSub>
                <m:sSubPr>
                  <m:ctrlPr>
                    <w:rPr>
                      <w:rFonts w:ascii="Cambria Math" w:hAnsi="Cambria Math"/>
                      <w:i/>
                    </w:rPr>
                  </m:ctrlPr>
                </m:sSubPr>
                <m:e>
                  <m:r>
                    <m:rPr>
                      <m:sty m:val="bi"/>
                    </m:rPr>
                    <w:rPr>
                      <w:rFonts w:ascii="Cambria Math" w:hAnsi="Cambria Math"/>
                    </w:rPr>
                    <m:t>EG</m:t>
                  </m:r>
                </m:e>
                <m:sub>
                  <m:r>
                    <m:rPr>
                      <m:sty m:val="bi"/>
                    </m:rPr>
                    <w:rPr>
                      <w:rFonts w:ascii="Cambria Math" w:hAnsi="Cambria Math"/>
                    </w:rPr>
                    <m:t>s</m:t>
                  </m:r>
                  <m:r>
                    <w:rPr>
                      <w:rFonts w:ascii="Cambria Math" w:hAnsi="Cambria Math"/>
                    </w:rPr>
                    <m:t>,</m:t>
                  </m:r>
                  <m:r>
                    <m:rPr>
                      <m:sty m:val="bi"/>
                    </m:rPr>
                    <w:rPr>
                      <w:rFonts w:ascii="Cambria Math" w:hAnsi="Cambria Math"/>
                    </w:rPr>
                    <m:t>h</m:t>
                  </m:r>
                </m:sub>
              </m:sSub>
            </m:oMath>
            <w:r w:rsidR="00C114D2" w:rsidRPr="00855332">
              <w:rPr>
                <w:b/>
                <w:bCs/>
                <w:i/>
                <w:iCs/>
              </w:rPr>
              <w:t>:</w:t>
            </w:r>
            <w:r w:rsidR="00C114D2">
              <w:t xml:space="preserve"> </w:t>
            </w:r>
            <w:r w:rsidR="1D1B050D">
              <w:t>MWh</w:t>
            </w:r>
            <w:r w:rsidR="00044CB8">
              <w:t xml:space="preserve"> in hour</w:t>
            </w:r>
            <w:r w:rsidR="006F7A0B">
              <w:t> </w:t>
            </w:r>
            <w:r w:rsidR="00C114D2" w:rsidRPr="00044CB8">
              <w:rPr>
                <w:i/>
                <w:iCs/>
              </w:rPr>
              <w:t>h</w:t>
            </w:r>
          </w:p>
        </w:tc>
      </w:tr>
      <w:tr w:rsidR="00631269" w:rsidRPr="00131981" w14:paraId="07144B6A" w14:textId="77777777" w:rsidTr="00F36908">
        <w:trPr>
          <w:trHeight w:val="300"/>
        </w:trPr>
        <w:tc>
          <w:tcPr>
            <w:tcW w:w="2552" w:type="dxa"/>
          </w:tcPr>
          <w:p w14:paraId="01CDEF83" w14:textId="77777777" w:rsidR="00925217" w:rsidRPr="00131981" w:rsidRDefault="00925217" w:rsidP="00F36908">
            <w:pPr>
              <w:pStyle w:val="SDMTableBoxParaNotNumbered"/>
              <w:spacing w:before="60" w:after="60"/>
            </w:pPr>
            <w:r w:rsidRPr="00131981">
              <w:t>Equations referred</w:t>
            </w:r>
          </w:p>
        </w:tc>
        <w:tc>
          <w:tcPr>
            <w:tcW w:w="6804" w:type="dxa"/>
            <w:gridSpan w:val="4"/>
            <w:tcBorders>
              <w:bottom w:val="single" w:sz="4" w:space="0" w:color="auto"/>
            </w:tcBorders>
          </w:tcPr>
          <w:p w14:paraId="546A24D8" w14:textId="77777777" w:rsidR="00925217" w:rsidRPr="008C2BFB" w:rsidRDefault="00925217" w:rsidP="00F36908">
            <w:pPr>
              <w:pStyle w:val="SDMTableBoxParaNotNumbered"/>
              <w:spacing w:before="60" w:after="60"/>
            </w:pPr>
          </w:p>
        </w:tc>
      </w:tr>
      <w:tr w:rsidR="00565212" w:rsidRPr="00131981" w14:paraId="4DF9C18C" w14:textId="77777777" w:rsidTr="00F36908">
        <w:trPr>
          <w:trHeight w:val="300"/>
        </w:trPr>
        <w:tc>
          <w:tcPr>
            <w:tcW w:w="2552" w:type="dxa"/>
          </w:tcPr>
          <w:p w14:paraId="309DDCED" w14:textId="77777777" w:rsidR="00925217" w:rsidRPr="00131981" w:rsidRDefault="00925217" w:rsidP="00F36908">
            <w:pPr>
              <w:pStyle w:val="SDMTableBoxParaNotNumbered"/>
              <w:spacing w:before="60" w:after="60"/>
            </w:pPr>
            <w:r w:rsidRPr="00131981">
              <w:t>Purpose of data</w:t>
            </w:r>
          </w:p>
        </w:tc>
        <w:tc>
          <w:tcPr>
            <w:tcW w:w="2268" w:type="dxa"/>
            <w:gridSpan w:val="2"/>
            <w:tcBorders>
              <w:right w:val="nil"/>
            </w:tcBorders>
          </w:tcPr>
          <w:p w14:paraId="33314B83" w14:textId="77777777" w:rsidR="00925217" w:rsidRPr="005D7E1B" w:rsidRDefault="00105EE4" w:rsidP="00F36908">
            <w:pPr>
              <w:pStyle w:val="SDMTableBoxParaNotNumbered"/>
              <w:spacing w:before="60" w:after="60"/>
            </w:pPr>
            <w:r w:rsidRPr="005D7E1B">
              <w:rPr>
                <w:rFonts w:asciiTheme="minorBidi" w:hAnsiTheme="minorBidi" w:cstheme="minorBidi"/>
                <w:shd w:val="clear" w:color="auto" w:fill="E6E6E6"/>
              </w:rPr>
              <w:fldChar w:fldCharType="begin">
                <w:ffData>
                  <w:name w:val=""/>
                  <w:enabled/>
                  <w:calcOnExit w:val="0"/>
                  <w:checkBox>
                    <w:size w:val="20"/>
                    <w:default w:val="1"/>
                  </w:checkBox>
                </w:ffData>
              </w:fldChar>
            </w:r>
            <w:r w:rsidRPr="005D7E1B">
              <w:rPr>
                <w:rFonts w:asciiTheme="minorBidi" w:hAnsiTheme="minorBidi" w:cstheme="minorBidi"/>
                <w:shd w:val="clear" w:color="auto" w:fill="E6E6E6"/>
              </w:rPr>
              <w:instrText xml:space="preserve"> FORMCHECKBOX </w:instrText>
            </w:r>
            <w:r w:rsidR="00000000">
              <w:rPr>
                <w:rFonts w:asciiTheme="minorBidi" w:hAnsiTheme="minorBidi" w:cstheme="minorBidi"/>
                <w:shd w:val="clear" w:color="auto" w:fill="E6E6E6"/>
              </w:rPr>
            </w:r>
            <w:r w:rsidR="00000000">
              <w:rPr>
                <w:rFonts w:asciiTheme="minorBidi" w:hAnsiTheme="minorBidi" w:cstheme="minorBidi"/>
                <w:shd w:val="clear" w:color="auto" w:fill="E6E6E6"/>
              </w:rPr>
              <w:fldChar w:fldCharType="separate"/>
            </w:r>
            <w:r w:rsidRPr="005D7E1B">
              <w:rPr>
                <w:rFonts w:asciiTheme="minorBidi" w:hAnsiTheme="minorBidi" w:cstheme="minorBidi"/>
                <w:shd w:val="clear" w:color="auto" w:fill="E6E6E6"/>
              </w:rPr>
              <w:fldChar w:fldCharType="end"/>
            </w:r>
            <w:r>
              <w:rPr>
                <w:rFonts w:asciiTheme="minorBidi" w:hAnsiTheme="minorBidi" w:cstheme="minorBidi"/>
                <w:shd w:val="clear" w:color="auto" w:fill="E6E6E6"/>
              </w:rPr>
              <w:t xml:space="preserve"> </w:t>
            </w:r>
            <w:r w:rsidR="00925217" w:rsidRPr="005D7E1B">
              <w:rPr>
                <w:rFonts w:asciiTheme="minorBidi" w:hAnsiTheme="minorBidi" w:cstheme="minorBidi"/>
              </w:rPr>
              <w:t>Baseline emissions</w:t>
            </w:r>
          </w:p>
        </w:tc>
        <w:tc>
          <w:tcPr>
            <w:tcW w:w="2126" w:type="dxa"/>
            <w:tcBorders>
              <w:left w:val="nil"/>
              <w:right w:val="nil"/>
            </w:tcBorders>
          </w:tcPr>
          <w:p w14:paraId="052AAB26" w14:textId="77777777" w:rsidR="00925217" w:rsidRPr="005D7E1B" w:rsidRDefault="00105EE4" w:rsidP="00F36908">
            <w:pPr>
              <w:pStyle w:val="SDMTableBoxParaNotNumbered"/>
              <w:spacing w:before="60" w:after="60"/>
            </w:pPr>
            <w:r w:rsidRPr="005D7E1B">
              <w:rPr>
                <w:rFonts w:asciiTheme="minorBidi" w:hAnsiTheme="minorBidi" w:cstheme="minorBidi"/>
                <w:shd w:val="clear" w:color="auto" w:fill="E6E6E6"/>
              </w:rPr>
              <w:fldChar w:fldCharType="begin">
                <w:ffData>
                  <w:name w:val=""/>
                  <w:enabled/>
                  <w:calcOnExit w:val="0"/>
                  <w:checkBox>
                    <w:size w:val="20"/>
                    <w:default w:val="1"/>
                  </w:checkBox>
                </w:ffData>
              </w:fldChar>
            </w:r>
            <w:r w:rsidRPr="005D7E1B">
              <w:rPr>
                <w:rFonts w:asciiTheme="minorBidi" w:hAnsiTheme="minorBidi" w:cstheme="minorBidi"/>
                <w:shd w:val="clear" w:color="auto" w:fill="E6E6E6"/>
              </w:rPr>
              <w:instrText xml:space="preserve"> FORMCHECKBOX </w:instrText>
            </w:r>
            <w:r w:rsidR="00000000">
              <w:rPr>
                <w:rFonts w:asciiTheme="minorBidi" w:hAnsiTheme="minorBidi" w:cstheme="minorBidi"/>
                <w:shd w:val="clear" w:color="auto" w:fill="E6E6E6"/>
              </w:rPr>
            </w:r>
            <w:r w:rsidR="00000000">
              <w:rPr>
                <w:rFonts w:asciiTheme="minorBidi" w:hAnsiTheme="minorBidi" w:cstheme="minorBidi"/>
                <w:shd w:val="clear" w:color="auto" w:fill="E6E6E6"/>
              </w:rPr>
              <w:fldChar w:fldCharType="separate"/>
            </w:r>
            <w:r w:rsidRPr="005D7E1B">
              <w:rPr>
                <w:rFonts w:asciiTheme="minorBidi" w:hAnsiTheme="minorBidi" w:cstheme="minorBidi"/>
                <w:shd w:val="clear" w:color="auto" w:fill="E6E6E6"/>
              </w:rPr>
              <w:fldChar w:fldCharType="end"/>
            </w:r>
            <w:r w:rsidR="00925217" w:rsidRPr="3161B3F5">
              <w:rPr>
                <w:rFonts w:asciiTheme="minorBidi" w:hAnsiTheme="minorBidi" w:cstheme="minorBidi"/>
              </w:rPr>
              <w:fldChar w:fldCharType="begin"/>
            </w:r>
            <w:r w:rsidR="00925217" w:rsidRPr="3161B3F5">
              <w:rPr>
                <w:rFonts w:asciiTheme="minorBidi" w:hAnsiTheme="minorBidi" w:cstheme="minorBidi"/>
              </w:rPr>
              <w:instrText xml:space="preserve"> FORMCHECKBOX </w:instrText>
            </w:r>
            <w:r w:rsidR="00000000">
              <w:rPr>
                <w:rFonts w:asciiTheme="minorBidi" w:hAnsiTheme="minorBidi" w:cstheme="minorBidi"/>
              </w:rPr>
              <w:fldChar w:fldCharType="separate"/>
            </w:r>
            <w:r w:rsidR="00925217" w:rsidRPr="3161B3F5">
              <w:rPr>
                <w:rFonts w:asciiTheme="minorBidi" w:hAnsiTheme="minorBidi" w:cstheme="minorBidi"/>
              </w:rPr>
              <w:fldChar w:fldCharType="end"/>
            </w:r>
            <w:r w:rsidR="00925217" w:rsidRPr="005D7E1B">
              <w:rPr>
                <w:rFonts w:asciiTheme="minorBidi" w:hAnsiTheme="minorBidi" w:cstheme="minorBidi"/>
              </w:rPr>
              <w:t xml:space="preserve"> Project emissions</w:t>
            </w:r>
          </w:p>
        </w:tc>
        <w:tc>
          <w:tcPr>
            <w:tcW w:w="2410" w:type="dxa"/>
            <w:tcBorders>
              <w:left w:val="nil"/>
            </w:tcBorders>
          </w:tcPr>
          <w:p w14:paraId="50F47A04" w14:textId="77777777" w:rsidR="00925217" w:rsidRPr="005D7E1B" w:rsidRDefault="00105EE4" w:rsidP="00F36908">
            <w:pPr>
              <w:pStyle w:val="SDMTableBoxParaNotNumbered"/>
              <w:spacing w:before="60" w:after="60"/>
            </w:pPr>
            <w:r w:rsidRPr="005D7E1B">
              <w:rPr>
                <w:rFonts w:asciiTheme="minorBidi" w:hAnsiTheme="minorBidi" w:cstheme="minorBidi"/>
                <w:shd w:val="clear" w:color="auto" w:fill="E6E6E6"/>
              </w:rPr>
              <w:fldChar w:fldCharType="begin">
                <w:ffData>
                  <w:name w:val=""/>
                  <w:enabled/>
                  <w:calcOnExit w:val="0"/>
                  <w:checkBox>
                    <w:size w:val="20"/>
                    <w:default w:val="1"/>
                  </w:checkBox>
                </w:ffData>
              </w:fldChar>
            </w:r>
            <w:r w:rsidRPr="005D7E1B">
              <w:rPr>
                <w:rFonts w:asciiTheme="minorBidi" w:hAnsiTheme="minorBidi" w:cstheme="minorBidi"/>
                <w:shd w:val="clear" w:color="auto" w:fill="E6E6E6"/>
              </w:rPr>
              <w:instrText xml:space="preserve"> FORMCHECKBOX </w:instrText>
            </w:r>
            <w:r w:rsidR="00000000">
              <w:rPr>
                <w:rFonts w:asciiTheme="minorBidi" w:hAnsiTheme="minorBidi" w:cstheme="minorBidi"/>
                <w:shd w:val="clear" w:color="auto" w:fill="E6E6E6"/>
              </w:rPr>
            </w:r>
            <w:r w:rsidR="00000000">
              <w:rPr>
                <w:rFonts w:asciiTheme="minorBidi" w:hAnsiTheme="minorBidi" w:cstheme="minorBidi"/>
                <w:shd w:val="clear" w:color="auto" w:fill="E6E6E6"/>
              </w:rPr>
              <w:fldChar w:fldCharType="separate"/>
            </w:r>
            <w:r w:rsidRPr="005D7E1B">
              <w:rPr>
                <w:rFonts w:asciiTheme="minorBidi" w:hAnsiTheme="minorBidi" w:cstheme="minorBidi"/>
                <w:shd w:val="clear" w:color="auto" w:fill="E6E6E6"/>
              </w:rPr>
              <w:fldChar w:fldCharType="end"/>
            </w:r>
            <w:r w:rsidR="00925217" w:rsidRPr="3161B3F5">
              <w:rPr>
                <w:rFonts w:asciiTheme="minorBidi" w:hAnsiTheme="minorBidi" w:cstheme="minorBidi"/>
              </w:rPr>
              <w:fldChar w:fldCharType="begin"/>
            </w:r>
            <w:r w:rsidR="00925217" w:rsidRPr="3161B3F5">
              <w:rPr>
                <w:rFonts w:asciiTheme="minorBidi" w:hAnsiTheme="minorBidi" w:cstheme="minorBidi"/>
              </w:rPr>
              <w:instrText xml:space="preserve"> FORMCHECKBOX </w:instrText>
            </w:r>
            <w:r w:rsidR="00000000">
              <w:rPr>
                <w:rFonts w:asciiTheme="minorBidi" w:hAnsiTheme="minorBidi" w:cstheme="minorBidi"/>
              </w:rPr>
              <w:fldChar w:fldCharType="separate"/>
            </w:r>
            <w:r w:rsidR="00925217" w:rsidRPr="3161B3F5">
              <w:rPr>
                <w:rFonts w:asciiTheme="minorBidi" w:hAnsiTheme="minorBidi" w:cstheme="minorBidi"/>
              </w:rPr>
              <w:fldChar w:fldCharType="end"/>
            </w:r>
            <w:r w:rsidR="00925217" w:rsidRPr="005D7E1B">
              <w:rPr>
                <w:rFonts w:asciiTheme="minorBidi" w:hAnsiTheme="minorBidi" w:cstheme="minorBidi"/>
              </w:rPr>
              <w:t xml:space="preserve"> Leakage emissions</w:t>
            </w:r>
          </w:p>
        </w:tc>
      </w:tr>
      <w:tr w:rsidR="00631269" w:rsidRPr="00131981" w14:paraId="531588FB" w14:textId="77777777" w:rsidTr="00F36908">
        <w:trPr>
          <w:trHeight w:val="300"/>
        </w:trPr>
        <w:tc>
          <w:tcPr>
            <w:tcW w:w="2552" w:type="dxa"/>
          </w:tcPr>
          <w:p w14:paraId="0182E663" w14:textId="77777777" w:rsidR="00925217" w:rsidRPr="00131981" w:rsidRDefault="00EE08C1" w:rsidP="00F36908">
            <w:pPr>
              <w:pStyle w:val="SDMTableBoxParaNotNumbered"/>
              <w:spacing w:before="60" w:after="60"/>
            </w:pPr>
            <w:r>
              <w:t>Measurement and updating frequency</w:t>
            </w:r>
          </w:p>
        </w:tc>
        <w:tc>
          <w:tcPr>
            <w:tcW w:w="6804" w:type="dxa"/>
            <w:gridSpan w:val="4"/>
          </w:tcPr>
          <w:p w14:paraId="1646D416" w14:textId="77777777" w:rsidR="00F74E46" w:rsidRDefault="00000000" w:rsidP="00F36908">
            <w:pPr>
              <w:pStyle w:val="SDMTableBoxParaNotNumbered"/>
              <w:spacing w:before="60" w:after="60"/>
              <w:rPr>
                <w:i/>
                <w:iCs/>
                <w:lang w:eastAsia="en-US"/>
              </w:rPr>
            </w:pPr>
            <m:oMath>
              <m:sSub>
                <m:sSubPr>
                  <m:ctrlPr>
                    <w:rPr>
                      <w:rFonts w:ascii="Cambria Math" w:hAnsi="Cambria Math"/>
                      <w:i/>
                    </w:rPr>
                  </m:ctrlPr>
                </m:sSubPr>
                <m:e>
                  <m:r>
                    <m:rPr>
                      <m:sty m:val="bi"/>
                    </m:rPr>
                    <w:rPr>
                      <w:rFonts w:ascii="Cambria Math" w:hAnsi="Cambria Math"/>
                    </w:rPr>
                    <m:t>EG</m:t>
                  </m:r>
                </m:e>
                <m:sub>
                  <m:r>
                    <m:rPr>
                      <m:sty m:val="bi"/>
                    </m:rPr>
                    <w:rPr>
                      <w:rFonts w:ascii="Cambria Math" w:hAnsi="Cambria Math"/>
                    </w:rPr>
                    <m:t>s</m:t>
                  </m:r>
                  <m:r>
                    <w:rPr>
                      <w:rFonts w:ascii="Cambria Math" w:hAnsi="Cambria Math"/>
                    </w:rPr>
                    <m:t>,</m:t>
                  </m:r>
                  <m:r>
                    <m:rPr>
                      <m:sty m:val="bi"/>
                    </m:rPr>
                    <w:rPr>
                      <w:rFonts w:ascii="Cambria Math" w:hAnsi="Cambria Math"/>
                    </w:rPr>
                    <m:t>y</m:t>
                  </m:r>
                </m:sub>
              </m:sSub>
            </m:oMath>
            <w:r w:rsidR="6CFDA688" w:rsidRPr="6BB59D32">
              <w:rPr>
                <w:b/>
                <w:bCs/>
                <w:i/>
                <w:iCs/>
              </w:rPr>
              <w:t>:</w:t>
            </w:r>
            <w:r w:rsidR="6CFDA688">
              <w:t xml:space="preserve"> </w:t>
            </w:r>
            <w:r w:rsidR="12865A3D" w:rsidRPr="00E33DD3">
              <w:t>Continuous measurement and at least monthly recording</w:t>
            </w:r>
          </w:p>
          <w:p w14:paraId="7A1A03ED" w14:textId="2A6F98D4" w:rsidR="00925217" w:rsidRPr="008C2BFB" w:rsidRDefault="00000000" w:rsidP="00F36908">
            <w:pPr>
              <w:pStyle w:val="SDMTableBoxParaNotNumbered"/>
              <w:spacing w:before="60" w:after="60"/>
            </w:pPr>
            <m:oMath>
              <m:sSub>
                <m:sSubPr>
                  <m:ctrlPr>
                    <w:rPr>
                      <w:rFonts w:ascii="Cambria Math" w:hAnsi="Cambria Math"/>
                      <w:i/>
                    </w:rPr>
                  </m:ctrlPr>
                </m:sSubPr>
                <m:e>
                  <m:r>
                    <m:rPr>
                      <m:sty m:val="bi"/>
                    </m:rPr>
                    <w:rPr>
                      <w:rFonts w:ascii="Cambria Math" w:hAnsi="Cambria Math"/>
                    </w:rPr>
                    <m:t>EG</m:t>
                  </m:r>
                </m:e>
                <m:sub>
                  <m:r>
                    <m:rPr>
                      <m:sty m:val="bi"/>
                    </m:rPr>
                    <w:rPr>
                      <w:rFonts w:ascii="Cambria Math" w:hAnsi="Cambria Math"/>
                    </w:rPr>
                    <m:t>s</m:t>
                  </m:r>
                  <m:r>
                    <w:rPr>
                      <w:rFonts w:ascii="Cambria Math" w:hAnsi="Cambria Math"/>
                    </w:rPr>
                    <m:t>,</m:t>
                  </m:r>
                  <m:r>
                    <m:rPr>
                      <m:sty m:val="bi"/>
                    </m:rPr>
                    <w:rPr>
                      <w:rFonts w:ascii="Cambria Math" w:hAnsi="Cambria Math"/>
                    </w:rPr>
                    <m:t>h</m:t>
                  </m:r>
                </m:sub>
              </m:sSub>
            </m:oMath>
            <w:r w:rsidR="00B813D5" w:rsidRPr="00855332">
              <w:rPr>
                <w:b/>
                <w:bCs/>
                <w:i/>
              </w:rPr>
              <w:t>:</w:t>
            </w:r>
            <w:r w:rsidR="00B813D5">
              <w:rPr>
                <w:i/>
              </w:rPr>
              <w:t xml:space="preserve"> </w:t>
            </w:r>
            <w:r w:rsidR="00B813D5" w:rsidRPr="00E33DD3">
              <w:t xml:space="preserve">Continuous measurement and at least </w:t>
            </w:r>
            <w:r w:rsidR="00B813D5">
              <w:t xml:space="preserve">hourly </w:t>
            </w:r>
            <w:r w:rsidR="00B813D5" w:rsidRPr="00E33DD3">
              <w:t>recording</w:t>
            </w:r>
          </w:p>
        </w:tc>
      </w:tr>
      <w:tr w:rsidR="00631269" w:rsidRPr="00131981" w14:paraId="326B715D" w14:textId="77777777" w:rsidTr="00F36908">
        <w:trPr>
          <w:trHeight w:val="300"/>
        </w:trPr>
        <w:tc>
          <w:tcPr>
            <w:tcW w:w="2552" w:type="dxa"/>
          </w:tcPr>
          <w:p w14:paraId="7C34DA60" w14:textId="77777777" w:rsidR="00925217" w:rsidRPr="00131981" w:rsidRDefault="00925217" w:rsidP="00F36908">
            <w:pPr>
              <w:pStyle w:val="SDMTableBoxParaNotNumbered"/>
              <w:spacing w:before="60" w:after="60"/>
            </w:pPr>
            <w:r w:rsidRPr="00131981">
              <w:t>Measurement methods and procedures</w:t>
            </w:r>
          </w:p>
        </w:tc>
        <w:tc>
          <w:tcPr>
            <w:tcW w:w="6804" w:type="dxa"/>
            <w:gridSpan w:val="4"/>
          </w:tcPr>
          <w:p w14:paraId="12AA82DF" w14:textId="7B0FB7C8" w:rsidR="00925217" w:rsidRPr="008C2BFB" w:rsidRDefault="12865A3D" w:rsidP="00F36908">
            <w:pPr>
              <w:pStyle w:val="SDMTableBoxParaNotNumbered"/>
              <w:spacing w:before="60" w:after="60"/>
            </w:pPr>
            <w:r>
              <w:t xml:space="preserve">Direct measurement or </w:t>
            </w:r>
            <w:r w:rsidR="003540C9">
              <w:t xml:space="preserve">calculation </w:t>
            </w:r>
            <w:r>
              <w:t>based on measurements from more than one electricity meter</w:t>
            </w:r>
          </w:p>
        </w:tc>
      </w:tr>
      <w:tr w:rsidR="00631269" w:rsidRPr="00131981" w14:paraId="4166A15C" w14:textId="77777777" w:rsidTr="00F36908">
        <w:trPr>
          <w:trHeight w:val="107"/>
        </w:trPr>
        <w:tc>
          <w:tcPr>
            <w:tcW w:w="2552" w:type="dxa"/>
          </w:tcPr>
          <w:p w14:paraId="5EE8DA25" w14:textId="77777777" w:rsidR="00925217" w:rsidRPr="00131981" w:rsidRDefault="00925217" w:rsidP="00F36908">
            <w:pPr>
              <w:pStyle w:val="SDMTableBoxParaNotNumbered"/>
              <w:spacing w:before="60" w:after="60"/>
            </w:pPr>
            <w:r w:rsidRPr="00131981">
              <w:t>Entity/person responsible for the measurement</w:t>
            </w:r>
          </w:p>
        </w:tc>
        <w:tc>
          <w:tcPr>
            <w:tcW w:w="6804" w:type="dxa"/>
            <w:gridSpan w:val="4"/>
          </w:tcPr>
          <w:p w14:paraId="2605A3B8" w14:textId="77777777" w:rsidR="00925217" w:rsidRPr="008C2BFB" w:rsidRDefault="00925217" w:rsidP="00F36908">
            <w:pPr>
              <w:pStyle w:val="SDMTableBoxParaNotNumbered"/>
              <w:spacing w:before="60" w:after="60"/>
            </w:pPr>
            <w:r>
              <w:t>Activity participants</w:t>
            </w:r>
          </w:p>
        </w:tc>
      </w:tr>
      <w:tr w:rsidR="00F412BF" w:rsidRPr="00131981" w14:paraId="38E14521" w14:textId="77777777" w:rsidTr="00F36908">
        <w:trPr>
          <w:trHeight w:val="107"/>
        </w:trPr>
        <w:tc>
          <w:tcPr>
            <w:tcW w:w="2552" w:type="dxa"/>
            <w:vMerge w:val="restart"/>
          </w:tcPr>
          <w:p w14:paraId="19492642" w14:textId="77777777" w:rsidR="00925217" w:rsidRPr="00131981" w:rsidRDefault="00925217" w:rsidP="00F36908">
            <w:pPr>
              <w:pStyle w:val="SDMTableBoxParaNotNumbered"/>
              <w:spacing w:before="60" w:after="60"/>
            </w:pPr>
            <w:r w:rsidRPr="00131981">
              <w:t>Measuring instrument(s)</w:t>
            </w:r>
          </w:p>
        </w:tc>
        <w:tc>
          <w:tcPr>
            <w:tcW w:w="1843" w:type="dxa"/>
          </w:tcPr>
          <w:p w14:paraId="264D71AB" w14:textId="77777777" w:rsidR="00925217" w:rsidRPr="008C2BFB" w:rsidRDefault="00925217" w:rsidP="00F36908">
            <w:pPr>
              <w:pStyle w:val="SDMTableBoxParaNotNumbered"/>
              <w:spacing w:before="60" w:after="60"/>
              <w:rPr>
                <w:i/>
                <w:iCs/>
              </w:rPr>
            </w:pPr>
            <w:r w:rsidRPr="008C2BFB">
              <w:rPr>
                <w:i/>
                <w:iCs/>
              </w:rPr>
              <w:t>Type of instrument</w:t>
            </w:r>
          </w:p>
        </w:tc>
        <w:tc>
          <w:tcPr>
            <w:tcW w:w="4961" w:type="dxa"/>
            <w:gridSpan w:val="3"/>
          </w:tcPr>
          <w:p w14:paraId="040E6FBD" w14:textId="6C8B279F" w:rsidR="00925217" w:rsidRPr="008C2BFB" w:rsidRDefault="00300355" w:rsidP="00F36908">
            <w:pPr>
              <w:pStyle w:val="SDMTableBoxParaNotNumbered"/>
              <w:spacing w:before="60" w:after="60"/>
            </w:pPr>
            <w:r w:rsidRPr="00B32E2B">
              <w:t>Electricity-meter(s)</w:t>
            </w:r>
          </w:p>
        </w:tc>
      </w:tr>
      <w:tr w:rsidR="00F412BF" w:rsidRPr="00131981" w14:paraId="79936662" w14:textId="77777777" w:rsidTr="00F36908">
        <w:trPr>
          <w:trHeight w:val="104"/>
        </w:trPr>
        <w:tc>
          <w:tcPr>
            <w:tcW w:w="2552" w:type="dxa"/>
            <w:vMerge/>
          </w:tcPr>
          <w:p w14:paraId="3525E7EB" w14:textId="77777777" w:rsidR="00925217" w:rsidRPr="00131981" w:rsidRDefault="00925217" w:rsidP="00F36908">
            <w:pPr>
              <w:pStyle w:val="SDMTableBoxParaNotNumbered"/>
              <w:spacing w:before="60" w:after="60"/>
            </w:pPr>
          </w:p>
        </w:tc>
        <w:tc>
          <w:tcPr>
            <w:tcW w:w="1843" w:type="dxa"/>
          </w:tcPr>
          <w:p w14:paraId="0A3EEF8D" w14:textId="77777777" w:rsidR="00925217" w:rsidRPr="008C2BFB" w:rsidRDefault="00925217" w:rsidP="00F36908">
            <w:pPr>
              <w:pStyle w:val="SDMTableBoxParaNotNumbered"/>
              <w:spacing w:before="60" w:after="60"/>
              <w:rPr>
                <w:i/>
                <w:iCs/>
              </w:rPr>
            </w:pPr>
            <w:r w:rsidRPr="008C2BFB">
              <w:rPr>
                <w:i/>
                <w:iCs/>
              </w:rPr>
              <w:t>Accuracy class</w:t>
            </w:r>
          </w:p>
        </w:tc>
        <w:tc>
          <w:tcPr>
            <w:tcW w:w="4961" w:type="dxa"/>
            <w:gridSpan w:val="3"/>
          </w:tcPr>
          <w:p w14:paraId="2B78AB26" w14:textId="4C7E2FE8" w:rsidR="00925217" w:rsidRDefault="12865A3D" w:rsidP="00F36908">
            <w:pPr>
              <w:pStyle w:val="SDMTableBoxParaNotNumbered"/>
              <w:spacing w:before="60" w:after="60"/>
            </w:pPr>
            <w:r>
              <w:t xml:space="preserve">If electricity-meters are regulated: in accordance with the </w:t>
            </w:r>
            <w:r w:rsidR="003540C9">
              <w:t xml:space="preserve">specifications </w:t>
            </w:r>
            <w:r>
              <w:t xml:space="preserve">of the meter supplier and/or </w:t>
            </w:r>
            <w:r w:rsidR="006F524E">
              <w:t>with</w:t>
            </w:r>
            <w:r>
              <w:t xml:space="preserve"> the requirements set by the operators </w:t>
            </w:r>
            <w:r w:rsidR="01449AF9">
              <w:t>of the electricity system</w:t>
            </w:r>
            <w:r>
              <w:t xml:space="preserve"> or national requirements</w:t>
            </w:r>
            <w:r w:rsidR="09E6EF36">
              <w:t>.</w:t>
            </w:r>
          </w:p>
          <w:p w14:paraId="4F4A89C0" w14:textId="3B711D00" w:rsidR="00925217" w:rsidRPr="008C2BFB" w:rsidRDefault="12865A3D" w:rsidP="00F36908">
            <w:pPr>
              <w:pStyle w:val="SDMTableBoxParaNotNumbered"/>
              <w:spacing w:before="60" w:after="60"/>
            </w:pPr>
            <w:r>
              <w:t>If electricity</w:t>
            </w:r>
            <w:r w:rsidR="006F524E">
              <w:t xml:space="preserve"> </w:t>
            </w:r>
            <w:r>
              <w:t xml:space="preserve">meters are not regulated: at least </w:t>
            </w:r>
            <w:r w:rsidR="006F524E">
              <w:t xml:space="preserve">accuracy class </w:t>
            </w:r>
            <w:r>
              <w:t xml:space="preserve">0.5, or in accordance with the </w:t>
            </w:r>
            <w:r w:rsidR="0069677F">
              <w:t xml:space="preserve">specifications </w:t>
            </w:r>
            <w:r>
              <w:t>of the meter supplier or national requirements</w:t>
            </w:r>
          </w:p>
        </w:tc>
      </w:tr>
      <w:tr w:rsidR="00F412BF" w:rsidRPr="00131981" w14:paraId="2E859EB3" w14:textId="77777777" w:rsidTr="00F36908">
        <w:trPr>
          <w:trHeight w:val="104"/>
        </w:trPr>
        <w:tc>
          <w:tcPr>
            <w:tcW w:w="2552" w:type="dxa"/>
            <w:vMerge/>
          </w:tcPr>
          <w:p w14:paraId="26CBC36D" w14:textId="77777777" w:rsidR="00925217" w:rsidRPr="00131981" w:rsidRDefault="00925217" w:rsidP="00F36908">
            <w:pPr>
              <w:pStyle w:val="SDMTableBoxParaNotNumbered"/>
              <w:spacing w:before="60" w:after="60"/>
            </w:pPr>
          </w:p>
        </w:tc>
        <w:tc>
          <w:tcPr>
            <w:tcW w:w="1843" w:type="dxa"/>
          </w:tcPr>
          <w:p w14:paraId="7214EFF5" w14:textId="77777777" w:rsidR="00925217" w:rsidRPr="008C2BFB" w:rsidRDefault="00925217" w:rsidP="00F36908">
            <w:pPr>
              <w:pStyle w:val="SDMTableBoxParaNotNumbered"/>
              <w:spacing w:before="60" w:after="60"/>
              <w:rPr>
                <w:i/>
                <w:iCs/>
              </w:rPr>
            </w:pPr>
            <w:r w:rsidRPr="008C2BFB">
              <w:rPr>
                <w:i/>
                <w:iCs/>
              </w:rPr>
              <w:t>Calibration requirements</w:t>
            </w:r>
          </w:p>
        </w:tc>
        <w:tc>
          <w:tcPr>
            <w:tcW w:w="4961" w:type="dxa"/>
            <w:gridSpan w:val="3"/>
          </w:tcPr>
          <w:p w14:paraId="28466F29" w14:textId="17D6B4D8" w:rsidR="00925217" w:rsidRDefault="00925217" w:rsidP="00F36908">
            <w:pPr>
              <w:pStyle w:val="SDMTableBoxParaNotNumbered"/>
              <w:spacing w:before="60" w:after="60"/>
            </w:pPr>
            <w:r>
              <w:t>If electricity</w:t>
            </w:r>
            <w:r w:rsidR="0069677F">
              <w:t xml:space="preserve"> </w:t>
            </w:r>
            <w:r>
              <w:t>meters are regulated: i</w:t>
            </w:r>
            <w:r w:rsidRPr="00C702E2">
              <w:t xml:space="preserve">n accordance with national standards or requirements set by the meter supplier or </w:t>
            </w:r>
            <w:r w:rsidR="00D82EED">
              <w:t xml:space="preserve">by the operators </w:t>
            </w:r>
            <w:r w:rsidR="00F2576C">
              <w:t>of the electricity system</w:t>
            </w:r>
            <w:r>
              <w:t xml:space="preserve">, including </w:t>
            </w:r>
            <w:r w:rsidRPr="00C702E2">
              <w:t>the frequency of calibration</w:t>
            </w:r>
            <w:r>
              <w:t>.</w:t>
            </w:r>
          </w:p>
          <w:p w14:paraId="312333C3" w14:textId="7D726921" w:rsidR="00925217" w:rsidRPr="00812736" w:rsidRDefault="12865A3D" w:rsidP="00F36908">
            <w:pPr>
              <w:pStyle w:val="SDMTableBoxParaNotNumbered"/>
              <w:spacing w:before="60" w:after="60"/>
              <w:rPr>
                <w:rFonts w:ascii="Calibri" w:hAnsi="Calibri" w:cs="Calibri"/>
              </w:rPr>
            </w:pPr>
            <w:r>
              <w:t>If electricity</w:t>
            </w:r>
            <w:r w:rsidR="003106A6">
              <w:t xml:space="preserve"> </w:t>
            </w:r>
            <w:r>
              <w:t xml:space="preserve">meters are not regulated: every </w:t>
            </w:r>
            <w:r w:rsidR="003106A6">
              <w:t xml:space="preserve">three </w:t>
            </w:r>
            <w:r>
              <w:t>years or in accordance with national standards or requirements set by the meter supplier, including the frequency of calibration</w:t>
            </w:r>
          </w:p>
        </w:tc>
      </w:tr>
      <w:tr w:rsidR="00F412BF" w:rsidRPr="00131981" w14:paraId="20EE85D3" w14:textId="77777777" w:rsidTr="00F36908">
        <w:trPr>
          <w:trHeight w:val="104"/>
        </w:trPr>
        <w:tc>
          <w:tcPr>
            <w:tcW w:w="2552" w:type="dxa"/>
            <w:vMerge/>
          </w:tcPr>
          <w:p w14:paraId="57261138" w14:textId="77777777" w:rsidR="00925217" w:rsidRPr="00131981" w:rsidRDefault="00925217" w:rsidP="00F36908">
            <w:pPr>
              <w:pStyle w:val="SDMTableBoxParaNotNumbered"/>
              <w:spacing w:before="60" w:after="60"/>
            </w:pPr>
          </w:p>
        </w:tc>
        <w:tc>
          <w:tcPr>
            <w:tcW w:w="1843" w:type="dxa"/>
          </w:tcPr>
          <w:p w14:paraId="6A6F632A" w14:textId="77777777" w:rsidR="00925217" w:rsidRPr="008C2BFB" w:rsidRDefault="00925217" w:rsidP="00F36908">
            <w:pPr>
              <w:pStyle w:val="SDMTableBoxParaNotNumbered"/>
              <w:spacing w:before="60" w:after="60"/>
              <w:rPr>
                <w:i/>
                <w:iCs/>
              </w:rPr>
            </w:pPr>
            <w:r w:rsidRPr="008C2BFB">
              <w:rPr>
                <w:i/>
                <w:iCs/>
              </w:rPr>
              <w:t>Location</w:t>
            </w:r>
          </w:p>
        </w:tc>
        <w:tc>
          <w:tcPr>
            <w:tcW w:w="4961" w:type="dxa"/>
            <w:gridSpan w:val="3"/>
          </w:tcPr>
          <w:p w14:paraId="4E3C2995" w14:textId="77777777" w:rsidR="00925217" w:rsidRDefault="7DAAF085" w:rsidP="00F36908">
            <w:pPr>
              <w:pStyle w:val="SDMTableBoxParaNotNumbered"/>
              <w:spacing w:before="60" w:after="60"/>
            </w:pPr>
            <w:r>
              <w:t>Scenario A</w:t>
            </w:r>
            <w:r w:rsidR="12865A3D">
              <w:t xml:space="preserve"> and C:</w:t>
            </w:r>
            <w:r w:rsidR="6161FC7C">
              <w:t xml:space="preserve"> electricity system</w:t>
            </w:r>
            <w:r w:rsidR="12865A3D">
              <w:t xml:space="preserve"> interface</w:t>
            </w:r>
            <w:r w:rsidR="7DEAB660">
              <w:t>, where applicable</w:t>
            </w:r>
            <w:r w:rsidR="76BDC5E6">
              <w:t>,</w:t>
            </w:r>
          </w:p>
          <w:p w14:paraId="75142579" w14:textId="293818EA" w:rsidR="00925217" w:rsidRPr="008C2BFB" w:rsidRDefault="5CF8A04A" w:rsidP="00F36908">
            <w:pPr>
              <w:pStyle w:val="SDMTableBoxParaNotNumbered"/>
              <w:spacing w:before="60" w:after="60"/>
            </w:pPr>
            <w:r>
              <w:t>Scenario B and C</w:t>
            </w:r>
            <w:r w:rsidR="12865A3D">
              <w:t xml:space="preserve">: entrance </w:t>
            </w:r>
            <w:r w:rsidR="00AC7532">
              <w:t xml:space="preserve">to </w:t>
            </w:r>
            <w:r w:rsidR="12865A3D">
              <w:t>the electricity consuming facility</w:t>
            </w:r>
            <w:r w:rsidR="0263E2C0">
              <w:t>, where applicable</w:t>
            </w:r>
          </w:p>
        </w:tc>
      </w:tr>
      <w:tr w:rsidR="00AA0E25" w:rsidRPr="00131981" w14:paraId="2CB09FFC" w14:textId="77777777" w:rsidTr="00F36908">
        <w:trPr>
          <w:trHeight w:val="300"/>
        </w:trPr>
        <w:tc>
          <w:tcPr>
            <w:tcW w:w="2552" w:type="dxa"/>
          </w:tcPr>
          <w:p w14:paraId="7990B4A8" w14:textId="77777777" w:rsidR="00925217" w:rsidRPr="00131981" w:rsidRDefault="00925217" w:rsidP="00F36908">
            <w:pPr>
              <w:pStyle w:val="SDMTableBoxParaNotNumbered"/>
              <w:spacing w:before="60" w:after="60"/>
            </w:pPr>
            <w:r w:rsidRPr="00131981">
              <w:t>QA/QC procedures</w:t>
            </w:r>
          </w:p>
        </w:tc>
        <w:tc>
          <w:tcPr>
            <w:tcW w:w="6804" w:type="dxa"/>
            <w:gridSpan w:val="4"/>
          </w:tcPr>
          <w:p w14:paraId="3F6F9C66" w14:textId="7DA9160F" w:rsidR="00925217" w:rsidRDefault="12865A3D" w:rsidP="00F36908">
            <w:pPr>
              <w:pStyle w:val="SDMTableBoxParaNotNumbered"/>
              <w:spacing w:before="60" w:after="60"/>
            </w:pPr>
            <w:r>
              <w:t>In cases where electricity meters are regulated (e.g.</w:t>
            </w:r>
            <w:r w:rsidR="5E5B18C2">
              <w:t>,</w:t>
            </w:r>
            <w:r>
              <w:t xml:space="preserve"> the electricity is supplied by the </w:t>
            </w:r>
            <w:r w:rsidR="2437493D">
              <w:t>electricity sys</w:t>
            </w:r>
            <w:r w:rsidR="63873823">
              <w:t>t</w:t>
            </w:r>
            <w:r w:rsidR="2437493D">
              <w:t>em</w:t>
            </w:r>
            <w:r>
              <w:t xml:space="preserve"> – </w:t>
            </w:r>
            <w:r w:rsidR="00B4424C">
              <w:t>scenario</w:t>
            </w:r>
            <w:r w:rsidR="006F7A0B">
              <w:t> </w:t>
            </w:r>
            <w:r>
              <w:t xml:space="preserve">A), the electricity meter </w:t>
            </w:r>
            <w:r w:rsidR="00AC7532">
              <w:t xml:space="preserve">shall </w:t>
            </w:r>
            <w:r>
              <w:t xml:space="preserve">be subject to regular maintenance and testing in accordance with the stipulation of the meter supplier and/or </w:t>
            </w:r>
            <w:r w:rsidR="00A655DB">
              <w:t xml:space="preserve">with </w:t>
            </w:r>
            <w:r>
              <w:t xml:space="preserve">the requirements set by the operators </w:t>
            </w:r>
            <w:r w:rsidR="01449AF9">
              <w:t>of the electricity system</w:t>
            </w:r>
            <w:r>
              <w:t xml:space="preserve"> or national requirements.</w:t>
            </w:r>
          </w:p>
          <w:p w14:paraId="37CFC933" w14:textId="1DB36E47" w:rsidR="00925217" w:rsidRDefault="12865A3D" w:rsidP="00F36908">
            <w:pPr>
              <w:pStyle w:val="SDMTableBoxParaNotNumbered"/>
              <w:spacing w:before="60" w:after="60"/>
            </w:pPr>
            <w:r>
              <w:t>In cases where electricity meters are not regulated (e.g.</w:t>
            </w:r>
            <w:r w:rsidR="525E5291">
              <w:t>,</w:t>
            </w:r>
            <w:r>
              <w:t xml:space="preserve"> electricity is supplied by </w:t>
            </w:r>
            <w:r w:rsidR="0510C514">
              <w:t>fossil-fuel fired</w:t>
            </w:r>
            <w:r>
              <w:t xml:space="preserve"> captive power plants – </w:t>
            </w:r>
            <w:r w:rsidR="00B4424C">
              <w:t>scenario</w:t>
            </w:r>
            <w:r w:rsidR="006F7A0B">
              <w:t> </w:t>
            </w:r>
            <w:r>
              <w:t xml:space="preserve">B), the electricity meter </w:t>
            </w:r>
            <w:r w:rsidR="00B4424C">
              <w:t xml:space="preserve">shall </w:t>
            </w:r>
            <w:r>
              <w:t>be subject to regular maintenance and testing in accordance with the stipulation of the meter supplier or national requirements.</w:t>
            </w:r>
          </w:p>
          <w:p w14:paraId="396682B1" w14:textId="6820A1A5" w:rsidR="00925217" w:rsidRPr="008C2BFB" w:rsidRDefault="12865A3D" w:rsidP="00F36908">
            <w:pPr>
              <w:pStyle w:val="SDMTableBoxParaNotNumbered"/>
              <w:spacing w:before="60" w:after="60"/>
            </w:pPr>
            <w:r>
              <w:t>The electricity generation (gross or net) shall be cross-checked with records of electricity sale (e.g.</w:t>
            </w:r>
            <w:r w:rsidR="055A917C">
              <w:t>,</w:t>
            </w:r>
            <w:r>
              <w:t xml:space="preserve"> sales receipt</w:t>
            </w:r>
            <w:r w:rsidR="002E49C2">
              <w:t>s</w:t>
            </w:r>
            <w:r>
              <w:t>)</w:t>
            </w:r>
          </w:p>
        </w:tc>
      </w:tr>
      <w:tr w:rsidR="00AA0E25" w:rsidRPr="00131981" w14:paraId="6AF8CE1E" w14:textId="77777777" w:rsidTr="00F36908">
        <w:trPr>
          <w:trHeight w:val="300"/>
        </w:trPr>
        <w:tc>
          <w:tcPr>
            <w:tcW w:w="2552" w:type="dxa"/>
          </w:tcPr>
          <w:p w14:paraId="0EF65EAA" w14:textId="77777777" w:rsidR="00925217" w:rsidRPr="00131981" w:rsidRDefault="00925217" w:rsidP="0038031D">
            <w:pPr>
              <w:pStyle w:val="SDMTableBoxParaNotNumbered"/>
              <w:keepNext/>
              <w:spacing w:before="60" w:after="60"/>
            </w:pPr>
            <w:r>
              <w:t>Treatment of uncertain</w:t>
            </w:r>
            <w:r w:rsidR="008C439E">
              <w:t>ties</w:t>
            </w:r>
          </w:p>
        </w:tc>
        <w:tc>
          <w:tcPr>
            <w:tcW w:w="6804" w:type="dxa"/>
            <w:gridSpan w:val="4"/>
          </w:tcPr>
          <w:p w14:paraId="1C9A6A9D" w14:textId="3A800401" w:rsidR="00925217" w:rsidRPr="009D3FB1" w:rsidRDefault="12865A3D" w:rsidP="00F36908">
            <w:pPr>
              <w:pStyle w:val="SDMTableBoxParaNotNumbered"/>
              <w:spacing w:before="60" w:after="60"/>
            </w:pPr>
            <w:r>
              <w:t>Uncertainties are determined based on the measuring instruments</w:t>
            </w:r>
          </w:p>
        </w:tc>
      </w:tr>
      <w:tr w:rsidR="00AA0E25" w:rsidRPr="00131981" w14:paraId="4B58C1AE" w14:textId="77777777" w:rsidTr="00F36908">
        <w:trPr>
          <w:trHeight w:val="300"/>
        </w:trPr>
        <w:tc>
          <w:tcPr>
            <w:tcW w:w="2552" w:type="dxa"/>
          </w:tcPr>
          <w:p w14:paraId="660840DE" w14:textId="77777777" w:rsidR="00925217" w:rsidRPr="00131981" w:rsidRDefault="00925217" w:rsidP="00F36908">
            <w:pPr>
              <w:pStyle w:val="SDMTableBoxParaNotNumbered"/>
              <w:spacing w:before="60" w:after="60"/>
            </w:pPr>
            <w:r w:rsidRPr="00131981">
              <w:t>Additional comment</w:t>
            </w:r>
          </w:p>
        </w:tc>
        <w:tc>
          <w:tcPr>
            <w:tcW w:w="6804" w:type="dxa"/>
            <w:gridSpan w:val="4"/>
          </w:tcPr>
          <w:p w14:paraId="65AD7B1C" w14:textId="46E63293" w:rsidR="00925217" w:rsidRPr="008C2BFB" w:rsidRDefault="12865A3D" w:rsidP="00F36908">
            <w:pPr>
              <w:pStyle w:val="SDMTableBoxParaNotNumbered"/>
              <w:spacing w:before="60" w:after="60"/>
            </w:pPr>
            <w:r>
              <w:t xml:space="preserve">If the electricity is exported to the </w:t>
            </w:r>
            <w:r w:rsidR="6161FC7C">
              <w:t>electricity system</w:t>
            </w:r>
            <w:r>
              <w:t xml:space="preserve"> using a one-way electricity</w:t>
            </w:r>
            <w:r w:rsidR="002E49C2">
              <w:t xml:space="preserve"> </w:t>
            </w:r>
            <w:r>
              <w:t xml:space="preserve">meter, </w:t>
            </w:r>
            <w:r w:rsidRPr="6BB59D32">
              <w:rPr>
                <w:i/>
                <w:iCs/>
              </w:rPr>
              <w:t>EG</w:t>
            </w:r>
            <w:r w:rsidR="46777379" w:rsidRPr="6BB59D32">
              <w:rPr>
                <w:i/>
                <w:iCs/>
                <w:vertAlign w:val="subscript"/>
              </w:rPr>
              <w:t>s</w:t>
            </w:r>
            <w:r w:rsidRPr="6BB59D32">
              <w:rPr>
                <w:i/>
                <w:iCs/>
                <w:vertAlign w:val="subscript"/>
              </w:rPr>
              <w:t>,y</w:t>
            </w:r>
            <w:r>
              <w:t xml:space="preserve"> </w:t>
            </w:r>
            <w:r w:rsidR="46777379">
              <w:t xml:space="preserve">and </w:t>
            </w:r>
            <w:r w:rsidR="1376C8BD" w:rsidRPr="6BB59D32">
              <w:rPr>
                <w:i/>
                <w:iCs/>
              </w:rPr>
              <w:t>EG</w:t>
            </w:r>
            <w:r w:rsidR="1376C8BD" w:rsidRPr="6BB59D32">
              <w:rPr>
                <w:i/>
                <w:iCs/>
                <w:vertAlign w:val="subscript"/>
              </w:rPr>
              <w:t>s,</w:t>
            </w:r>
            <w:r w:rsidR="46777379" w:rsidRPr="6BB59D32">
              <w:rPr>
                <w:i/>
                <w:iCs/>
                <w:vertAlign w:val="subscript"/>
              </w:rPr>
              <w:t>h</w:t>
            </w:r>
            <w:r>
              <w:t xml:space="preserve"> </w:t>
            </w:r>
            <w:r w:rsidR="46777379">
              <w:t>are</w:t>
            </w:r>
            <w:r>
              <w:t xml:space="preserve"> calculated as </w:t>
            </w:r>
            <w:r w:rsidR="2E7D32EC">
              <w:t>the</w:t>
            </w:r>
            <w:r>
              <w:t xml:space="preserve"> difference between (a) the quantity of electricity supplied by the project plant/unit to the </w:t>
            </w:r>
            <w:r w:rsidR="71BEB722">
              <w:t>electricity system</w:t>
            </w:r>
            <w:r>
              <w:t xml:space="preserve"> and (b) the quantity of electricity </w:t>
            </w:r>
            <w:r w:rsidR="45529DA9">
              <w:t xml:space="preserve">consumed </w:t>
            </w:r>
            <w:r w:rsidR="1E1F2A36">
              <w:t>by</w:t>
            </w:r>
            <w:r w:rsidR="183C5B70">
              <w:t xml:space="preserve"> </w:t>
            </w:r>
            <w:r>
              <w:t xml:space="preserve">the project plant/unit from the </w:t>
            </w:r>
            <w:r w:rsidR="7ECD36F8">
              <w:t>electricity system</w:t>
            </w:r>
          </w:p>
        </w:tc>
      </w:tr>
    </w:tbl>
    <w:p w14:paraId="270B0841" w14:textId="7920F288" w:rsidR="00925217" w:rsidRDefault="00925217" w:rsidP="007066AD">
      <w:pPr>
        <w:pStyle w:val="CaptionFullPage"/>
      </w:pPr>
      <w:bookmarkStart w:id="738" w:name="_Ref220958406"/>
      <w:r>
        <w:t>Data / Parameter table</w:t>
      </w:r>
      <w:r w:rsidR="00D47AFF">
        <w:t> </w:t>
      </w:r>
      <w:r>
        <w:fldChar w:fldCharType="begin"/>
      </w:r>
      <w:r>
        <w:instrText>SEQ Data_/_Parameter_table \* ARABIC</w:instrText>
      </w:r>
      <w:r>
        <w:fldChar w:fldCharType="separate"/>
      </w:r>
      <w:r w:rsidR="00D811A8">
        <w:rPr>
          <w:noProof/>
        </w:rPr>
        <w:t>2</w:t>
      </w:r>
      <w:r>
        <w:fldChar w:fldCharType="end"/>
      </w:r>
      <w:bookmarkEnd w:id="738"/>
      <w:r>
        <w:t>.</w:t>
      </w:r>
    </w:p>
    <w:tbl>
      <w:tblPr>
        <w:tblStyle w:val="TableGrid"/>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571"/>
        <w:gridCol w:w="762"/>
        <w:gridCol w:w="2113"/>
        <w:gridCol w:w="2216"/>
      </w:tblGrid>
      <w:tr w:rsidR="00EB6812" w:rsidRPr="00131981" w14:paraId="4ECE1110" w14:textId="77777777" w:rsidTr="00F36908">
        <w:trPr>
          <w:trHeight w:val="300"/>
        </w:trPr>
        <w:tc>
          <w:tcPr>
            <w:tcW w:w="2552" w:type="dxa"/>
          </w:tcPr>
          <w:p w14:paraId="6D48697F" w14:textId="77777777" w:rsidR="00EB6812" w:rsidRPr="00131981" w:rsidRDefault="00EB6812" w:rsidP="0038031D">
            <w:pPr>
              <w:pStyle w:val="SDMTableBoxParaNotNumbered"/>
              <w:keepNext/>
              <w:spacing w:before="60" w:after="60"/>
            </w:pPr>
            <w:r w:rsidRPr="00131981">
              <w:t>Data/parameter</w:t>
            </w:r>
          </w:p>
        </w:tc>
        <w:tc>
          <w:tcPr>
            <w:tcW w:w="6662" w:type="dxa"/>
            <w:gridSpan w:val="4"/>
          </w:tcPr>
          <w:p w14:paraId="0E041CB5" w14:textId="77777777" w:rsidR="00EB6812" w:rsidRPr="00180031" w:rsidRDefault="00000000" w:rsidP="0038031D">
            <w:pPr>
              <w:pStyle w:val="SDMTableBoxParaNotNumbered"/>
              <w:keepNext/>
              <w:spacing w:before="60" w:after="60"/>
              <w:rPr>
                <w:iCs/>
              </w:rPr>
            </w:pPr>
            <m:oMath>
              <m:sSub>
                <m:sSubPr>
                  <m:ctrlPr>
                    <w:rPr>
                      <w:rFonts w:ascii="Cambria Math" w:hAnsi="Cambria Math"/>
                      <w:i/>
                    </w:rPr>
                  </m:ctrlPr>
                </m:sSubPr>
                <m:e>
                  <m:r>
                    <m:rPr>
                      <m:sty m:val="bi"/>
                    </m:rPr>
                    <w:rPr>
                      <w:rFonts w:ascii="Cambria Math" w:hAnsi="Cambria Math"/>
                    </w:rPr>
                    <m:t>EC</m:t>
                  </m:r>
                </m:e>
                <m:sub>
                  <m:r>
                    <m:rPr>
                      <m:sty m:val="bi"/>
                    </m:rPr>
                    <w:rPr>
                      <w:rFonts w:ascii="Cambria Math" w:hAnsi="Cambria Math"/>
                    </w:rPr>
                    <m:t>s</m:t>
                  </m:r>
                  <m:r>
                    <w:rPr>
                      <w:rFonts w:ascii="Cambria Math" w:hAnsi="Cambria Math"/>
                    </w:rPr>
                    <m:t>,</m:t>
                  </m:r>
                  <m:r>
                    <m:rPr>
                      <m:sty m:val="bi"/>
                    </m:rPr>
                    <w:rPr>
                      <w:rFonts w:ascii="Cambria Math" w:hAnsi="Cambria Math"/>
                    </w:rPr>
                    <m:t>y</m:t>
                  </m:r>
                </m:sub>
              </m:sSub>
            </m:oMath>
            <w:r w:rsidR="00EB6812" w:rsidRPr="008C2BFB">
              <w:rPr>
                <w:i/>
              </w:rPr>
              <w:t xml:space="preserve"> </w:t>
            </w:r>
            <w:r w:rsidR="00EB6812">
              <w:rPr>
                <w:iCs/>
              </w:rPr>
              <w:t xml:space="preserve">; </w:t>
            </w:r>
            <m:oMath>
              <m:sSub>
                <m:sSubPr>
                  <m:ctrlPr>
                    <w:rPr>
                      <w:rFonts w:ascii="Cambria Math" w:hAnsi="Cambria Math"/>
                      <w:i/>
                    </w:rPr>
                  </m:ctrlPr>
                </m:sSubPr>
                <m:e>
                  <m:r>
                    <m:rPr>
                      <m:sty m:val="bi"/>
                    </m:rPr>
                    <w:rPr>
                      <w:rFonts w:ascii="Cambria Math" w:hAnsi="Cambria Math"/>
                    </w:rPr>
                    <m:t>EC</m:t>
                  </m:r>
                </m:e>
                <m:sub>
                  <m:r>
                    <m:rPr>
                      <m:sty m:val="bi"/>
                    </m:rPr>
                    <w:rPr>
                      <w:rFonts w:ascii="Cambria Math" w:hAnsi="Cambria Math"/>
                    </w:rPr>
                    <m:t>s</m:t>
                  </m:r>
                  <m:r>
                    <w:rPr>
                      <w:rFonts w:ascii="Cambria Math" w:hAnsi="Cambria Math"/>
                    </w:rPr>
                    <m:t>,</m:t>
                  </m:r>
                  <m:r>
                    <m:rPr>
                      <m:sty m:val="bi"/>
                    </m:rPr>
                    <w:rPr>
                      <w:rFonts w:ascii="Cambria Math" w:hAnsi="Cambria Math"/>
                    </w:rPr>
                    <m:t>h</m:t>
                  </m:r>
                </m:sub>
              </m:sSub>
            </m:oMath>
          </w:p>
        </w:tc>
      </w:tr>
      <w:tr w:rsidR="00EB6812" w:rsidRPr="00131981" w14:paraId="0E9AA4B1" w14:textId="77777777" w:rsidTr="00F36908">
        <w:trPr>
          <w:trHeight w:val="300"/>
        </w:trPr>
        <w:tc>
          <w:tcPr>
            <w:tcW w:w="2552" w:type="dxa"/>
          </w:tcPr>
          <w:p w14:paraId="52716D53" w14:textId="77777777" w:rsidR="00EB6812" w:rsidRPr="00131981" w:rsidRDefault="00EB6812" w:rsidP="00F36908">
            <w:pPr>
              <w:pStyle w:val="SDMTableBoxParaNotNumbered"/>
              <w:spacing w:before="60" w:after="60"/>
            </w:pPr>
            <w:r w:rsidRPr="00131981">
              <w:t>Description</w:t>
            </w:r>
          </w:p>
        </w:tc>
        <w:tc>
          <w:tcPr>
            <w:tcW w:w="6662" w:type="dxa"/>
            <w:gridSpan w:val="4"/>
          </w:tcPr>
          <w:p w14:paraId="647BF32D" w14:textId="77777777" w:rsidR="00EB6812" w:rsidRDefault="00000000" w:rsidP="00F36908">
            <w:pPr>
              <w:pStyle w:val="SDMTableBoxParaNotNumbered"/>
              <w:spacing w:before="60" w:after="60"/>
              <w:rPr>
                <w:i/>
                <w:iCs/>
                <w:lang w:eastAsia="en-US"/>
              </w:rPr>
            </w:pPr>
            <m:oMath>
              <m:sSub>
                <m:sSubPr>
                  <m:ctrlPr>
                    <w:rPr>
                      <w:rFonts w:ascii="Cambria Math" w:hAnsi="Cambria Math"/>
                      <w:i/>
                    </w:rPr>
                  </m:ctrlPr>
                </m:sSubPr>
                <m:e>
                  <m:r>
                    <m:rPr>
                      <m:sty m:val="bi"/>
                    </m:rPr>
                    <w:rPr>
                      <w:rFonts w:ascii="Cambria Math" w:hAnsi="Cambria Math"/>
                    </w:rPr>
                    <m:t>EC</m:t>
                  </m:r>
                </m:e>
                <m:sub>
                  <m:r>
                    <m:rPr>
                      <m:sty m:val="bi"/>
                    </m:rPr>
                    <w:rPr>
                      <w:rFonts w:ascii="Cambria Math" w:hAnsi="Cambria Math"/>
                    </w:rPr>
                    <m:t>s</m:t>
                  </m:r>
                  <m:r>
                    <w:rPr>
                      <w:rFonts w:ascii="Cambria Math" w:hAnsi="Cambria Math"/>
                    </w:rPr>
                    <m:t>,</m:t>
                  </m:r>
                  <m:r>
                    <m:rPr>
                      <m:sty m:val="bi"/>
                    </m:rPr>
                    <w:rPr>
                      <w:rFonts w:ascii="Cambria Math" w:hAnsi="Cambria Math"/>
                    </w:rPr>
                    <m:t>y</m:t>
                  </m:r>
                </m:sub>
              </m:sSub>
            </m:oMath>
            <w:r w:rsidR="00EB6812" w:rsidRPr="00855332">
              <w:rPr>
                <w:b/>
                <w:bCs/>
                <w:i/>
                <w:iCs/>
              </w:rPr>
              <w:t>:</w:t>
            </w:r>
            <w:r w:rsidR="00EB6812">
              <w:t xml:space="preserve"> </w:t>
            </w:r>
            <w:r w:rsidR="00EB6812">
              <w:rPr>
                <w:lang w:eastAsia="en-US"/>
              </w:rPr>
              <w:t xml:space="preserve">Electricity consumed by the </w:t>
            </w:r>
            <w:r w:rsidR="00EB6812">
              <w:t xml:space="preserve">electricity consumption </w:t>
            </w:r>
            <w:r w:rsidR="00EB6812" w:rsidDel="002673E6">
              <w:rPr>
                <w:lang w:eastAsia="en-US"/>
              </w:rPr>
              <w:t>source</w:t>
            </w:r>
            <w:r w:rsidR="00EB6812">
              <w:t> </w:t>
            </w:r>
            <w:r w:rsidR="00EB6812" w:rsidRPr="00563551">
              <w:rPr>
                <w:i/>
                <w:iCs/>
              </w:rPr>
              <w:t>s</w:t>
            </w:r>
            <w:r w:rsidR="00EB6812">
              <w:rPr>
                <w:lang w:eastAsia="en-US"/>
              </w:rPr>
              <w:t xml:space="preserve"> in </w:t>
            </w:r>
            <w:r w:rsidR="00EB6812" w:rsidRPr="04379C71">
              <w:rPr>
                <w:lang w:eastAsia="en-US"/>
              </w:rPr>
              <w:t>year </w:t>
            </w:r>
            <w:r w:rsidR="00EB6812" w:rsidRPr="04379C71">
              <w:rPr>
                <w:i/>
                <w:iCs/>
                <w:lang w:eastAsia="en-US"/>
              </w:rPr>
              <w:t>y</w:t>
            </w:r>
          </w:p>
          <w:p w14:paraId="022CE004" w14:textId="1DBB6E37" w:rsidR="00EB6812" w:rsidRPr="00855332" w:rsidRDefault="00000000" w:rsidP="00F36908">
            <w:pPr>
              <w:pStyle w:val="SDMTableBoxParaNotNumbered"/>
              <w:spacing w:before="60" w:after="60"/>
              <w:rPr>
                <w:b/>
                <w:bCs/>
                <w:iCs/>
                <w:lang w:eastAsia="en-US"/>
              </w:rPr>
            </w:pPr>
            <m:oMath>
              <m:sSub>
                <m:sSubPr>
                  <m:ctrlPr>
                    <w:rPr>
                      <w:rFonts w:ascii="Cambria Math" w:hAnsi="Cambria Math"/>
                      <w:i/>
                    </w:rPr>
                  </m:ctrlPr>
                </m:sSubPr>
                <m:e>
                  <m:r>
                    <m:rPr>
                      <m:sty m:val="bi"/>
                    </m:rPr>
                    <w:rPr>
                      <w:rFonts w:ascii="Cambria Math" w:hAnsi="Cambria Math"/>
                    </w:rPr>
                    <m:t>EC</m:t>
                  </m:r>
                </m:e>
                <m:sub>
                  <m:r>
                    <m:rPr>
                      <m:sty m:val="bi"/>
                    </m:rPr>
                    <w:rPr>
                      <w:rFonts w:ascii="Cambria Math" w:hAnsi="Cambria Math"/>
                    </w:rPr>
                    <m:t>s</m:t>
                  </m:r>
                  <m:r>
                    <w:rPr>
                      <w:rFonts w:ascii="Cambria Math" w:hAnsi="Cambria Math"/>
                    </w:rPr>
                    <m:t>,</m:t>
                  </m:r>
                  <m:r>
                    <m:rPr>
                      <m:sty m:val="bi"/>
                    </m:rPr>
                    <w:rPr>
                      <w:rFonts w:ascii="Cambria Math" w:hAnsi="Cambria Math"/>
                    </w:rPr>
                    <m:t>h</m:t>
                  </m:r>
                </m:sub>
              </m:sSub>
            </m:oMath>
            <w:r w:rsidR="00EB6812" w:rsidRPr="00855332">
              <w:rPr>
                <w:b/>
                <w:bCs/>
                <w:i/>
              </w:rPr>
              <w:t>:</w:t>
            </w:r>
            <w:r w:rsidR="00EB6812">
              <w:rPr>
                <w:i/>
              </w:rPr>
              <w:t xml:space="preserve"> </w:t>
            </w:r>
            <w:r w:rsidR="00EB6812">
              <w:rPr>
                <w:lang w:eastAsia="en-US"/>
              </w:rPr>
              <w:t xml:space="preserve">Electricity consumed by the </w:t>
            </w:r>
            <w:r w:rsidR="00EB6812">
              <w:t xml:space="preserve">electricity consumption </w:t>
            </w:r>
            <w:r w:rsidR="00EB6812" w:rsidDel="002673E6">
              <w:rPr>
                <w:lang w:eastAsia="en-US"/>
              </w:rPr>
              <w:t>source</w:t>
            </w:r>
            <w:r w:rsidR="00EB6812">
              <w:t> </w:t>
            </w:r>
            <w:r w:rsidR="00EB6812" w:rsidRPr="00563551">
              <w:rPr>
                <w:i/>
                <w:iCs/>
              </w:rPr>
              <w:t>s</w:t>
            </w:r>
            <w:r w:rsidR="00EB6812">
              <w:rPr>
                <w:lang w:eastAsia="en-US"/>
              </w:rPr>
              <w:t xml:space="preserve"> in </w:t>
            </w:r>
            <w:r w:rsidR="00EB6812" w:rsidRPr="04379C71">
              <w:rPr>
                <w:lang w:eastAsia="en-US"/>
              </w:rPr>
              <w:t>hour</w:t>
            </w:r>
            <w:r w:rsidR="005A1BB7">
              <w:rPr>
                <w:lang w:eastAsia="en-US"/>
              </w:rPr>
              <w:t> </w:t>
            </w:r>
            <w:r w:rsidR="00EB6812" w:rsidRPr="04379C71">
              <w:rPr>
                <w:i/>
                <w:iCs/>
                <w:lang w:eastAsia="en-US"/>
              </w:rPr>
              <w:t>h</w:t>
            </w:r>
          </w:p>
        </w:tc>
      </w:tr>
      <w:tr w:rsidR="00EB6812" w:rsidRPr="00131981" w14:paraId="1243B0DA" w14:textId="77777777" w:rsidTr="00F36908">
        <w:trPr>
          <w:trHeight w:val="300"/>
        </w:trPr>
        <w:tc>
          <w:tcPr>
            <w:tcW w:w="2552" w:type="dxa"/>
          </w:tcPr>
          <w:p w14:paraId="5DACC65C" w14:textId="77777777" w:rsidR="00EB6812" w:rsidRPr="00131981" w:rsidRDefault="00EB6812" w:rsidP="00F36908">
            <w:pPr>
              <w:pStyle w:val="SDMTableBoxParaNotNumbered"/>
              <w:spacing w:before="60" w:after="60"/>
            </w:pPr>
            <w:r w:rsidRPr="00131981">
              <w:t>Data unit</w:t>
            </w:r>
          </w:p>
        </w:tc>
        <w:tc>
          <w:tcPr>
            <w:tcW w:w="6662" w:type="dxa"/>
            <w:gridSpan w:val="4"/>
          </w:tcPr>
          <w:p w14:paraId="4842A0C5" w14:textId="6C6107D8" w:rsidR="00EB6812" w:rsidRDefault="00000000" w:rsidP="00F36908">
            <w:pPr>
              <w:pStyle w:val="SDMTableBoxParaNotNumbered"/>
              <w:spacing w:before="60" w:after="60"/>
            </w:pPr>
            <m:oMath>
              <m:sSub>
                <m:sSubPr>
                  <m:ctrlPr>
                    <w:rPr>
                      <w:rFonts w:ascii="Cambria Math" w:hAnsi="Cambria Math"/>
                      <w:i/>
                    </w:rPr>
                  </m:ctrlPr>
                </m:sSubPr>
                <m:e>
                  <m:r>
                    <m:rPr>
                      <m:sty m:val="bi"/>
                    </m:rPr>
                    <w:rPr>
                      <w:rFonts w:ascii="Cambria Math" w:hAnsi="Cambria Math"/>
                    </w:rPr>
                    <m:t>EC</m:t>
                  </m:r>
                </m:e>
                <m:sub>
                  <m:r>
                    <m:rPr>
                      <m:sty m:val="bi"/>
                    </m:rPr>
                    <w:rPr>
                      <w:rFonts w:ascii="Cambria Math" w:hAnsi="Cambria Math"/>
                    </w:rPr>
                    <m:t>s</m:t>
                  </m:r>
                  <m:r>
                    <w:rPr>
                      <w:rFonts w:ascii="Cambria Math" w:hAnsi="Cambria Math"/>
                    </w:rPr>
                    <m:t>,</m:t>
                  </m:r>
                  <m:r>
                    <m:rPr>
                      <m:sty m:val="bi"/>
                    </m:rPr>
                    <w:rPr>
                      <w:rFonts w:ascii="Cambria Math" w:hAnsi="Cambria Math"/>
                    </w:rPr>
                    <m:t>y</m:t>
                  </m:r>
                </m:sub>
              </m:sSub>
            </m:oMath>
            <w:r w:rsidR="00EB6812" w:rsidRPr="00855332">
              <w:rPr>
                <w:b/>
                <w:bCs/>
                <w:i/>
                <w:iCs/>
              </w:rPr>
              <w:t>:</w:t>
            </w:r>
            <w:r w:rsidR="00EB6812">
              <w:t xml:space="preserve"> MWh</w:t>
            </w:r>
            <w:r w:rsidR="00B27D59">
              <w:t xml:space="preserve"> in year</w:t>
            </w:r>
            <w:r w:rsidR="00D47AFF">
              <w:t> </w:t>
            </w:r>
            <w:r w:rsidR="00B27D59" w:rsidRPr="00B27D59">
              <w:rPr>
                <w:i/>
                <w:iCs/>
              </w:rPr>
              <w:t>y</w:t>
            </w:r>
          </w:p>
          <w:p w14:paraId="3F1E8E3E" w14:textId="28E3E956" w:rsidR="00EB6812" w:rsidRPr="008C2BFB" w:rsidRDefault="00000000" w:rsidP="00F36908">
            <w:pPr>
              <w:pStyle w:val="SDMTableBoxParaNotNumbered"/>
              <w:spacing w:before="60" w:after="60"/>
            </w:pPr>
            <m:oMath>
              <m:sSub>
                <m:sSubPr>
                  <m:ctrlPr>
                    <w:rPr>
                      <w:rFonts w:ascii="Cambria Math" w:hAnsi="Cambria Math"/>
                      <w:i/>
                    </w:rPr>
                  </m:ctrlPr>
                </m:sSubPr>
                <m:e>
                  <m:r>
                    <m:rPr>
                      <m:sty m:val="bi"/>
                    </m:rPr>
                    <w:rPr>
                      <w:rFonts w:ascii="Cambria Math" w:hAnsi="Cambria Math"/>
                    </w:rPr>
                    <m:t>EC</m:t>
                  </m:r>
                </m:e>
                <m:sub>
                  <m:r>
                    <m:rPr>
                      <m:sty m:val="bi"/>
                    </m:rPr>
                    <w:rPr>
                      <w:rFonts w:ascii="Cambria Math" w:hAnsi="Cambria Math"/>
                    </w:rPr>
                    <m:t>s</m:t>
                  </m:r>
                  <m:r>
                    <w:rPr>
                      <w:rFonts w:ascii="Cambria Math" w:hAnsi="Cambria Math"/>
                    </w:rPr>
                    <m:t>,</m:t>
                  </m:r>
                  <m:r>
                    <m:rPr>
                      <m:sty m:val="bi"/>
                    </m:rPr>
                    <w:rPr>
                      <w:rFonts w:ascii="Cambria Math" w:hAnsi="Cambria Math"/>
                    </w:rPr>
                    <m:t>h</m:t>
                  </m:r>
                </m:sub>
              </m:sSub>
            </m:oMath>
            <w:r w:rsidR="00EB6812" w:rsidRPr="00855332">
              <w:rPr>
                <w:b/>
                <w:bCs/>
                <w:i/>
                <w:iCs/>
              </w:rPr>
              <w:t>:</w:t>
            </w:r>
            <w:r w:rsidR="00EB6812">
              <w:t xml:space="preserve"> MWh</w:t>
            </w:r>
            <w:r w:rsidR="00B27D59">
              <w:t xml:space="preserve"> in hour</w:t>
            </w:r>
            <w:r w:rsidR="00D47AFF">
              <w:t> </w:t>
            </w:r>
            <w:r w:rsidR="00B27D59">
              <w:rPr>
                <w:i/>
                <w:iCs/>
              </w:rPr>
              <w:t>h</w:t>
            </w:r>
          </w:p>
        </w:tc>
      </w:tr>
      <w:tr w:rsidR="00EB6812" w:rsidRPr="00131981" w14:paraId="6EE3BDAA" w14:textId="77777777" w:rsidTr="00F36908">
        <w:trPr>
          <w:trHeight w:val="300"/>
        </w:trPr>
        <w:tc>
          <w:tcPr>
            <w:tcW w:w="2552" w:type="dxa"/>
            <w:tcBorders>
              <w:bottom w:val="single" w:sz="4" w:space="0" w:color="auto"/>
            </w:tcBorders>
          </w:tcPr>
          <w:p w14:paraId="49E443E2" w14:textId="77777777" w:rsidR="00EB6812" w:rsidRPr="00131981" w:rsidRDefault="00EB6812" w:rsidP="00F36908">
            <w:pPr>
              <w:pStyle w:val="SDMTableBoxParaNotNumbered"/>
              <w:spacing w:before="60" w:after="60"/>
            </w:pPr>
            <w:r w:rsidRPr="00131981">
              <w:t>Equations referred</w:t>
            </w:r>
          </w:p>
        </w:tc>
        <w:tc>
          <w:tcPr>
            <w:tcW w:w="6662" w:type="dxa"/>
            <w:gridSpan w:val="4"/>
            <w:tcBorders>
              <w:bottom w:val="single" w:sz="4" w:space="0" w:color="auto"/>
            </w:tcBorders>
          </w:tcPr>
          <w:p w14:paraId="550D00C7" w14:textId="77777777" w:rsidR="00EB6812" w:rsidRPr="008C2BFB" w:rsidRDefault="00EB6812" w:rsidP="00F36908">
            <w:pPr>
              <w:pStyle w:val="SDMTableBoxParaNotNumbered"/>
              <w:spacing w:before="60" w:after="60"/>
            </w:pPr>
          </w:p>
        </w:tc>
      </w:tr>
      <w:tr w:rsidR="00EB6812" w:rsidRPr="00131981" w14:paraId="07207098" w14:textId="77777777" w:rsidTr="00F36908">
        <w:trPr>
          <w:trHeight w:val="300"/>
        </w:trPr>
        <w:tc>
          <w:tcPr>
            <w:tcW w:w="2552" w:type="dxa"/>
            <w:tcBorders>
              <w:right w:val="single" w:sz="4" w:space="0" w:color="auto"/>
            </w:tcBorders>
          </w:tcPr>
          <w:p w14:paraId="31F007C3" w14:textId="77777777" w:rsidR="00EB6812" w:rsidRPr="00131981" w:rsidRDefault="00EB6812" w:rsidP="00F36908">
            <w:pPr>
              <w:pStyle w:val="SDMTableBoxParaNotNumbered"/>
              <w:spacing w:before="60" w:after="60"/>
            </w:pPr>
            <w:r w:rsidRPr="00131981">
              <w:t>Purpose of data</w:t>
            </w:r>
          </w:p>
        </w:tc>
        <w:tc>
          <w:tcPr>
            <w:tcW w:w="2333" w:type="dxa"/>
            <w:gridSpan w:val="2"/>
            <w:tcBorders>
              <w:left w:val="single" w:sz="4" w:space="0" w:color="auto"/>
              <w:right w:val="nil"/>
            </w:tcBorders>
          </w:tcPr>
          <w:p w14:paraId="606697FC" w14:textId="77777777" w:rsidR="00EB6812" w:rsidRPr="005D7E1B" w:rsidRDefault="00EB6812" w:rsidP="00F36908">
            <w:pPr>
              <w:pStyle w:val="SDMTableBoxParaNotNumbered"/>
              <w:spacing w:before="60" w:after="60"/>
            </w:pPr>
            <w:r w:rsidRPr="005D7E1B">
              <w:rPr>
                <w:rFonts w:asciiTheme="minorBidi" w:hAnsiTheme="minorBidi" w:cstheme="minorBidi"/>
                <w:shd w:val="clear" w:color="auto" w:fill="E6E6E6"/>
              </w:rPr>
              <w:fldChar w:fldCharType="begin">
                <w:ffData>
                  <w:name w:val=""/>
                  <w:enabled/>
                  <w:calcOnExit w:val="0"/>
                  <w:checkBox>
                    <w:size w:val="20"/>
                    <w:default w:val="1"/>
                  </w:checkBox>
                </w:ffData>
              </w:fldChar>
            </w:r>
            <w:r w:rsidRPr="005D7E1B">
              <w:rPr>
                <w:rFonts w:asciiTheme="minorBidi" w:hAnsiTheme="minorBidi" w:cstheme="minorBidi"/>
                <w:shd w:val="clear" w:color="auto" w:fill="E6E6E6"/>
              </w:rPr>
              <w:instrText xml:space="preserve"> FORMCHECKBOX </w:instrText>
            </w:r>
            <w:r w:rsidR="00000000">
              <w:rPr>
                <w:rFonts w:asciiTheme="minorBidi" w:hAnsiTheme="minorBidi" w:cstheme="minorBidi"/>
                <w:shd w:val="clear" w:color="auto" w:fill="E6E6E6"/>
              </w:rPr>
            </w:r>
            <w:r w:rsidR="00000000">
              <w:rPr>
                <w:rFonts w:asciiTheme="minorBidi" w:hAnsiTheme="minorBidi" w:cstheme="minorBidi"/>
                <w:shd w:val="clear" w:color="auto" w:fill="E6E6E6"/>
              </w:rPr>
              <w:fldChar w:fldCharType="separate"/>
            </w:r>
            <w:r w:rsidRPr="005D7E1B">
              <w:rPr>
                <w:rFonts w:asciiTheme="minorBidi" w:hAnsiTheme="minorBidi" w:cstheme="minorBidi"/>
                <w:shd w:val="clear" w:color="auto" w:fill="E6E6E6"/>
              </w:rPr>
              <w:fldChar w:fldCharType="end"/>
            </w:r>
            <w:r>
              <w:rPr>
                <w:rFonts w:asciiTheme="minorBidi" w:hAnsiTheme="minorBidi" w:cstheme="minorBidi"/>
                <w:shd w:val="clear" w:color="auto" w:fill="E6E6E6"/>
              </w:rPr>
              <w:t xml:space="preserve"> </w:t>
            </w:r>
            <w:r w:rsidRPr="005D7E1B">
              <w:rPr>
                <w:rFonts w:asciiTheme="minorBidi" w:hAnsiTheme="minorBidi" w:cstheme="minorBidi"/>
              </w:rPr>
              <w:t>Baseline emissions</w:t>
            </w:r>
          </w:p>
        </w:tc>
        <w:tc>
          <w:tcPr>
            <w:tcW w:w="2113" w:type="dxa"/>
            <w:tcBorders>
              <w:left w:val="nil"/>
              <w:right w:val="nil"/>
            </w:tcBorders>
          </w:tcPr>
          <w:p w14:paraId="5AE177B6" w14:textId="77777777" w:rsidR="00EB6812" w:rsidRPr="005D7E1B" w:rsidRDefault="00EB6812" w:rsidP="00F36908">
            <w:pPr>
              <w:pStyle w:val="SDMTableBoxParaNotNumbered"/>
              <w:spacing w:before="60" w:after="60"/>
            </w:pPr>
            <w:r w:rsidRPr="005D7E1B">
              <w:rPr>
                <w:rFonts w:asciiTheme="minorBidi" w:hAnsiTheme="minorBidi" w:cstheme="minorBidi"/>
                <w:shd w:val="clear" w:color="auto" w:fill="E6E6E6"/>
              </w:rPr>
              <w:fldChar w:fldCharType="begin">
                <w:ffData>
                  <w:name w:val=""/>
                  <w:enabled/>
                  <w:calcOnExit w:val="0"/>
                  <w:checkBox>
                    <w:size w:val="20"/>
                    <w:default w:val="1"/>
                  </w:checkBox>
                </w:ffData>
              </w:fldChar>
            </w:r>
            <w:r w:rsidRPr="005D7E1B">
              <w:rPr>
                <w:rFonts w:asciiTheme="minorBidi" w:hAnsiTheme="minorBidi" w:cstheme="minorBidi"/>
                <w:shd w:val="clear" w:color="auto" w:fill="E6E6E6"/>
              </w:rPr>
              <w:instrText xml:space="preserve"> FORMCHECKBOX </w:instrText>
            </w:r>
            <w:r w:rsidR="00000000">
              <w:rPr>
                <w:rFonts w:asciiTheme="minorBidi" w:hAnsiTheme="minorBidi" w:cstheme="minorBidi"/>
                <w:shd w:val="clear" w:color="auto" w:fill="E6E6E6"/>
              </w:rPr>
            </w:r>
            <w:r w:rsidR="00000000">
              <w:rPr>
                <w:rFonts w:asciiTheme="minorBidi" w:hAnsiTheme="minorBidi" w:cstheme="minorBidi"/>
                <w:shd w:val="clear" w:color="auto" w:fill="E6E6E6"/>
              </w:rPr>
              <w:fldChar w:fldCharType="separate"/>
            </w:r>
            <w:r w:rsidRPr="005D7E1B">
              <w:rPr>
                <w:rFonts w:asciiTheme="minorBidi" w:hAnsiTheme="minorBidi" w:cstheme="minorBidi"/>
                <w:shd w:val="clear" w:color="auto" w:fill="E6E6E6"/>
              </w:rPr>
              <w:fldChar w:fldCharType="end"/>
            </w:r>
            <w:r w:rsidRPr="3161B3F5">
              <w:rPr>
                <w:rFonts w:asciiTheme="minorBidi" w:hAnsiTheme="minorBidi" w:cstheme="minorBidi"/>
              </w:rPr>
              <w:fldChar w:fldCharType="begin"/>
            </w:r>
            <w:r w:rsidRPr="3161B3F5">
              <w:rPr>
                <w:rFonts w:asciiTheme="minorBidi" w:hAnsiTheme="minorBidi" w:cstheme="minorBidi"/>
              </w:rPr>
              <w:instrText xml:space="preserve"> FORMCHECKBOX </w:instrText>
            </w:r>
            <w:r w:rsidR="00000000">
              <w:rPr>
                <w:rFonts w:asciiTheme="minorBidi" w:hAnsiTheme="minorBidi" w:cstheme="minorBidi"/>
              </w:rPr>
              <w:fldChar w:fldCharType="separate"/>
            </w:r>
            <w:r w:rsidRPr="3161B3F5">
              <w:rPr>
                <w:rFonts w:asciiTheme="minorBidi" w:hAnsiTheme="minorBidi" w:cstheme="minorBidi"/>
              </w:rPr>
              <w:fldChar w:fldCharType="end"/>
            </w:r>
            <w:r w:rsidRPr="005D7E1B">
              <w:rPr>
                <w:rFonts w:asciiTheme="minorBidi" w:hAnsiTheme="minorBidi" w:cstheme="minorBidi"/>
              </w:rPr>
              <w:t xml:space="preserve"> Project emissions</w:t>
            </w:r>
          </w:p>
        </w:tc>
        <w:tc>
          <w:tcPr>
            <w:tcW w:w="2216" w:type="dxa"/>
            <w:tcBorders>
              <w:left w:val="nil"/>
            </w:tcBorders>
          </w:tcPr>
          <w:p w14:paraId="16BA60CE" w14:textId="77777777" w:rsidR="00EB6812" w:rsidRPr="005D7E1B" w:rsidRDefault="00EB6812" w:rsidP="00F36908">
            <w:pPr>
              <w:pStyle w:val="SDMTableBoxParaNotNumbered"/>
              <w:spacing w:before="60" w:after="60"/>
            </w:pPr>
            <w:r w:rsidRPr="005D7E1B">
              <w:rPr>
                <w:rFonts w:asciiTheme="minorBidi" w:hAnsiTheme="minorBidi" w:cstheme="minorBidi"/>
                <w:shd w:val="clear" w:color="auto" w:fill="E6E6E6"/>
              </w:rPr>
              <w:fldChar w:fldCharType="begin">
                <w:ffData>
                  <w:name w:val=""/>
                  <w:enabled/>
                  <w:calcOnExit w:val="0"/>
                  <w:checkBox>
                    <w:size w:val="20"/>
                    <w:default w:val="1"/>
                  </w:checkBox>
                </w:ffData>
              </w:fldChar>
            </w:r>
            <w:r w:rsidRPr="005D7E1B">
              <w:rPr>
                <w:rFonts w:asciiTheme="minorBidi" w:hAnsiTheme="minorBidi" w:cstheme="minorBidi"/>
                <w:shd w:val="clear" w:color="auto" w:fill="E6E6E6"/>
              </w:rPr>
              <w:instrText xml:space="preserve"> FORMCHECKBOX </w:instrText>
            </w:r>
            <w:r w:rsidR="00000000">
              <w:rPr>
                <w:rFonts w:asciiTheme="minorBidi" w:hAnsiTheme="minorBidi" w:cstheme="minorBidi"/>
                <w:shd w:val="clear" w:color="auto" w:fill="E6E6E6"/>
              </w:rPr>
            </w:r>
            <w:r w:rsidR="00000000">
              <w:rPr>
                <w:rFonts w:asciiTheme="minorBidi" w:hAnsiTheme="minorBidi" w:cstheme="minorBidi"/>
                <w:shd w:val="clear" w:color="auto" w:fill="E6E6E6"/>
              </w:rPr>
              <w:fldChar w:fldCharType="separate"/>
            </w:r>
            <w:r w:rsidRPr="005D7E1B">
              <w:rPr>
                <w:rFonts w:asciiTheme="minorBidi" w:hAnsiTheme="minorBidi" w:cstheme="minorBidi"/>
                <w:shd w:val="clear" w:color="auto" w:fill="E6E6E6"/>
              </w:rPr>
              <w:fldChar w:fldCharType="end"/>
            </w:r>
            <w:r w:rsidRPr="3161B3F5">
              <w:rPr>
                <w:rFonts w:asciiTheme="minorBidi" w:hAnsiTheme="minorBidi" w:cstheme="minorBidi"/>
              </w:rPr>
              <w:fldChar w:fldCharType="begin"/>
            </w:r>
            <w:r w:rsidRPr="3161B3F5">
              <w:rPr>
                <w:rFonts w:asciiTheme="minorBidi" w:hAnsiTheme="minorBidi" w:cstheme="minorBidi"/>
              </w:rPr>
              <w:instrText xml:space="preserve"> FORMCHECKBOX </w:instrText>
            </w:r>
            <w:r w:rsidR="00000000">
              <w:rPr>
                <w:rFonts w:asciiTheme="minorBidi" w:hAnsiTheme="minorBidi" w:cstheme="minorBidi"/>
              </w:rPr>
              <w:fldChar w:fldCharType="separate"/>
            </w:r>
            <w:r w:rsidRPr="3161B3F5">
              <w:rPr>
                <w:rFonts w:asciiTheme="minorBidi" w:hAnsiTheme="minorBidi" w:cstheme="minorBidi"/>
              </w:rPr>
              <w:fldChar w:fldCharType="end"/>
            </w:r>
            <w:r w:rsidRPr="005D7E1B">
              <w:rPr>
                <w:rFonts w:asciiTheme="minorBidi" w:hAnsiTheme="minorBidi" w:cstheme="minorBidi"/>
              </w:rPr>
              <w:t xml:space="preserve"> Leakage emissions</w:t>
            </w:r>
          </w:p>
        </w:tc>
      </w:tr>
      <w:tr w:rsidR="00EB6812" w:rsidRPr="00131981" w14:paraId="595C8F86" w14:textId="77777777" w:rsidTr="00F36908">
        <w:trPr>
          <w:trHeight w:val="300"/>
        </w:trPr>
        <w:tc>
          <w:tcPr>
            <w:tcW w:w="2552" w:type="dxa"/>
          </w:tcPr>
          <w:p w14:paraId="028C1BB7" w14:textId="77777777" w:rsidR="00EB6812" w:rsidRPr="00131981" w:rsidRDefault="00EB6812" w:rsidP="00F36908">
            <w:pPr>
              <w:pStyle w:val="SDMTableBoxParaNotNumbered"/>
              <w:spacing w:before="60" w:after="60"/>
            </w:pPr>
            <w:r>
              <w:t>Measurement and updating frequency</w:t>
            </w:r>
          </w:p>
        </w:tc>
        <w:tc>
          <w:tcPr>
            <w:tcW w:w="6662" w:type="dxa"/>
            <w:gridSpan w:val="4"/>
          </w:tcPr>
          <w:p w14:paraId="2C3CB3D7" w14:textId="77777777" w:rsidR="00F74E46" w:rsidRDefault="00000000" w:rsidP="00F36908">
            <w:pPr>
              <w:pStyle w:val="SDMTableBoxParaNotNumbered"/>
              <w:spacing w:before="60" w:after="60"/>
              <w:rPr>
                <w:i/>
                <w:iCs/>
                <w:lang w:eastAsia="en-US"/>
              </w:rPr>
            </w:pPr>
            <m:oMath>
              <m:sSub>
                <m:sSubPr>
                  <m:ctrlPr>
                    <w:rPr>
                      <w:rFonts w:ascii="Cambria Math" w:hAnsi="Cambria Math"/>
                      <w:i/>
                    </w:rPr>
                  </m:ctrlPr>
                </m:sSubPr>
                <m:e>
                  <m:r>
                    <m:rPr>
                      <m:sty m:val="bi"/>
                    </m:rPr>
                    <w:rPr>
                      <w:rFonts w:ascii="Cambria Math" w:hAnsi="Cambria Math"/>
                    </w:rPr>
                    <m:t>EC</m:t>
                  </m:r>
                </m:e>
                <m:sub>
                  <m:r>
                    <m:rPr>
                      <m:sty m:val="bi"/>
                    </m:rPr>
                    <w:rPr>
                      <w:rFonts w:ascii="Cambria Math" w:hAnsi="Cambria Math"/>
                    </w:rPr>
                    <m:t>s</m:t>
                  </m:r>
                  <m:r>
                    <w:rPr>
                      <w:rFonts w:ascii="Cambria Math" w:hAnsi="Cambria Math"/>
                    </w:rPr>
                    <m:t>,</m:t>
                  </m:r>
                  <m:r>
                    <m:rPr>
                      <m:sty m:val="bi"/>
                    </m:rPr>
                    <w:rPr>
                      <w:rFonts w:ascii="Cambria Math" w:hAnsi="Cambria Math"/>
                    </w:rPr>
                    <m:t>y</m:t>
                  </m:r>
                </m:sub>
              </m:sSub>
            </m:oMath>
            <w:r w:rsidR="79C18BE7" w:rsidRPr="6BB59D32">
              <w:rPr>
                <w:b/>
                <w:bCs/>
                <w:i/>
                <w:iCs/>
              </w:rPr>
              <w:t>:</w:t>
            </w:r>
            <w:r w:rsidR="79C18BE7">
              <w:t xml:space="preserve"> </w:t>
            </w:r>
            <w:r w:rsidR="79C18BE7" w:rsidRPr="00E33DD3">
              <w:t>Continuous measurement and at least monthly recording</w:t>
            </w:r>
          </w:p>
          <w:p w14:paraId="7F32C27F" w14:textId="7DE3EE5F" w:rsidR="00EB6812" w:rsidRPr="008C2BFB" w:rsidRDefault="00000000" w:rsidP="00F36908">
            <w:pPr>
              <w:pStyle w:val="SDMTableBoxParaNotNumbered"/>
              <w:spacing w:before="60" w:after="60"/>
            </w:pPr>
            <m:oMath>
              <m:sSub>
                <m:sSubPr>
                  <m:ctrlPr>
                    <w:rPr>
                      <w:rFonts w:ascii="Cambria Math" w:hAnsi="Cambria Math"/>
                      <w:i/>
                    </w:rPr>
                  </m:ctrlPr>
                </m:sSubPr>
                <m:e>
                  <m:r>
                    <m:rPr>
                      <m:sty m:val="bi"/>
                    </m:rPr>
                    <w:rPr>
                      <w:rFonts w:ascii="Cambria Math" w:hAnsi="Cambria Math"/>
                    </w:rPr>
                    <m:t>EC</m:t>
                  </m:r>
                </m:e>
                <m:sub>
                  <m:r>
                    <m:rPr>
                      <m:sty m:val="bi"/>
                    </m:rPr>
                    <w:rPr>
                      <w:rFonts w:ascii="Cambria Math" w:hAnsi="Cambria Math"/>
                    </w:rPr>
                    <m:t>s</m:t>
                  </m:r>
                  <m:r>
                    <w:rPr>
                      <w:rFonts w:ascii="Cambria Math" w:hAnsi="Cambria Math"/>
                    </w:rPr>
                    <m:t>,</m:t>
                  </m:r>
                  <m:r>
                    <m:rPr>
                      <m:sty m:val="bi"/>
                    </m:rPr>
                    <w:rPr>
                      <w:rFonts w:ascii="Cambria Math" w:hAnsi="Cambria Math"/>
                    </w:rPr>
                    <m:t>h</m:t>
                  </m:r>
                </m:sub>
              </m:sSub>
            </m:oMath>
            <w:r w:rsidR="00EB6812" w:rsidRPr="00855332">
              <w:rPr>
                <w:b/>
                <w:bCs/>
                <w:i/>
              </w:rPr>
              <w:t>:</w:t>
            </w:r>
            <w:r w:rsidR="00EB6812">
              <w:rPr>
                <w:i/>
              </w:rPr>
              <w:t xml:space="preserve"> </w:t>
            </w:r>
            <w:r w:rsidR="00EB6812" w:rsidRPr="00E33DD3">
              <w:t xml:space="preserve">Continuous measurement and at least </w:t>
            </w:r>
            <w:r w:rsidR="00EB6812">
              <w:t xml:space="preserve">hourly </w:t>
            </w:r>
            <w:r w:rsidR="00EB6812" w:rsidRPr="00E33DD3">
              <w:t>recording</w:t>
            </w:r>
          </w:p>
        </w:tc>
      </w:tr>
      <w:tr w:rsidR="00EB6812" w:rsidRPr="00131981" w14:paraId="0F424CE1" w14:textId="77777777" w:rsidTr="00F36908">
        <w:trPr>
          <w:trHeight w:val="300"/>
        </w:trPr>
        <w:tc>
          <w:tcPr>
            <w:tcW w:w="2552" w:type="dxa"/>
          </w:tcPr>
          <w:p w14:paraId="4EFAFE97" w14:textId="77777777" w:rsidR="00EB6812" w:rsidRPr="00131981" w:rsidRDefault="00EB6812" w:rsidP="00F36908">
            <w:pPr>
              <w:pStyle w:val="SDMTableBoxParaNotNumbered"/>
              <w:spacing w:before="60" w:after="60"/>
            </w:pPr>
            <w:r w:rsidRPr="00131981">
              <w:t>Measurement methods and procedures</w:t>
            </w:r>
          </w:p>
        </w:tc>
        <w:tc>
          <w:tcPr>
            <w:tcW w:w="6662" w:type="dxa"/>
            <w:gridSpan w:val="4"/>
          </w:tcPr>
          <w:p w14:paraId="0E05CAD0" w14:textId="1566C852" w:rsidR="00EB6812" w:rsidRPr="008C2BFB" w:rsidRDefault="79C18BE7" w:rsidP="00F36908">
            <w:pPr>
              <w:pStyle w:val="SDMTableBoxParaNotNumbered"/>
              <w:spacing w:before="60" w:after="60"/>
            </w:pPr>
            <w:r>
              <w:t xml:space="preserve">Direct measurement or </w:t>
            </w:r>
            <w:r w:rsidR="00407226">
              <w:t xml:space="preserve">calculation </w:t>
            </w:r>
            <w:r>
              <w:t>based on measurements from more than one electricity meter</w:t>
            </w:r>
          </w:p>
        </w:tc>
      </w:tr>
      <w:tr w:rsidR="00EB6812" w:rsidRPr="00131981" w14:paraId="019FD0E9" w14:textId="77777777" w:rsidTr="00F36908">
        <w:trPr>
          <w:trHeight w:val="107"/>
        </w:trPr>
        <w:tc>
          <w:tcPr>
            <w:tcW w:w="2552" w:type="dxa"/>
          </w:tcPr>
          <w:p w14:paraId="7D8C19DE" w14:textId="77777777" w:rsidR="00EB6812" w:rsidRPr="00131981" w:rsidRDefault="00EB6812" w:rsidP="00F36908">
            <w:pPr>
              <w:pStyle w:val="SDMTableBoxParaNotNumbered"/>
              <w:spacing w:before="60" w:after="60"/>
            </w:pPr>
            <w:r w:rsidRPr="00131981">
              <w:t>Entity/person responsible for the measurement</w:t>
            </w:r>
          </w:p>
        </w:tc>
        <w:tc>
          <w:tcPr>
            <w:tcW w:w="6662" w:type="dxa"/>
            <w:gridSpan w:val="4"/>
          </w:tcPr>
          <w:p w14:paraId="02C95A74" w14:textId="77777777" w:rsidR="00EB6812" w:rsidRPr="008C2BFB" w:rsidRDefault="00EB6812" w:rsidP="00F36908">
            <w:pPr>
              <w:pStyle w:val="SDMTableBoxParaNotNumbered"/>
              <w:spacing w:before="60" w:after="60"/>
            </w:pPr>
            <w:r>
              <w:t>Activity participants</w:t>
            </w:r>
          </w:p>
        </w:tc>
      </w:tr>
      <w:tr w:rsidR="00EB6812" w:rsidRPr="00131981" w14:paraId="3B9649F2" w14:textId="77777777" w:rsidTr="00F36908">
        <w:trPr>
          <w:trHeight w:val="107"/>
        </w:trPr>
        <w:tc>
          <w:tcPr>
            <w:tcW w:w="2552" w:type="dxa"/>
            <w:vMerge w:val="restart"/>
          </w:tcPr>
          <w:p w14:paraId="6B1E3A09" w14:textId="77777777" w:rsidR="00EB6812" w:rsidRPr="00131981" w:rsidRDefault="00EB6812" w:rsidP="00F36908">
            <w:pPr>
              <w:pStyle w:val="SDMTableBoxParaNotNumbered"/>
              <w:spacing w:before="60" w:after="60"/>
            </w:pPr>
            <w:r w:rsidRPr="00131981">
              <w:t>Measuring instrument(s)</w:t>
            </w:r>
          </w:p>
        </w:tc>
        <w:tc>
          <w:tcPr>
            <w:tcW w:w="1571" w:type="dxa"/>
          </w:tcPr>
          <w:p w14:paraId="01A54F5F" w14:textId="77777777" w:rsidR="00EB6812" w:rsidRPr="008C2BFB" w:rsidRDefault="00EB6812" w:rsidP="00F36908">
            <w:pPr>
              <w:pStyle w:val="SDMTableBoxParaNotNumbered"/>
              <w:spacing w:before="60" w:after="60"/>
              <w:rPr>
                <w:i/>
                <w:iCs/>
              </w:rPr>
            </w:pPr>
            <w:r w:rsidRPr="008C2BFB">
              <w:rPr>
                <w:i/>
                <w:iCs/>
              </w:rPr>
              <w:t>Type of instrument</w:t>
            </w:r>
          </w:p>
        </w:tc>
        <w:tc>
          <w:tcPr>
            <w:tcW w:w="5091" w:type="dxa"/>
            <w:gridSpan w:val="3"/>
          </w:tcPr>
          <w:p w14:paraId="3DE2A9BB" w14:textId="418B8AF6" w:rsidR="00EB6812" w:rsidRPr="008C2BFB" w:rsidRDefault="00300355" w:rsidP="00F36908">
            <w:pPr>
              <w:pStyle w:val="SDMTableBoxParaNotNumbered"/>
              <w:spacing w:before="60" w:after="60"/>
            </w:pPr>
            <w:r w:rsidRPr="00B32E2B">
              <w:t>Electricity-meter(s)</w:t>
            </w:r>
          </w:p>
        </w:tc>
      </w:tr>
      <w:tr w:rsidR="00EB6812" w:rsidRPr="00131981" w14:paraId="6045880D" w14:textId="77777777" w:rsidTr="00F36908">
        <w:trPr>
          <w:trHeight w:val="104"/>
        </w:trPr>
        <w:tc>
          <w:tcPr>
            <w:tcW w:w="2552" w:type="dxa"/>
            <w:vMerge/>
          </w:tcPr>
          <w:p w14:paraId="0F9F9425" w14:textId="77777777" w:rsidR="00EB6812" w:rsidRPr="00131981" w:rsidRDefault="00EB6812" w:rsidP="00F36908">
            <w:pPr>
              <w:pStyle w:val="SDMTableBoxParaNotNumbered"/>
              <w:spacing w:before="60" w:after="60"/>
            </w:pPr>
          </w:p>
        </w:tc>
        <w:tc>
          <w:tcPr>
            <w:tcW w:w="1571" w:type="dxa"/>
          </w:tcPr>
          <w:p w14:paraId="78031100" w14:textId="77777777" w:rsidR="00EB6812" w:rsidRPr="008C2BFB" w:rsidRDefault="00EB6812" w:rsidP="00F36908">
            <w:pPr>
              <w:pStyle w:val="SDMTableBoxParaNotNumbered"/>
              <w:spacing w:before="60" w:after="60"/>
              <w:rPr>
                <w:i/>
                <w:iCs/>
              </w:rPr>
            </w:pPr>
            <w:r w:rsidRPr="008C2BFB">
              <w:rPr>
                <w:i/>
                <w:iCs/>
              </w:rPr>
              <w:t>Accuracy class</w:t>
            </w:r>
          </w:p>
        </w:tc>
        <w:tc>
          <w:tcPr>
            <w:tcW w:w="5091" w:type="dxa"/>
            <w:gridSpan w:val="3"/>
          </w:tcPr>
          <w:p w14:paraId="28B02ABB" w14:textId="79139B6B" w:rsidR="00EB6812" w:rsidRDefault="79C18BE7" w:rsidP="00F36908">
            <w:pPr>
              <w:pStyle w:val="SDMTableBoxParaNotNumbered"/>
              <w:spacing w:before="60" w:after="60"/>
            </w:pPr>
            <w:r>
              <w:t>If electricity</w:t>
            </w:r>
            <w:r w:rsidR="00E677F4">
              <w:t xml:space="preserve"> </w:t>
            </w:r>
            <w:r>
              <w:t xml:space="preserve">meters are regulated: in accordance with the </w:t>
            </w:r>
            <w:r w:rsidR="00E677F4">
              <w:t xml:space="preserve">specifications </w:t>
            </w:r>
            <w:r>
              <w:t xml:space="preserve">of the meter supplier and/or </w:t>
            </w:r>
            <w:r w:rsidR="00A20030">
              <w:t>with</w:t>
            </w:r>
            <w:r>
              <w:t xml:space="preserve"> the requirements set by the operators of the electricity system or national requirements.</w:t>
            </w:r>
          </w:p>
          <w:p w14:paraId="096419FC" w14:textId="68131936" w:rsidR="00EB6812" w:rsidRPr="008C2BFB" w:rsidRDefault="79C18BE7" w:rsidP="00F36908">
            <w:pPr>
              <w:pStyle w:val="SDMTableBoxParaNotNumbered"/>
              <w:spacing w:before="60" w:after="60"/>
            </w:pPr>
            <w:r>
              <w:t>If electricity</w:t>
            </w:r>
            <w:r w:rsidR="00A20030">
              <w:t xml:space="preserve"> </w:t>
            </w:r>
            <w:r>
              <w:t>meters are not regulated: at least</w:t>
            </w:r>
            <w:r w:rsidR="00A20030">
              <w:t xml:space="preserve"> accuracy class</w:t>
            </w:r>
            <w:r>
              <w:t xml:space="preserve"> 0.5, or in accordance with the </w:t>
            </w:r>
            <w:r w:rsidR="0010272E">
              <w:t xml:space="preserve">specifications </w:t>
            </w:r>
            <w:r>
              <w:t>of the meter supplier or national requirements</w:t>
            </w:r>
          </w:p>
        </w:tc>
      </w:tr>
      <w:tr w:rsidR="00EB6812" w:rsidRPr="00131981" w14:paraId="457B2485" w14:textId="77777777" w:rsidTr="00F36908">
        <w:trPr>
          <w:trHeight w:val="104"/>
        </w:trPr>
        <w:tc>
          <w:tcPr>
            <w:tcW w:w="2552" w:type="dxa"/>
            <w:vMerge/>
          </w:tcPr>
          <w:p w14:paraId="66813AB4" w14:textId="77777777" w:rsidR="00EB6812" w:rsidRPr="00131981" w:rsidRDefault="00EB6812" w:rsidP="00F36908">
            <w:pPr>
              <w:pStyle w:val="SDMTableBoxParaNotNumbered"/>
              <w:spacing w:before="60" w:after="60"/>
            </w:pPr>
          </w:p>
        </w:tc>
        <w:tc>
          <w:tcPr>
            <w:tcW w:w="1571" w:type="dxa"/>
          </w:tcPr>
          <w:p w14:paraId="06B5FF62" w14:textId="77777777" w:rsidR="00EB6812" w:rsidRPr="008C2BFB" w:rsidRDefault="00EB6812" w:rsidP="00F36908">
            <w:pPr>
              <w:pStyle w:val="SDMTableBoxParaNotNumbered"/>
              <w:spacing w:before="60" w:after="60"/>
              <w:rPr>
                <w:i/>
                <w:iCs/>
              </w:rPr>
            </w:pPr>
            <w:r w:rsidRPr="008C2BFB">
              <w:rPr>
                <w:i/>
                <w:iCs/>
              </w:rPr>
              <w:t>Calibration requirements</w:t>
            </w:r>
          </w:p>
        </w:tc>
        <w:tc>
          <w:tcPr>
            <w:tcW w:w="5091" w:type="dxa"/>
            <w:gridSpan w:val="3"/>
          </w:tcPr>
          <w:p w14:paraId="0F130CF9" w14:textId="47CB3240" w:rsidR="00EB6812" w:rsidRDefault="00EB6812" w:rsidP="00F36908">
            <w:pPr>
              <w:pStyle w:val="SDMTableBoxParaNotNumbered"/>
              <w:spacing w:before="60" w:after="60"/>
            </w:pPr>
            <w:r>
              <w:t>If electricity</w:t>
            </w:r>
            <w:r w:rsidR="00915B25">
              <w:t xml:space="preserve"> </w:t>
            </w:r>
            <w:r>
              <w:t>meters are regulated: i</w:t>
            </w:r>
            <w:r w:rsidRPr="00C702E2">
              <w:t>n accordance with national standards or requirements set by the meter supplier or by the operator</w:t>
            </w:r>
            <w:r>
              <w:t xml:space="preserve">s of the electricity system, including </w:t>
            </w:r>
            <w:r w:rsidRPr="00C702E2">
              <w:t>the frequency of calibration</w:t>
            </w:r>
            <w:r>
              <w:t>.</w:t>
            </w:r>
          </w:p>
          <w:p w14:paraId="68E5730A" w14:textId="3FBB2CAC" w:rsidR="00EB6812" w:rsidRPr="00812736" w:rsidRDefault="79C18BE7" w:rsidP="00F36908">
            <w:pPr>
              <w:pStyle w:val="SDMTableBoxParaNotNumbered"/>
              <w:spacing w:before="60" w:after="60"/>
              <w:rPr>
                <w:rFonts w:ascii="Calibri" w:hAnsi="Calibri" w:cs="Calibri"/>
              </w:rPr>
            </w:pPr>
            <w:r>
              <w:t>If electricity</w:t>
            </w:r>
            <w:r w:rsidR="00ED6327">
              <w:t xml:space="preserve"> </w:t>
            </w:r>
            <w:r>
              <w:t xml:space="preserve">meters are not regulated: every </w:t>
            </w:r>
            <w:r w:rsidR="00ED6327">
              <w:t xml:space="preserve">three </w:t>
            </w:r>
            <w:r>
              <w:t>years or in accordance with national standards or requirements set by the meter supplier, including the frequency of calibration</w:t>
            </w:r>
          </w:p>
        </w:tc>
      </w:tr>
      <w:tr w:rsidR="00EB6812" w:rsidRPr="00131981" w14:paraId="2D01FDF9" w14:textId="77777777" w:rsidTr="00F36908">
        <w:trPr>
          <w:trHeight w:val="104"/>
        </w:trPr>
        <w:tc>
          <w:tcPr>
            <w:tcW w:w="2552" w:type="dxa"/>
            <w:vMerge/>
          </w:tcPr>
          <w:p w14:paraId="2034CCA6" w14:textId="77777777" w:rsidR="00EB6812" w:rsidRPr="00131981" w:rsidRDefault="00EB6812" w:rsidP="00F36908">
            <w:pPr>
              <w:pStyle w:val="SDMTableBoxParaNotNumbered"/>
              <w:spacing w:before="60" w:after="60"/>
            </w:pPr>
          </w:p>
        </w:tc>
        <w:tc>
          <w:tcPr>
            <w:tcW w:w="1571" w:type="dxa"/>
          </w:tcPr>
          <w:p w14:paraId="249BB6FA" w14:textId="77777777" w:rsidR="00EB6812" w:rsidRPr="008C2BFB" w:rsidRDefault="00EB6812" w:rsidP="00F36908">
            <w:pPr>
              <w:pStyle w:val="SDMTableBoxParaNotNumbered"/>
              <w:spacing w:before="60" w:after="60"/>
              <w:rPr>
                <w:i/>
                <w:iCs/>
              </w:rPr>
            </w:pPr>
            <w:r w:rsidRPr="008C2BFB">
              <w:rPr>
                <w:i/>
                <w:iCs/>
              </w:rPr>
              <w:t>Location</w:t>
            </w:r>
          </w:p>
        </w:tc>
        <w:tc>
          <w:tcPr>
            <w:tcW w:w="5091" w:type="dxa"/>
            <w:gridSpan w:val="3"/>
          </w:tcPr>
          <w:p w14:paraId="04C750EB" w14:textId="77777777" w:rsidR="00EB6812" w:rsidRDefault="79C18BE7" w:rsidP="00F36908">
            <w:pPr>
              <w:pStyle w:val="SDMTableBoxParaNotNumbered"/>
              <w:spacing w:before="60" w:after="60"/>
            </w:pPr>
            <w:r>
              <w:t>Scenario A and C: electricity system interface, where applicable,</w:t>
            </w:r>
          </w:p>
          <w:p w14:paraId="6D77EE68" w14:textId="0AAD8639" w:rsidR="00EB6812" w:rsidRPr="008C2BFB" w:rsidRDefault="79C18BE7" w:rsidP="00F36908">
            <w:pPr>
              <w:pStyle w:val="SDMTableBoxParaNotNumbered"/>
              <w:spacing w:before="60" w:after="60"/>
            </w:pPr>
            <w:r>
              <w:t xml:space="preserve">Scenario B and C: entrance </w:t>
            </w:r>
            <w:r w:rsidR="00ED6327">
              <w:t xml:space="preserve">to </w:t>
            </w:r>
            <w:r>
              <w:t>the electricity consuming facility, where applicable</w:t>
            </w:r>
          </w:p>
        </w:tc>
      </w:tr>
      <w:tr w:rsidR="00EB6812" w:rsidRPr="00131981" w14:paraId="47A61DAB" w14:textId="77777777" w:rsidTr="00F36908">
        <w:trPr>
          <w:trHeight w:val="300"/>
        </w:trPr>
        <w:tc>
          <w:tcPr>
            <w:tcW w:w="2552" w:type="dxa"/>
          </w:tcPr>
          <w:p w14:paraId="40790C67" w14:textId="77777777" w:rsidR="00EB6812" w:rsidRPr="00131981" w:rsidRDefault="00EB6812" w:rsidP="00F36908">
            <w:pPr>
              <w:pStyle w:val="SDMTableBoxParaNotNumbered"/>
              <w:spacing w:before="60" w:after="60"/>
            </w:pPr>
            <w:r w:rsidRPr="00131981">
              <w:t>QA/QC procedures</w:t>
            </w:r>
          </w:p>
        </w:tc>
        <w:tc>
          <w:tcPr>
            <w:tcW w:w="6662" w:type="dxa"/>
            <w:gridSpan w:val="4"/>
          </w:tcPr>
          <w:p w14:paraId="7EDDA82D" w14:textId="0AB618B5" w:rsidR="00EB6812" w:rsidRDefault="00EB6812" w:rsidP="00F36908">
            <w:pPr>
              <w:pStyle w:val="SDMTableBoxParaNotNumbered"/>
              <w:spacing w:before="60" w:after="60"/>
            </w:pPr>
            <w:r>
              <w:t>In cases where electricity meters are regulated (e.g., the electricity is supplied by the electricity system – scenario</w:t>
            </w:r>
            <w:r w:rsidR="00B00B97">
              <w:t> </w:t>
            </w:r>
            <w:r>
              <w:t xml:space="preserve">A), the electricity meter </w:t>
            </w:r>
            <w:r w:rsidR="002A58BE">
              <w:t xml:space="preserve">shall </w:t>
            </w:r>
            <w:r>
              <w:t xml:space="preserve">be subject to regular maintenance and testing in accordance with the stipulation of the meter supplier and/or </w:t>
            </w:r>
            <w:r w:rsidR="002A58BE">
              <w:t>with</w:t>
            </w:r>
            <w:r>
              <w:t xml:space="preserve"> the requirements set by the operators of the electricity system or national requirements.</w:t>
            </w:r>
          </w:p>
          <w:p w14:paraId="1889C19C" w14:textId="233400BC" w:rsidR="00EB6812" w:rsidRDefault="00EB6812" w:rsidP="00F36908">
            <w:pPr>
              <w:pStyle w:val="SDMTableBoxParaNotNumbered"/>
              <w:spacing w:before="60" w:after="60"/>
            </w:pPr>
            <w:r>
              <w:t xml:space="preserve">In cases where electricity meters are not regulated (e.g., the electricity is supplied by </w:t>
            </w:r>
            <w:r w:rsidR="78EF7AA2">
              <w:t xml:space="preserve">fossil-fuel fired </w:t>
            </w:r>
            <w:r>
              <w:t xml:space="preserve">captive power plants – </w:t>
            </w:r>
            <w:r w:rsidR="002A58BE">
              <w:t>scenario</w:t>
            </w:r>
            <w:r w:rsidR="00B00B97">
              <w:t> </w:t>
            </w:r>
            <w:r>
              <w:t xml:space="preserve">B), the electricity meter </w:t>
            </w:r>
            <w:r w:rsidR="00073614">
              <w:t xml:space="preserve">shall </w:t>
            </w:r>
            <w:r>
              <w:t xml:space="preserve">be subject to regular maintenance and testing in accordance with the </w:t>
            </w:r>
            <w:r w:rsidR="00073614">
              <w:t xml:space="preserve">specifications </w:t>
            </w:r>
            <w:r>
              <w:t>of the meter supplier or national requirements.</w:t>
            </w:r>
          </w:p>
          <w:p w14:paraId="77D52980" w14:textId="3E02F3FA" w:rsidR="00EB6812" w:rsidRPr="008C2BFB" w:rsidRDefault="00EB6812" w:rsidP="00F36908">
            <w:pPr>
              <w:pStyle w:val="SDMTableBoxParaNotNumbered"/>
              <w:spacing w:before="60" w:after="60"/>
            </w:pPr>
            <w:r>
              <w:t>The electricity consumption shall be cross-checked with records of electricity purchased (e.g., purchase receipt</w:t>
            </w:r>
            <w:r w:rsidR="00073614">
              <w:t>s</w:t>
            </w:r>
            <w:r>
              <w:t>)</w:t>
            </w:r>
          </w:p>
        </w:tc>
      </w:tr>
      <w:tr w:rsidR="00EB6812" w:rsidRPr="00131981" w14:paraId="5FD1E915" w14:textId="77777777" w:rsidTr="00F36908">
        <w:trPr>
          <w:trHeight w:val="300"/>
        </w:trPr>
        <w:tc>
          <w:tcPr>
            <w:tcW w:w="2552" w:type="dxa"/>
          </w:tcPr>
          <w:p w14:paraId="4ACD00DD" w14:textId="77777777" w:rsidR="00EB6812" w:rsidRPr="00131981" w:rsidRDefault="00EB6812" w:rsidP="00F36908">
            <w:pPr>
              <w:pStyle w:val="SDMTableBoxParaNotNumbered"/>
              <w:keepNext/>
              <w:spacing w:before="60" w:after="60"/>
            </w:pPr>
            <w:r>
              <w:t>Treatment of uncertainties</w:t>
            </w:r>
          </w:p>
        </w:tc>
        <w:tc>
          <w:tcPr>
            <w:tcW w:w="6662" w:type="dxa"/>
            <w:gridSpan w:val="4"/>
          </w:tcPr>
          <w:p w14:paraId="35A6ECA9" w14:textId="12568B4D" w:rsidR="00EB6812" w:rsidRPr="009D3FB1" w:rsidRDefault="79C18BE7" w:rsidP="00F36908">
            <w:pPr>
              <w:pStyle w:val="SDMTableBoxParaNotNumbered"/>
              <w:keepNext/>
              <w:spacing w:before="60" w:after="60"/>
            </w:pPr>
            <w:r>
              <w:t>Uncertainties are determined based on the measuring instruments</w:t>
            </w:r>
          </w:p>
        </w:tc>
      </w:tr>
      <w:tr w:rsidR="00EB6812" w:rsidRPr="00131981" w14:paraId="3959095E" w14:textId="77777777" w:rsidTr="00F36908">
        <w:trPr>
          <w:trHeight w:val="300"/>
        </w:trPr>
        <w:tc>
          <w:tcPr>
            <w:tcW w:w="2552" w:type="dxa"/>
          </w:tcPr>
          <w:p w14:paraId="12E7B4BB" w14:textId="77777777" w:rsidR="00EB6812" w:rsidRPr="00131981" w:rsidRDefault="00EB6812" w:rsidP="00F36908">
            <w:pPr>
              <w:pStyle w:val="SDMTableBoxParaNotNumbered"/>
              <w:spacing w:before="60" w:after="60"/>
            </w:pPr>
            <w:r w:rsidRPr="00131981">
              <w:t>Additional comment</w:t>
            </w:r>
          </w:p>
        </w:tc>
        <w:tc>
          <w:tcPr>
            <w:tcW w:w="6662" w:type="dxa"/>
            <w:gridSpan w:val="4"/>
          </w:tcPr>
          <w:p w14:paraId="5E0D2533" w14:textId="77777777" w:rsidR="00EB6812" w:rsidRPr="008C2BFB" w:rsidRDefault="00EB6812" w:rsidP="00F36908">
            <w:pPr>
              <w:pStyle w:val="SDMTableBoxParaNotNumbered"/>
              <w:spacing w:before="60" w:after="60"/>
            </w:pPr>
            <w:r>
              <w:t>-</w:t>
            </w:r>
          </w:p>
        </w:tc>
      </w:tr>
    </w:tbl>
    <w:p w14:paraId="27C92DF2" w14:textId="697DC5E8" w:rsidR="00925217" w:rsidRDefault="00925217" w:rsidP="007066AD">
      <w:pPr>
        <w:pStyle w:val="CaptionFullPage"/>
      </w:pPr>
      <w:bookmarkStart w:id="739" w:name="_Ref402448020"/>
      <w:r>
        <w:t>Data / Parameter table</w:t>
      </w:r>
      <w:r w:rsidR="00D47AFF">
        <w:t> </w:t>
      </w:r>
      <w:r>
        <w:fldChar w:fldCharType="begin"/>
      </w:r>
      <w:r>
        <w:instrText>SEQ Data_/_Parameter_table \* ARABIC</w:instrText>
      </w:r>
      <w:r>
        <w:fldChar w:fldCharType="separate"/>
      </w:r>
      <w:r w:rsidR="00D811A8">
        <w:rPr>
          <w:noProof/>
        </w:rPr>
        <w:t>3</w:t>
      </w:r>
      <w:r>
        <w:fldChar w:fldCharType="end"/>
      </w:r>
      <w:r>
        <w:t>.</w:t>
      </w:r>
    </w:p>
    <w:tbl>
      <w:tblPr>
        <w:tblStyle w:val="TableGrid"/>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572"/>
        <w:gridCol w:w="761"/>
        <w:gridCol w:w="2113"/>
        <w:gridCol w:w="2216"/>
      </w:tblGrid>
      <w:tr w:rsidR="00D9066E" w:rsidRPr="00475E82" w14:paraId="2102798F" w14:textId="77777777" w:rsidTr="00F36908">
        <w:trPr>
          <w:trHeight w:val="300"/>
        </w:trPr>
        <w:tc>
          <w:tcPr>
            <w:tcW w:w="2552" w:type="dxa"/>
          </w:tcPr>
          <w:p w14:paraId="6BF46BBC" w14:textId="77777777" w:rsidR="00D9066E" w:rsidRPr="00475E82" w:rsidRDefault="00D9066E" w:rsidP="00F36908">
            <w:pPr>
              <w:pStyle w:val="SDMTableBoxParaNotNumbered"/>
              <w:keepLines/>
              <w:spacing w:before="60" w:after="60"/>
              <w:rPr>
                <w:rFonts w:cs="Arial"/>
              </w:rPr>
            </w:pPr>
            <w:r w:rsidRPr="00475E82">
              <w:rPr>
                <w:rFonts w:cs="Arial"/>
              </w:rPr>
              <w:t>Data/parameter</w:t>
            </w:r>
          </w:p>
        </w:tc>
        <w:tc>
          <w:tcPr>
            <w:tcW w:w="6662" w:type="dxa"/>
            <w:gridSpan w:val="4"/>
          </w:tcPr>
          <w:p w14:paraId="1AD60ECC" w14:textId="77777777" w:rsidR="00D9066E" w:rsidRPr="00475E82" w:rsidRDefault="00000000" w:rsidP="00F36908">
            <w:pPr>
              <w:pStyle w:val="SDMTableBoxParaNotNumbered"/>
              <w:keepLines/>
              <w:spacing w:before="60" w:after="60"/>
              <w:rPr>
                <w:rFonts w:cs="Arial"/>
                <w:b/>
                <w:i/>
                <w:highlight w:val="yellow"/>
              </w:rPr>
            </w:pPr>
            <m:oMath>
              <m:sSub>
                <m:sSubPr>
                  <m:ctrlPr>
                    <w:rPr>
                      <w:rFonts w:ascii="Cambria Math" w:hAnsi="Cambria Math" w:cs="Arial"/>
                      <w:b/>
                      <w:bCs/>
                      <w:i/>
                    </w:rPr>
                  </m:ctrlPr>
                </m:sSubPr>
                <m:e>
                  <m:r>
                    <m:rPr>
                      <m:sty m:val="bi"/>
                    </m:rPr>
                    <w:rPr>
                      <w:rFonts w:ascii="Cambria Math" w:hAnsi="Cambria Math" w:cs="Arial"/>
                    </w:rPr>
                    <m:t>FC</m:t>
                  </m:r>
                </m:e>
                <m:sub>
                  <m:r>
                    <m:rPr>
                      <m:sty m:val="bi"/>
                    </m:rPr>
                    <w:rPr>
                      <w:rFonts w:ascii="Cambria Math" w:hAnsi="Cambria Math" w:cs="Arial"/>
                    </w:rPr>
                    <m:t>i,p,t</m:t>
                  </m:r>
                </m:sub>
              </m:sSub>
            </m:oMath>
            <w:r w:rsidR="00D9066E" w:rsidRPr="00475E82">
              <w:rPr>
                <w:rFonts w:cs="Arial"/>
                <w:b/>
                <w:bCs/>
                <w:i/>
              </w:rPr>
              <w:t xml:space="preserve"> ; </w:t>
            </w:r>
            <m:oMath>
              <m:sSub>
                <m:sSubPr>
                  <m:ctrlPr>
                    <w:rPr>
                      <w:rFonts w:ascii="Cambria Math" w:hAnsi="Cambria Math" w:cs="Arial"/>
                      <w:b/>
                      <w:bCs/>
                      <w:i/>
                    </w:rPr>
                  </m:ctrlPr>
                </m:sSubPr>
                <m:e>
                  <m:r>
                    <m:rPr>
                      <m:sty m:val="bi"/>
                    </m:rPr>
                    <w:rPr>
                      <w:rFonts w:ascii="Cambria Math" w:hAnsi="Cambria Math" w:cs="Arial"/>
                    </w:rPr>
                    <m:t>FC</m:t>
                  </m:r>
                </m:e>
                <m:sub>
                  <m:r>
                    <m:rPr>
                      <m:sty m:val="bi"/>
                    </m:rPr>
                    <w:rPr>
                      <w:rFonts w:ascii="Cambria Math" w:hAnsi="Cambria Math" w:cs="Arial"/>
                    </w:rPr>
                    <m:t>i,p,h</m:t>
                  </m:r>
                </m:sub>
              </m:sSub>
            </m:oMath>
          </w:p>
        </w:tc>
      </w:tr>
      <w:tr w:rsidR="00D9066E" w:rsidRPr="00475E82" w14:paraId="2F2DD1A1" w14:textId="77777777" w:rsidTr="00F36908">
        <w:trPr>
          <w:trHeight w:val="300"/>
        </w:trPr>
        <w:tc>
          <w:tcPr>
            <w:tcW w:w="2552" w:type="dxa"/>
          </w:tcPr>
          <w:p w14:paraId="76FE276E" w14:textId="77777777" w:rsidR="00D9066E" w:rsidRPr="00475E82" w:rsidRDefault="00D9066E" w:rsidP="0038031D">
            <w:pPr>
              <w:pStyle w:val="SDMTableBoxParaNotNumbered"/>
              <w:spacing w:before="60" w:after="60"/>
              <w:rPr>
                <w:rFonts w:cs="Arial"/>
              </w:rPr>
            </w:pPr>
            <w:r w:rsidRPr="00475E82">
              <w:rPr>
                <w:rFonts w:cs="Arial"/>
              </w:rPr>
              <w:t>Description</w:t>
            </w:r>
          </w:p>
        </w:tc>
        <w:tc>
          <w:tcPr>
            <w:tcW w:w="6662" w:type="dxa"/>
            <w:gridSpan w:val="4"/>
          </w:tcPr>
          <w:p w14:paraId="0F3BA7EA" w14:textId="77777777" w:rsidR="00D9066E" w:rsidRPr="00475E82" w:rsidRDefault="00000000" w:rsidP="0038031D">
            <w:pPr>
              <w:pStyle w:val="SDMTableBoxParaNotNumbered"/>
              <w:spacing w:before="60" w:after="60"/>
              <w:rPr>
                <w:rFonts w:cs="Arial"/>
                <w:b/>
                <w:bCs/>
                <w:i/>
              </w:rPr>
            </w:pPr>
            <m:oMath>
              <m:sSub>
                <m:sSubPr>
                  <m:ctrlPr>
                    <w:rPr>
                      <w:rFonts w:ascii="Cambria Math" w:hAnsi="Cambria Math" w:cs="Arial"/>
                      <w:b/>
                      <w:bCs/>
                      <w:i/>
                    </w:rPr>
                  </m:ctrlPr>
                </m:sSubPr>
                <m:e>
                  <m:r>
                    <m:rPr>
                      <m:sty m:val="bi"/>
                    </m:rPr>
                    <w:rPr>
                      <w:rFonts w:ascii="Cambria Math" w:hAnsi="Cambria Math" w:cs="Arial"/>
                    </w:rPr>
                    <m:t>FC</m:t>
                  </m:r>
                </m:e>
                <m:sub>
                  <m:r>
                    <m:rPr>
                      <m:sty m:val="bi"/>
                    </m:rPr>
                    <w:rPr>
                      <w:rFonts w:ascii="Cambria Math" w:hAnsi="Cambria Math" w:cs="Arial"/>
                    </w:rPr>
                    <m:t>i,p,t</m:t>
                  </m:r>
                </m:sub>
              </m:sSub>
            </m:oMath>
            <w:r w:rsidR="00D9066E" w:rsidRPr="00475E82">
              <w:rPr>
                <w:rFonts w:cs="Arial"/>
                <w:b/>
                <w:bCs/>
                <w:i/>
              </w:rPr>
              <w:t xml:space="preserve">: </w:t>
            </w:r>
            <w:r w:rsidR="00D9066E" w:rsidRPr="00475E82">
              <w:rPr>
                <w:rFonts w:cs="Arial"/>
              </w:rPr>
              <w:t>Amount of fuel type </w:t>
            </w:r>
            <w:r w:rsidR="00D9066E" w:rsidRPr="00475E82">
              <w:rPr>
                <w:rFonts w:cs="Arial"/>
                <w:i/>
                <w:iCs/>
              </w:rPr>
              <w:t xml:space="preserve">i </w:t>
            </w:r>
            <w:r w:rsidR="00D9066E" w:rsidRPr="00475E82">
              <w:rPr>
                <w:rFonts w:cs="Arial"/>
              </w:rPr>
              <w:t>consumed by power unit </w:t>
            </w:r>
            <w:r w:rsidR="00D9066E" w:rsidRPr="00475E82">
              <w:rPr>
                <w:rFonts w:cs="Arial"/>
                <w:i/>
                <w:iCs/>
              </w:rPr>
              <w:t xml:space="preserve">p </w:t>
            </w:r>
            <w:r w:rsidR="00D9066E" w:rsidRPr="00475E82">
              <w:rPr>
                <w:rFonts w:cs="Arial"/>
              </w:rPr>
              <w:t>in</w:t>
            </w:r>
            <w:r w:rsidR="00D9066E" w:rsidRPr="00475E82">
              <w:rPr>
                <w:rFonts w:cs="Arial"/>
                <w:i/>
                <w:iCs/>
              </w:rPr>
              <w:t xml:space="preserve"> </w:t>
            </w:r>
            <w:r w:rsidR="00D9066E" w:rsidRPr="00475E82">
              <w:rPr>
                <w:rFonts w:cs="Arial"/>
              </w:rPr>
              <w:t>period</w:t>
            </w:r>
            <w:r w:rsidR="00D9066E" w:rsidRPr="00475E82">
              <w:rPr>
                <w:rFonts w:cs="Arial"/>
                <w:i/>
                <w:iCs/>
              </w:rPr>
              <w:t> t</w:t>
            </w:r>
          </w:p>
          <w:p w14:paraId="7EA586B5" w14:textId="6021164E" w:rsidR="00D9066E" w:rsidRPr="00475E82" w:rsidRDefault="00000000" w:rsidP="0038031D">
            <w:pPr>
              <w:pStyle w:val="SDMTableBoxParaNotNumbered"/>
              <w:spacing w:before="60" w:after="60"/>
              <w:rPr>
                <w:rFonts w:cs="Arial"/>
                <w:highlight w:val="yellow"/>
              </w:rPr>
            </w:pPr>
            <m:oMath>
              <m:sSub>
                <m:sSubPr>
                  <m:ctrlPr>
                    <w:rPr>
                      <w:rFonts w:ascii="Cambria Math" w:hAnsi="Cambria Math" w:cs="Arial"/>
                      <w:b/>
                      <w:bCs/>
                      <w:i/>
                    </w:rPr>
                  </m:ctrlPr>
                </m:sSubPr>
                <m:e>
                  <m:r>
                    <m:rPr>
                      <m:sty m:val="bi"/>
                    </m:rPr>
                    <w:rPr>
                      <w:rFonts w:ascii="Cambria Math" w:hAnsi="Cambria Math" w:cs="Arial"/>
                    </w:rPr>
                    <m:t>FC</m:t>
                  </m:r>
                </m:e>
                <m:sub>
                  <m:r>
                    <m:rPr>
                      <m:sty m:val="bi"/>
                    </m:rPr>
                    <w:rPr>
                      <w:rFonts w:ascii="Cambria Math" w:hAnsi="Cambria Math" w:cs="Arial"/>
                    </w:rPr>
                    <m:t>i,p,h</m:t>
                  </m:r>
                </m:sub>
              </m:sSub>
            </m:oMath>
            <w:r w:rsidR="00D9066E" w:rsidRPr="00475E82">
              <w:rPr>
                <w:rFonts w:cs="Arial"/>
                <w:b/>
                <w:bCs/>
              </w:rPr>
              <w:t xml:space="preserve">: </w:t>
            </w:r>
            <w:r w:rsidR="00D9066E" w:rsidRPr="00475E82">
              <w:rPr>
                <w:rFonts w:cs="Arial"/>
              </w:rPr>
              <w:t>Amount of fuel type </w:t>
            </w:r>
            <w:r w:rsidR="00D9066E" w:rsidRPr="00475E82">
              <w:rPr>
                <w:rFonts w:cs="Arial"/>
                <w:i/>
                <w:iCs/>
              </w:rPr>
              <w:t xml:space="preserve">i </w:t>
            </w:r>
            <w:r w:rsidR="00D9066E" w:rsidRPr="00475E82">
              <w:rPr>
                <w:rFonts w:cs="Arial"/>
              </w:rPr>
              <w:t>consumed by power unit </w:t>
            </w:r>
            <w:r w:rsidR="00D9066E" w:rsidRPr="00475E82">
              <w:rPr>
                <w:rFonts w:cs="Arial"/>
                <w:i/>
                <w:iCs/>
              </w:rPr>
              <w:t xml:space="preserve">p </w:t>
            </w:r>
            <w:r w:rsidR="00D9066E" w:rsidRPr="00475E82">
              <w:rPr>
                <w:rFonts w:cs="Arial"/>
              </w:rPr>
              <w:t>in</w:t>
            </w:r>
            <w:r w:rsidR="00D9066E" w:rsidRPr="00475E82">
              <w:rPr>
                <w:rFonts w:cs="Arial"/>
                <w:i/>
                <w:iCs/>
              </w:rPr>
              <w:t xml:space="preserve"> </w:t>
            </w:r>
            <w:r w:rsidR="00D9066E" w:rsidRPr="00475E82">
              <w:rPr>
                <w:rFonts w:cs="Arial"/>
              </w:rPr>
              <w:t>hour</w:t>
            </w:r>
            <w:r w:rsidR="005A1BB7" w:rsidRPr="00475E82">
              <w:rPr>
                <w:rFonts w:cs="Arial"/>
              </w:rPr>
              <w:t> </w:t>
            </w:r>
            <w:r w:rsidR="00D9066E" w:rsidRPr="00475E82">
              <w:rPr>
                <w:rFonts w:cs="Arial"/>
                <w:i/>
                <w:iCs/>
              </w:rPr>
              <w:t>h</w:t>
            </w:r>
          </w:p>
        </w:tc>
      </w:tr>
      <w:tr w:rsidR="00D9066E" w:rsidRPr="00475E82" w14:paraId="08803FCD" w14:textId="77777777" w:rsidTr="00F36908">
        <w:trPr>
          <w:trHeight w:val="300"/>
        </w:trPr>
        <w:tc>
          <w:tcPr>
            <w:tcW w:w="2552" w:type="dxa"/>
          </w:tcPr>
          <w:p w14:paraId="0BCFDB58" w14:textId="77777777" w:rsidR="00D9066E" w:rsidRPr="00475E82" w:rsidRDefault="00D9066E" w:rsidP="0038031D">
            <w:pPr>
              <w:pStyle w:val="SDMTableBoxParaNotNumbered"/>
              <w:spacing w:before="60" w:after="60"/>
              <w:rPr>
                <w:rFonts w:cs="Arial"/>
              </w:rPr>
            </w:pPr>
            <w:r w:rsidRPr="00475E82">
              <w:rPr>
                <w:rFonts w:cs="Arial"/>
              </w:rPr>
              <w:t>Data unit</w:t>
            </w:r>
          </w:p>
        </w:tc>
        <w:tc>
          <w:tcPr>
            <w:tcW w:w="6662" w:type="dxa"/>
            <w:gridSpan w:val="4"/>
          </w:tcPr>
          <w:p w14:paraId="401E67E1" w14:textId="6B1EDC15" w:rsidR="00D9066E" w:rsidRPr="00475E82" w:rsidRDefault="00000000" w:rsidP="0038031D">
            <w:pPr>
              <w:pStyle w:val="SDMTableBoxParaNotNumbered"/>
              <w:spacing w:before="60" w:after="60"/>
              <w:rPr>
                <w:rFonts w:cs="Arial"/>
                <w:b/>
                <w:bCs/>
                <w:i/>
              </w:rPr>
            </w:pPr>
            <m:oMath>
              <m:sSub>
                <m:sSubPr>
                  <m:ctrlPr>
                    <w:rPr>
                      <w:rFonts w:ascii="Cambria Math" w:hAnsi="Cambria Math" w:cs="Arial"/>
                      <w:b/>
                      <w:bCs/>
                      <w:i/>
                    </w:rPr>
                  </m:ctrlPr>
                </m:sSubPr>
                <m:e>
                  <m:r>
                    <m:rPr>
                      <m:sty m:val="bi"/>
                    </m:rPr>
                    <w:rPr>
                      <w:rFonts w:ascii="Cambria Math" w:hAnsi="Cambria Math" w:cs="Arial"/>
                    </w:rPr>
                    <m:t>FC</m:t>
                  </m:r>
                </m:e>
                <m:sub>
                  <m:r>
                    <m:rPr>
                      <m:sty m:val="bi"/>
                    </m:rPr>
                    <w:rPr>
                      <w:rFonts w:ascii="Cambria Math" w:hAnsi="Cambria Math" w:cs="Arial"/>
                    </w:rPr>
                    <m:t>i,p,t</m:t>
                  </m:r>
                </m:sub>
              </m:sSub>
            </m:oMath>
            <w:r w:rsidR="00D9066E" w:rsidRPr="00475E82">
              <w:rPr>
                <w:rFonts w:cs="Arial"/>
                <w:b/>
                <w:bCs/>
                <w:i/>
                <w:iCs/>
              </w:rPr>
              <w:t xml:space="preserve">: </w:t>
            </w:r>
            <w:r w:rsidR="00D9066E" w:rsidRPr="00475E82">
              <w:rPr>
                <w:rFonts w:cs="Arial"/>
              </w:rPr>
              <w:t>Mass or volume unit at reference conditions</w:t>
            </w:r>
            <w:bookmarkStart w:id="740" w:name="_Ref215771451"/>
            <w:r w:rsidR="00D9066E" w:rsidRPr="00475E82">
              <w:rPr>
                <w:rStyle w:val="FootnoteReference"/>
                <w:rFonts w:cs="Arial"/>
              </w:rPr>
              <w:footnoteReference w:id="35"/>
            </w:r>
            <w:bookmarkEnd w:id="740"/>
            <w:r w:rsidR="00D9066E" w:rsidRPr="00475E82">
              <w:rPr>
                <w:rFonts w:cs="Arial"/>
              </w:rPr>
              <w:t xml:space="preserve"> in period</w:t>
            </w:r>
            <w:r w:rsidR="005A1BB7" w:rsidRPr="00475E82">
              <w:rPr>
                <w:rFonts w:cs="Arial"/>
              </w:rPr>
              <w:t> </w:t>
            </w:r>
            <w:r w:rsidR="00D9066E" w:rsidRPr="00475E82">
              <w:rPr>
                <w:rFonts w:cs="Arial"/>
                <w:i/>
                <w:iCs/>
              </w:rPr>
              <w:t>t</w:t>
            </w:r>
          </w:p>
          <w:p w14:paraId="69840352" w14:textId="38472FCF" w:rsidR="00D9066E" w:rsidRPr="00475E82" w:rsidRDefault="00000000" w:rsidP="00D811A8">
            <w:pPr>
              <w:pStyle w:val="SDMTableBoxParaNotNumbered"/>
              <w:spacing w:before="60" w:after="60"/>
              <w:rPr>
                <w:rFonts w:cs="Arial"/>
              </w:rPr>
            </w:pPr>
            <m:oMath>
              <m:sSub>
                <m:sSubPr>
                  <m:ctrlPr>
                    <w:rPr>
                      <w:rFonts w:ascii="Cambria Math" w:hAnsi="Cambria Math" w:cs="Arial"/>
                      <w:b/>
                      <w:bCs/>
                      <w:i/>
                    </w:rPr>
                  </m:ctrlPr>
                </m:sSubPr>
                <m:e>
                  <m:r>
                    <m:rPr>
                      <m:sty m:val="bi"/>
                    </m:rPr>
                    <w:rPr>
                      <w:rFonts w:ascii="Cambria Math" w:hAnsi="Cambria Math" w:cs="Arial"/>
                    </w:rPr>
                    <m:t>FC</m:t>
                  </m:r>
                </m:e>
                <m:sub>
                  <m:r>
                    <m:rPr>
                      <m:sty m:val="bi"/>
                    </m:rPr>
                    <w:rPr>
                      <w:rFonts w:ascii="Cambria Math" w:hAnsi="Cambria Math" w:cs="Arial"/>
                    </w:rPr>
                    <m:t>i,p,h</m:t>
                  </m:r>
                </m:sub>
              </m:sSub>
            </m:oMath>
            <w:r w:rsidR="00D9066E" w:rsidRPr="00475E82">
              <w:rPr>
                <w:rFonts w:cs="Arial"/>
                <w:b/>
                <w:bCs/>
              </w:rPr>
              <w:t xml:space="preserve">: </w:t>
            </w:r>
            <w:r w:rsidR="00D9066E" w:rsidRPr="00475E82">
              <w:rPr>
                <w:rFonts w:cs="Arial"/>
              </w:rPr>
              <w:t>Mass or volume unit at reference conditions</w:t>
            </w:r>
            <w:r w:rsidR="00D9066E" w:rsidRPr="00475E82">
              <w:rPr>
                <w:rFonts w:cs="Arial"/>
              </w:rPr>
              <w:fldChar w:fldCharType="begin"/>
            </w:r>
            <w:r w:rsidR="00D9066E" w:rsidRPr="00475E82">
              <w:rPr>
                <w:rFonts w:cs="Arial"/>
              </w:rPr>
              <w:instrText xml:space="preserve"> NOTEREF _Ref215771451 \f \h </w:instrText>
            </w:r>
            <w:r w:rsidR="00475E82" w:rsidRPr="00475E82">
              <w:rPr>
                <w:rFonts w:cs="Arial"/>
              </w:rPr>
              <w:instrText xml:space="preserve"> \* MERGEFORMAT </w:instrText>
            </w:r>
            <w:r w:rsidR="00D9066E" w:rsidRPr="00475E82">
              <w:rPr>
                <w:rFonts w:cs="Arial"/>
              </w:rPr>
            </w:r>
            <w:r w:rsidR="00D9066E" w:rsidRPr="00475E82">
              <w:rPr>
                <w:rFonts w:cs="Arial"/>
              </w:rPr>
              <w:fldChar w:fldCharType="separate"/>
            </w:r>
            <w:r w:rsidR="00D811A8" w:rsidRPr="00D811A8">
              <w:rPr>
                <w:rStyle w:val="FootnoteReference"/>
              </w:rPr>
              <w:t>34</w:t>
            </w:r>
            <w:r w:rsidR="00D9066E" w:rsidRPr="00475E82">
              <w:rPr>
                <w:rFonts w:cs="Arial"/>
              </w:rPr>
              <w:fldChar w:fldCharType="end"/>
            </w:r>
            <w:r w:rsidR="00D9066E" w:rsidRPr="00475E82">
              <w:rPr>
                <w:rFonts w:cs="Arial"/>
              </w:rPr>
              <w:t xml:space="preserve"> in hour</w:t>
            </w:r>
            <w:r w:rsidR="005A1BB7" w:rsidRPr="00475E82">
              <w:rPr>
                <w:rFonts w:cs="Arial"/>
              </w:rPr>
              <w:t> </w:t>
            </w:r>
            <w:r w:rsidR="00D9066E" w:rsidRPr="00475E82">
              <w:rPr>
                <w:rFonts w:cs="Arial"/>
                <w:i/>
                <w:iCs/>
              </w:rPr>
              <w:t>h</w:t>
            </w:r>
          </w:p>
        </w:tc>
      </w:tr>
      <w:tr w:rsidR="00D9066E" w:rsidRPr="00475E82" w14:paraId="70C0C6BC" w14:textId="77777777" w:rsidTr="00F36908">
        <w:trPr>
          <w:trHeight w:val="300"/>
        </w:trPr>
        <w:tc>
          <w:tcPr>
            <w:tcW w:w="2552" w:type="dxa"/>
          </w:tcPr>
          <w:p w14:paraId="3B1C5B3D" w14:textId="77777777" w:rsidR="00D9066E" w:rsidRPr="00475E82" w:rsidRDefault="00D9066E" w:rsidP="0038031D">
            <w:pPr>
              <w:pStyle w:val="SDMTableBoxParaNotNumbered"/>
              <w:spacing w:before="60" w:after="60"/>
              <w:rPr>
                <w:rFonts w:cs="Arial"/>
              </w:rPr>
            </w:pPr>
            <w:r w:rsidRPr="00475E82">
              <w:rPr>
                <w:rFonts w:cs="Arial"/>
              </w:rPr>
              <w:t>Equations referred</w:t>
            </w:r>
          </w:p>
        </w:tc>
        <w:tc>
          <w:tcPr>
            <w:tcW w:w="6662" w:type="dxa"/>
            <w:gridSpan w:val="4"/>
            <w:tcBorders>
              <w:bottom w:val="single" w:sz="4" w:space="0" w:color="auto"/>
            </w:tcBorders>
          </w:tcPr>
          <w:p w14:paraId="49E4FCBD" w14:textId="77777777" w:rsidR="00D9066E" w:rsidRPr="00475E82" w:rsidRDefault="00D9066E" w:rsidP="0038031D">
            <w:pPr>
              <w:pStyle w:val="SDMTableBoxParaNotNumbered"/>
              <w:spacing w:before="60" w:after="60"/>
              <w:rPr>
                <w:rFonts w:cs="Arial"/>
                <w:highlight w:val="yellow"/>
              </w:rPr>
            </w:pPr>
          </w:p>
        </w:tc>
      </w:tr>
      <w:tr w:rsidR="00241146" w:rsidRPr="00475E82" w14:paraId="02BE520C" w14:textId="77777777" w:rsidTr="00F36908">
        <w:trPr>
          <w:trHeight w:val="300"/>
        </w:trPr>
        <w:tc>
          <w:tcPr>
            <w:tcW w:w="2552" w:type="dxa"/>
            <w:tcBorders>
              <w:right w:val="single" w:sz="4" w:space="0" w:color="auto"/>
            </w:tcBorders>
          </w:tcPr>
          <w:p w14:paraId="4A8E316B" w14:textId="77777777" w:rsidR="00241146" w:rsidRPr="00475E82" w:rsidRDefault="00241146" w:rsidP="0038031D">
            <w:pPr>
              <w:pStyle w:val="SDMTableBoxParaNotNumbered"/>
              <w:spacing w:before="60" w:after="60"/>
              <w:rPr>
                <w:rFonts w:cs="Arial"/>
              </w:rPr>
            </w:pPr>
            <w:r w:rsidRPr="00475E82">
              <w:rPr>
                <w:rFonts w:cs="Arial"/>
              </w:rPr>
              <w:t>Purpose of data</w:t>
            </w:r>
          </w:p>
        </w:tc>
        <w:tc>
          <w:tcPr>
            <w:tcW w:w="2333" w:type="dxa"/>
            <w:gridSpan w:val="2"/>
            <w:tcBorders>
              <w:left w:val="single" w:sz="4" w:space="0" w:color="auto"/>
              <w:right w:val="nil"/>
            </w:tcBorders>
          </w:tcPr>
          <w:p w14:paraId="4C0AACB6" w14:textId="77777777" w:rsidR="00241146" w:rsidRPr="00475E82" w:rsidRDefault="00241146" w:rsidP="0038031D">
            <w:pPr>
              <w:pStyle w:val="SDMTableBoxParaNotNumbered"/>
              <w:spacing w:before="60" w:after="60"/>
              <w:rPr>
                <w:rFonts w:cs="Arial"/>
              </w:rPr>
            </w:pPr>
            <w:r w:rsidRPr="00475E82">
              <w:rPr>
                <w:rFonts w:cs="Arial"/>
                <w:shd w:val="clear" w:color="auto" w:fill="E6E6E6"/>
              </w:rPr>
              <w:fldChar w:fldCharType="begin">
                <w:ffData>
                  <w:name w:val=""/>
                  <w:enabled/>
                  <w:calcOnExit w:val="0"/>
                  <w:checkBox>
                    <w:size w:val="20"/>
                    <w:default w:val="1"/>
                  </w:checkBox>
                </w:ffData>
              </w:fldChar>
            </w:r>
            <w:r w:rsidRPr="00475E82">
              <w:rPr>
                <w:rFonts w:cs="Arial"/>
                <w:shd w:val="clear" w:color="auto" w:fill="E6E6E6"/>
              </w:rPr>
              <w:instrText xml:space="preserve"> FORMCHECKBOX </w:instrText>
            </w:r>
            <w:r w:rsidR="00000000">
              <w:rPr>
                <w:rFonts w:cs="Arial"/>
                <w:shd w:val="clear" w:color="auto" w:fill="E6E6E6"/>
              </w:rPr>
            </w:r>
            <w:r w:rsidR="00000000">
              <w:rPr>
                <w:rFonts w:cs="Arial"/>
                <w:shd w:val="clear" w:color="auto" w:fill="E6E6E6"/>
              </w:rPr>
              <w:fldChar w:fldCharType="separate"/>
            </w:r>
            <w:r w:rsidRPr="00475E82">
              <w:rPr>
                <w:rFonts w:cs="Arial"/>
                <w:shd w:val="clear" w:color="auto" w:fill="E6E6E6"/>
              </w:rPr>
              <w:fldChar w:fldCharType="end"/>
            </w:r>
            <w:r w:rsidRPr="00475E82">
              <w:rPr>
                <w:rFonts w:cs="Arial"/>
                <w:shd w:val="clear" w:color="auto" w:fill="E6E6E6"/>
              </w:rPr>
              <w:t xml:space="preserve"> </w:t>
            </w:r>
            <w:r w:rsidRPr="00475E82">
              <w:rPr>
                <w:rFonts w:cs="Arial"/>
              </w:rPr>
              <w:t>Baseline emissions</w:t>
            </w:r>
          </w:p>
        </w:tc>
        <w:tc>
          <w:tcPr>
            <w:tcW w:w="2113" w:type="dxa"/>
            <w:tcBorders>
              <w:left w:val="nil"/>
              <w:right w:val="nil"/>
            </w:tcBorders>
          </w:tcPr>
          <w:p w14:paraId="5090AFF6" w14:textId="77777777" w:rsidR="00241146" w:rsidRPr="00475E82" w:rsidRDefault="00241146" w:rsidP="0038031D">
            <w:pPr>
              <w:pStyle w:val="SDMTableBoxParaNotNumbered"/>
              <w:spacing w:before="60" w:after="60"/>
              <w:rPr>
                <w:rFonts w:cs="Arial"/>
              </w:rPr>
            </w:pPr>
            <w:r w:rsidRPr="00475E82">
              <w:rPr>
                <w:rFonts w:cs="Arial"/>
                <w:shd w:val="clear" w:color="auto" w:fill="E6E6E6"/>
              </w:rPr>
              <w:fldChar w:fldCharType="begin">
                <w:ffData>
                  <w:name w:val=""/>
                  <w:enabled/>
                  <w:calcOnExit w:val="0"/>
                  <w:checkBox>
                    <w:size w:val="20"/>
                    <w:default w:val="1"/>
                  </w:checkBox>
                </w:ffData>
              </w:fldChar>
            </w:r>
            <w:r w:rsidRPr="00475E82">
              <w:rPr>
                <w:rFonts w:cs="Arial"/>
                <w:shd w:val="clear" w:color="auto" w:fill="E6E6E6"/>
              </w:rPr>
              <w:instrText xml:space="preserve"> FORMCHECKBOX </w:instrText>
            </w:r>
            <w:r w:rsidR="00000000">
              <w:rPr>
                <w:rFonts w:cs="Arial"/>
                <w:shd w:val="clear" w:color="auto" w:fill="E6E6E6"/>
              </w:rPr>
            </w:r>
            <w:r w:rsidR="00000000">
              <w:rPr>
                <w:rFonts w:cs="Arial"/>
                <w:shd w:val="clear" w:color="auto" w:fill="E6E6E6"/>
              </w:rPr>
              <w:fldChar w:fldCharType="separate"/>
            </w:r>
            <w:r w:rsidRPr="00475E82">
              <w:rPr>
                <w:rFonts w:cs="Arial"/>
                <w:shd w:val="clear" w:color="auto" w:fill="E6E6E6"/>
              </w:rPr>
              <w:fldChar w:fldCharType="end"/>
            </w:r>
            <w:r w:rsidRPr="00475E82">
              <w:rPr>
                <w:rFonts w:cs="Arial"/>
              </w:rPr>
              <w:fldChar w:fldCharType="begin"/>
            </w:r>
            <w:r w:rsidRPr="00475E82">
              <w:rPr>
                <w:rFonts w:cs="Arial"/>
              </w:rPr>
              <w:instrText xml:space="preserve"> FORMCHECKBOX </w:instrText>
            </w:r>
            <w:r w:rsidR="00000000">
              <w:rPr>
                <w:rFonts w:cs="Arial"/>
              </w:rPr>
              <w:fldChar w:fldCharType="separate"/>
            </w:r>
            <w:r w:rsidRPr="00475E82">
              <w:rPr>
                <w:rFonts w:cs="Arial"/>
              </w:rPr>
              <w:fldChar w:fldCharType="end"/>
            </w:r>
            <w:r w:rsidRPr="00475E82">
              <w:rPr>
                <w:rFonts w:cs="Arial"/>
              </w:rPr>
              <w:t xml:space="preserve"> Project emissions</w:t>
            </w:r>
          </w:p>
        </w:tc>
        <w:tc>
          <w:tcPr>
            <w:tcW w:w="2216" w:type="dxa"/>
            <w:tcBorders>
              <w:left w:val="nil"/>
            </w:tcBorders>
          </w:tcPr>
          <w:p w14:paraId="59BB5525" w14:textId="77777777" w:rsidR="00241146" w:rsidRPr="00475E82" w:rsidRDefault="00241146" w:rsidP="0038031D">
            <w:pPr>
              <w:pStyle w:val="SDMTableBoxParaNotNumbered"/>
              <w:spacing w:before="60" w:after="60"/>
              <w:rPr>
                <w:rFonts w:cs="Arial"/>
              </w:rPr>
            </w:pPr>
            <w:r w:rsidRPr="00475E82">
              <w:rPr>
                <w:rFonts w:cs="Arial"/>
                <w:shd w:val="clear" w:color="auto" w:fill="E6E6E6"/>
              </w:rPr>
              <w:fldChar w:fldCharType="begin">
                <w:ffData>
                  <w:name w:val=""/>
                  <w:enabled/>
                  <w:calcOnExit w:val="0"/>
                  <w:checkBox>
                    <w:size w:val="20"/>
                    <w:default w:val="1"/>
                  </w:checkBox>
                </w:ffData>
              </w:fldChar>
            </w:r>
            <w:r w:rsidRPr="00475E82">
              <w:rPr>
                <w:rFonts w:cs="Arial"/>
                <w:shd w:val="clear" w:color="auto" w:fill="E6E6E6"/>
              </w:rPr>
              <w:instrText xml:space="preserve"> FORMCHECKBOX </w:instrText>
            </w:r>
            <w:r w:rsidR="00000000">
              <w:rPr>
                <w:rFonts w:cs="Arial"/>
                <w:shd w:val="clear" w:color="auto" w:fill="E6E6E6"/>
              </w:rPr>
            </w:r>
            <w:r w:rsidR="00000000">
              <w:rPr>
                <w:rFonts w:cs="Arial"/>
                <w:shd w:val="clear" w:color="auto" w:fill="E6E6E6"/>
              </w:rPr>
              <w:fldChar w:fldCharType="separate"/>
            </w:r>
            <w:r w:rsidRPr="00475E82">
              <w:rPr>
                <w:rFonts w:cs="Arial"/>
                <w:shd w:val="clear" w:color="auto" w:fill="E6E6E6"/>
              </w:rPr>
              <w:fldChar w:fldCharType="end"/>
            </w:r>
            <w:r w:rsidRPr="00475E82">
              <w:rPr>
                <w:rFonts w:cs="Arial"/>
              </w:rPr>
              <w:fldChar w:fldCharType="begin"/>
            </w:r>
            <w:r w:rsidRPr="00475E82">
              <w:rPr>
                <w:rFonts w:cs="Arial"/>
              </w:rPr>
              <w:instrText xml:space="preserve"> FORMCHECKBOX </w:instrText>
            </w:r>
            <w:r w:rsidR="00000000">
              <w:rPr>
                <w:rFonts w:cs="Arial"/>
              </w:rPr>
              <w:fldChar w:fldCharType="separate"/>
            </w:r>
            <w:r w:rsidRPr="00475E82">
              <w:rPr>
                <w:rFonts w:cs="Arial"/>
              </w:rPr>
              <w:fldChar w:fldCharType="end"/>
            </w:r>
            <w:r w:rsidRPr="00475E82">
              <w:rPr>
                <w:rFonts w:cs="Arial"/>
              </w:rPr>
              <w:t xml:space="preserve"> Leakage emissions</w:t>
            </w:r>
          </w:p>
        </w:tc>
      </w:tr>
      <w:tr w:rsidR="00D9066E" w:rsidRPr="00475E82" w14:paraId="146BED40" w14:textId="77777777" w:rsidTr="00F36908">
        <w:trPr>
          <w:trHeight w:val="300"/>
        </w:trPr>
        <w:tc>
          <w:tcPr>
            <w:tcW w:w="2552" w:type="dxa"/>
          </w:tcPr>
          <w:p w14:paraId="7873AA17" w14:textId="77777777" w:rsidR="00D9066E" w:rsidRPr="00475E82" w:rsidRDefault="00D9066E" w:rsidP="0038031D">
            <w:pPr>
              <w:pStyle w:val="SDMTableBoxParaNotNumbered"/>
              <w:spacing w:before="60" w:after="60"/>
              <w:rPr>
                <w:rFonts w:cs="Arial"/>
              </w:rPr>
            </w:pPr>
            <w:r w:rsidRPr="00475E82">
              <w:rPr>
                <w:rFonts w:cs="Arial"/>
              </w:rPr>
              <w:t>Measurement and updating frequency</w:t>
            </w:r>
          </w:p>
        </w:tc>
        <w:tc>
          <w:tcPr>
            <w:tcW w:w="6662" w:type="dxa"/>
            <w:gridSpan w:val="4"/>
          </w:tcPr>
          <w:p w14:paraId="6E2F160A" w14:textId="77777777" w:rsidR="00F74E46" w:rsidRPr="00475E82" w:rsidRDefault="00000000" w:rsidP="0038031D">
            <w:pPr>
              <w:pStyle w:val="SDMTableBoxParaNotNumbered"/>
              <w:spacing w:before="60" w:after="60"/>
              <w:rPr>
                <w:rFonts w:cs="Arial"/>
                <w:i/>
                <w:iCs/>
                <w:lang w:eastAsia="en-US"/>
              </w:rPr>
            </w:pPr>
            <m:oMath>
              <m:sSub>
                <m:sSubPr>
                  <m:ctrlPr>
                    <w:rPr>
                      <w:rFonts w:ascii="Cambria Math" w:hAnsi="Cambria Math" w:cs="Arial"/>
                      <w:b/>
                      <w:bCs/>
                      <w:i/>
                    </w:rPr>
                  </m:ctrlPr>
                </m:sSubPr>
                <m:e>
                  <m:r>
                    <m:rPr>
                      <m:sty m:val="bi"/>
                    </m:rPr>
                    <w:rPr>
                      <w:rFonts w:ascii="Cambria Math" w:hAnsi="Cambria Math" w:cs="Arial"/>
                    </w:rPr>
                    <m:t>FC</m:t>
                  </m:r>
                </m:e>
                <m:sub>
                  <m:r>
                    <m:rPr>
                      <m:sty m:val="bi"/>
                    </m:rPr>
                    <w:rPr>
                      <w:rFonts w:ascii="Cambria Math" w:hAnsi="Cambria Math" w:cs="Arial"/>
                    </w:rPr>
                    <m:t>i,p,t</m:t>
                  </m:r>
                </m:sub>
              </m:sSub>
            </m:oMath>
            <w:r w:rsidR="00D9066E" w:rsidRPr="00475E82">
              <w:rPr>
                <w:rFonts w:cs="Arial"/>
                <w:b/>
                <w:bCs/>
                <w:i/>
                <w:iCs/>
              </w:rPr>
              <w:t>:</w:t>
            </w:r>
            <w:r w:rsidR="00D9066E" w:rsidRPr="00475E82">
              <w:rPr>
                <w:rFonts w:cs="Arial"/>
              </w:rPr>
              <w:t xml:space="preserve"> Continuous measurement and at least monthly recording</w:t>
            </w:r>
          </w:p>
          <w:p w14:paraId="2C5D5AAA" w14:textId="0DD63800" w:rsidR="00D9066E" w:rsidRPr="00475E82" w:rsidRDefault="00000000" w:rsidP="0038031D">
            <w:pPr>
              <w:pStyle w:val="SDMTableBoxParaNotNumbered"/>
              <w:spacing w:before="60" w:after="60"/>
              <w:rPr>
                <w:rFonts w:cs="Arial"/>
              </w:rPr>
            </w:pPr>
            <m:oMath>
              <m:sSub>
                <m:sSubPr>
                  <m:ctrlPr>
                    <w:rPr>
                      <w:rFonts w:ascii="Cambria Math" w:hAnsi="Cambria Math" w:cs="Arial"/>
                      <w:b/>
                      <w:bCs/>
                      <w:i/>
                    </w:rPr>
                  </m:ctrlPr>
                </m:sSubPr>
                <m:e>
                  <m:r>
                    <m:rPr>
                      <m:sty m:val="bi"/>
                    </m:rPr>
                    <w:rPr>
                      <w:rFonts w:ascii="Cambria Math" w:hAnsi="Cambria Math" w:cs="Arial"/>
                    </w:rPr>
                    <m:t>FC</m:t>
                  </m:r>
                </m:e>
                <m:sub>
                  <m:r>
                    <m:rPr>
                      <m:sty m:val="bi"/>
                    </m:rPr>
                    <w:rPr>
                      <w:rFonts w:ascii="Cambria Math" w:hAnsi="Cambria Math" w:cs="Arial"/>
                    </w:rPr>
                    <m:t>i,p,h</m:t>
                  </m:r>
                </m:sub>
              </m:sSub>
            </m:oMath>
            <w:r w:rsidR="00D9066E" w:rsidRPr="00475E82">
              <w:rPr>
                <w:rFonts w:cs="Arial"/>
                <w:b/>
                <w:bCs/>
                <w:i/>
              </w:rPr>
              <w:t>:</w:t>
            </w:r>
            <w:r w:rsidR="00D9066E" w:rsidRPr="00475E82">
              <w:rPr>
                <w:rFonts w:cs="Arial"/>
                <w:i/>
              </w:rPr>
              <w:t xml:space="preserve"> </w:t>
            </w:r>
            <w:r w:rsidR="00D9066E" w:rsidRPr="00475E82">
              <w:rPr>
                <w:rFonts w:cs="Arial"/>
              </w:rPr>
              <w:t>Continuous measurement and at least hourly recording</w:t>
            </w:r>
          </w:p>
        </w:tc>
      </w:tr>
      <w:tr w:rsidR="00D9066E" w:rsidRPr="00475E82" w14:paraId="56A48F0E" w14:textId="77777777" w:rsidTr="00F36908">
        <w:trPr>
          <w:trHeight w:val="300"/>
        </w:trPr>
        <w:tc>
          <w:tcPr>
            <w:tcW w:w="2552" w:type="dxa"/>
          </w:tcPr>
          <w:p w14:paraId="0B795A4A" w14:textId="77777777" w:rsidR="00D9066E" w:rsidRPr="00475E82" w:rsidRDefault="00D9066E" w:rsidP="0038031D">
            <w:pPr>
              <w:pStyle w:val="SDMTableBoxParaNotNumbered"/>
              <w:spacing w:before="60" w:after="60"/>
              <w:rPr>
                <w:rFonts w:cs="Arial"/>
              </w:rPr>
            </w:pPr>
            <w:r w:rsidRPr="00475E82">
              <w:rPr>
                <w:rFonts w:cs="Arial"/>
              </w:rPr>
              <w:t>Measurement methods and procedures</w:t>
            </w:r>
          </w:p>
        </w:tc>
        <w:tc>
          <w:tcPr>
            <w:tcW w:w="6662" w:type="dxa"/>
            <w:gridSpan w:val="4"/>
          </w:tcPr>
          <w:p w14:paraId="49897889" w14:textId="77777777" w:rsidR="00D9066E" w:rsidRPr="00475E82" w:rsidRDefault="00D9066E" w:rsidP="0038031D">
            <w:pPr>
              <w:pStyle w:val="SDMTableBoxParaNotNumbered"/>
              <w:spacing w:before="60" w:after="60"/>
              <w:rPr>
                <w:rFonts w:cs="Arial"/>
              </w:rPr>
            </w:pPr>
            <w:r w:rsidRPr="00475E82">
              <w:rPr>
                <w:rFonts w:cs="Arial"/>
              </w:rPr>
              <w:t>Use either mass or volume meters.</w:t>
            </w:r>
          </w:p>
          <w:p w14:paraId="39E20DB1" w14:textId="4014EDEF" w:rsidR="00D9066E" w:rsidRPr="00475E82" w:rsidRDefault="00D9066E" w:rsidP="0038031D">
            <w:pPr>
              <w:pStyle w:val="SDMTableBoxParaNotNumbered"/>
              <w:spacing w:before="60" w:after="60"/>
              <w:rPr>
                <w:rFonts w:cs="Arial"/>
              </w:rPr>
            </w:pPr>
            <w:r w:rsidRPr="00475E82">
              <w:rPr>
                <w:rFonts w:cs="Arial"/>
              </w:rPr>
              <w:t>In cases where fuel is supplied from small daily tanks, rulers can be used to determine mass or volume of the fuel consumed, with the following conditions: the ruler gauge must be part of the daily tank</w:t>
            </w:r>
            <w:r w:rsidR="00B17E34" w:rsidRPr="00475E82">
              <w:rPr>
                <w:rFonts w:cs="Arial"/>
              </w:rPr>
              <w:t>,</w:t>
            </w:r>
            <w:r w:rsidRPr="00475E82">
              <w:rPr>
                <w:rFonts w:cs="Arial"/>
              </w:rPr>
              <w:t xml:space="preserve"> </w:t>
            </w:r>
            <w:r w:rsidR="00B17E34" w:rsidRPr="00475E82">
              <w:rPr>
                <w:rFonts w:cs="Arial"/>
              </w:rPr>
              <w:t xml:space="preserve">be </w:t>
            </w:r>
            <w:r w:rsidRPr="00475E82">
              <w:rPr>
                <w:rFonts w:cs="Arial"/>
              </w:rPr>
              <w:t>calibrated at least once a year</w:t>
            </w:r>
            <w:r w:rsidR="00B17E34" w:rsidRPr="00475E82">
              <w:rPr>
                <w:rFonts w:cs="Arial"/>
              </w:rPr>
              <w:t>,</w:t>
            </w:r>
            <w:r w:rsidRPr="00475E82">
              <w:rPr>
                <w:rFonts w:cs="Arial"/>
              </w:rPr>
              <w:t xml:space="preserve"> and have </w:t>
            </w:r>
            <w:r w:rsidRPr="00475E82" w:rsidDel="00B17E34">
              <w:rPr>
                <w:rFonts w:cs="Arial"/>
              </w:rPr>
              <w:t xml:space="preserve">a </w:t>
            </w:r>
            <w:r w:rsidRPr="00475E82">
              <w:rPr>
                <w:rFonts w:cs="Arial"/>
              </w:rPr>
              <w:t xml:space="preserve">control </w:t>
            </w:r>
            <w:r w:rsidR="00AC0C31" w:rsidRPr="00475E82">
              <w:rPr>
                <w:rFonts w:cs="Arial"/>
              </w:rPr>
              <w:t xml:space="preserve">logbook </w:t>
            </w:r>
            <w:r w:rsidRPr="00475E82">
              <w:rPr>
                <w:rFonts w:cs="Arial"/>
              </w:rPr>
              <w:t>for recording the measurements (on a daily basis or per shift).</w:t>
            </w:r>
          </w:p>
          <w:p w14:paraId="303404B0" w14:textId="66C81F58" w:rsidR="00D9066E" w:rsidRPr="00475E82" w:rsidRDefault="00D9066E" w:rsidP="0038031D">
            <w:pPr>
              <w:pStyle w:val="SDMTableBoxParaNotNumbered"/>
              <w:spacing w:before="60" w:after="60"/>
              <w:rPr>
                <w:rFonts w:cs="Arial"/>
              </w:rPr>
            </w:pPr>
            <w:r w:rsidRPr="00475E82">
              <w:rPr>
                <w:rFonts w:cs="Arial"/>
              </w:rPr>
              <w:t>Accessories such as transducers, sonar</w:t>
            </w:r>
            <w:r w:rsidR="00AC0C31" w:rsidRPr="00475E82">
              <w:rPr>
                <w:rFonts w:cs="Arial"/>
              </w:rPr>
              <w:t>,</w:t>
            </w:r>
            <w:r w:rsidRPr="00475E82">
              <w:rPr>
                <w:rFonts w:cs="Arial"/>
              </w:rPr>
              <w:t xml:space="preserve"> and piezoelectronic devices are accepted if they are properly calibrated with the ruler gauge and </w:t>
            </w:r>
            <w:r w:rsidR="008331D4" w:rsidRPr="00475E82">
              <w:rPr>
                <w:rFonts w:cs="Arial"/>
              </w:rPr>
              <w:t xml:space="preserve">subject to </w:t>
            </w:r>
            <w:r w:rsidRPr="00475E82">
              <w:rPr>
                <w:rFonts w:cs="Arial"/>
              </w:rPr>
              <w:t xml:space="preserve">reasonable maintenance. In the case of using daily tanks with pre-heaters for heavy oil, calibration </w:t>
            </w:r>
            <w:r w:rsidR="008331D4" w:rsidRPr="00475E82">
              <w:rPr>
                <w:rFonts w:cs="Arial"/>
              </w:rPr>
              <w:t>shall be performed</w:t>
            </w:r>
            <w:r w:rsidRPr="00475E82">
              <w:rPr>
                <w:rFonts w:cs="Arial"/>
              </w:rPr>
              <w:t xml:space="preserve"> with the system at typical operational conditions</w:t>
            </w:r>
          </w:p>
        </w:tc>
      </w:tr>
      <w:tr w:rsidR="00D9066E" w:rsidRPr="00475E82" w14:paraId="75F4A55A" w14:textId="77777777" w:rsidTr="00F36908">
        <w:trPr>
          <w:trHeight w:val="107"/>
        </w:trPr>
        <w:tc>
          <w:tcPr>
            <w:tcW w:w="2552" w:type="dxa"/>
          </w:tcPr>
          <w:p w14:paraId="0210F1FE" w14:textId="77777777" w:rsidR="00D9066E" w:rsidRPr="00475E82" w:rsidRDefault="00D9066E" w:rsidP="0038031D">
            <w:pPr>
              <w:pStyle w:val="SDMTableBoxParaNotNumbered"/>
              <w:spacing w:before="60" w:after="60"/>
              <w:rPr>
                <w:rFonts w:cs="Arial"/>
              </w:rPr>
            </w:pPr>
            <w:r w:rsidRPr="00475E82">
              <w:rPr>
                <w:rFonts w:cs="Arial"/>
              </w:rPr>
              <w:t>Entity/person responsible for the measurement</w:t>
            </w:r>
          </w:p>
        </w:tc>
        <w:tc>
          <w:tcPr>
            <w:tcW w:w="6662" w:type="dxa"/>
            <w:gridSpan w:val="4"/>
          </w:tcPr>
          <w:p w14:paraId="5F2051F2" w14:textId="1F37D76E" w:rsidR="00D9066E" w:rsidRPr="00475E82" w:rsidRDefault="00D9066E" w:rsidP="0038031D">
            <w:pPr>
              <w:pStyle w:val="SDMTableBoxParaNotNumbered"/>
              <w:spacing w:before="60" w:after="60"/>
              <w:rPr>
                <w:rFonts w:cs="Arial"/>
              </w:rPr>
            </w:pPr>
            <w:r w:rsidRPr="00475E82">
              <w:rPr>
                <w:rFonts w:cs="Arial"/>
              </w:rPr>
              <w:t>Activity participants</w:t>
            </w:r>
          </w:p>
        </w:tc>
      </w:tr>
      <w:tr w:rsidR="00D9066E" w:rsidRPr="00475E82" w14:paraId="46FC1382" w14:textId="77777777" w:rsidTr="00F36908">
        <w:trPr>
          <w:trHeight w:val="107"/>
        </w:trPr>
        <w:tc>
          <w:tcPr>
            <w:tcW w:w="2552" w:type="dxa"/>
            <w:vMerge w:val="restart"/>
          </w:tcPr>
          <w:p w14:paraId="457868E1" w14:textId="77777777" w:rsidR="00D9066E" w:rsidRPr="00475E82" w:rsidRDefault="00D9066E" w:rsidP="0038031D">
            <w:pPr>
              <w:pStyle w:val="SDMTableBoxParaNotNumbered"/>
              <w:spacing w:before="60" w:after="60"/>
              <w:rPr>
                <w:rFonts w:cs="Arial"/>
              </w:rPr>
            </w:pPr>
            <w:r w:rsidRPr="00475E82">
              <w:rPr>
                <w:rFonts w:cs="Arial"/>
              </w:rPr>
              <w:t>Measuring instrument(s)</w:t>
            </w:r>
          </w:p>
        </w:tc>
        <w:tc>
          <w:tcPr>
            <w:tcW w:w="1572" w:type="dxa"/>
          </w:tcPr>
          <w:p w14:paraId="375C4AE4" w14:textId="77777777" w:rsidR="00D9066E" w:rsidRPr="00475E82" w:rsidRDefault="00D9066E" w:rsidP="0038031D">
            <w:pPr>
              <w:pStyle w:val="SDMTableBoxParaNotNumbered"/>
              <w:spacing w:before="60" w:after="60"/>
              <w:rPr>
                <w:rFonts w:cs="Arial"/>
                <w:i/>
                <w:iCs/>
              </w:rPr>
            </w:pPr>
            <w:r w:rsidRPr="00475E82">
              <w:rPr>
                <w:rFonts w:cs="Arial"/>
                <w:i/>
                <w:iCs/>
              </w:rPr>
              <w:t>Type of instrument</w:t>
            </w:r>
          </w:p>
        </w:tc>
        <w:tc>
          <w:tcPr>
            <w:tcW w:w="5090" w:type="dxa"/>
            <w:gridSpan w:val="3"/>
          </w:tcPr>
          <w:p w14:paraId="6AB1EDC8" w14:textId="687658C1" w:rsidR="00D9066E" w:rsidRPr="00475E82" w:rsidRDefault="00D9066E" w:rsidP="0038031D">
            <w:pPr>
              <w:pStyle w:val="SDMTableBoxParaNotNumbered"/>
              <w:spacing w:before="60" w:after="60"/>
              <w:rPr>
                <w:rFonts w:cs="Arial"/>
              </w:rPr>
            </w:pPr>
            <w:r w:rsidRPr="00475E82">
              <w:rPr>
                <w:rFonts w:cs="Arial"/>
              </w:rPr>
              <w:t>Mass or volume meters, ruler gauge (that is part of daily tanks), transducers, sonar and piezoelectronic devices</w:t>
            </w:r>
          </w:p>
        </w:tc>
      </w:tr>
      <w:tr w:rsidR="00D9066E" w:rsidRPr="00475E82" w14:paraId="5AA0E96C" w14:textId="77777777" w:rsidTr="00F36908">
        <w:trPr>
          <w:trHeight w:val="104"/>
        </w:trPr>
        <w:tc>
          <w:tcPr>
            <w:tcW w:w="2552" w:type="dxa"/>
            <w:vMerge/>
          </w:tcPr>
          <w:p w14:paraId="4F8533BF" w14:textId="77777777" w:rsidR="00D9066E" w:rsidRPr="00475E82" w:rsidRDefault="00D9066E" w:rsidP="0038031D">
            <w:pPr>
              <w:pStyle w:val="SDMTableBoxParaNotNumbered"/>
              <w:spacing w:before="60" w:after="60"/>
              <w:rPr>
                <w:rFonts w:cs="Arial"/>
                <w:highlight w:val="yellow"/>
              </w:rPr>
            </w:pPr>
          </w:p>
        </w:tc>
        <w:tc>
          <w:tcPr>
            <w:tcW w:w="1572" w:type="dxa"/>
          </w:tcPr>
          <w:p w14:paraId="441F1834" w14:textId="77777777" w:rsidR="00D9066E" w:rsidRPr="00475E82" w:rsidRDefault="00D9066E" w:rsidP="0038031D">
            <w:pPr>
              <w:pStyle w:val="SDMTableBoxParaNotNumbered"/>
              <w:spacing w:before="60" w:after="60"/>
              <w:rPr>
                <w:rFonts w:cs="Arial"/>
                <w:i/>
                <w:iCs/>
              </w:rPr>
            </w:pPr>
            <w:r w:rsidRPr="00475E82">
              <w:rPr>
                <w:rFonts w:cs="Arial"/>
                <w:i/>
                <w:iCs/>
              </w:rPr>
              <w:t>Accuracy class</w:t>
            </w:r>
          </w:p>
        </w:tc>
        <w:tc>
          <w:tcPr>
            <w:tcW w:w="5090" w:type="dxa"/>
            <w:gridSpan w:val="3"/>
          </w:tcPr>
          <w:p w14:paraId="77F0595B" w14:textId="77777777" w:rsidR="00D9066E" w:rsidRPr="00475E82" w:rsidRDefault="00D9066E" w:rsidP="0038031D">
            <w:pPr>
              <w:pStyle w:val="SDMTableBoxParaNotNumbered"/>
              <w:spacing w:before="60" w:after="60"/>
              <w:rPr>
                <w:rFonts w:cs="Arial"/>
              </w:rPr>
            </w:pPr>
            <w:r w:rsidRPr="00475E82">
              <w:rPr>
                <w:rFonts w:cs="Arial"/>
              </w:rPr>
              <w:t>N/A</w:t>
            </w:r>
          </w:p>
        </w:tc>
      </w:tr>
      <w:tr w:rsidR="00D9066E" w:rsidRPr="00475E82" w14:paraId="42C616EE" w14:textId="77777777" w:rsidTr="00F36908">
        <w:trPr>
          <w:trHeight w:val="104"/>
        </w:trPr>
        <w:tc>
          <w:tcPr>
            <w:tcW w:w="2552" w:type="dxa"/>
            <w:vMerge/>
          </w:tcPr>
          <w:p w14:paraId="6A27CDB1" w14:textId="77777777" w:rsidR="00D9066E" w:rsidRPr="00475E82" w:rsidRDefault="00D9066E" w:rsidP="0038031D">
            <w:pPr>
              <w:pStyle w:val="SDMTableBoxParaNotNumbered"/>
              <w:spacing w:before="60" w:after="60"/>
              <w:rPr>
                <w:rFonts w:cs="Arial"/>
                <w:highlight w:val="yellow"/>
              </w:rPr>
            </w:pPr>
          </w:p>
        </w:tc>
        <w:tc>
          <w:tcPr>
            <w:tcW w:w="1572" w:type="dxa"/>
          </w:tcPr>
          <w:p w14:paraId="140AEA00" w14:textId="77777777" w:rsidR="00D9066E" w:rsidRPr="00475E82" w:rsidRDefault="00D9066E" w:rsidP="0038031D">
            <w:pPr>
              <w:pStyle w:val="SDMTableBoxParaNotNumbered"/>
              <w:spacing w:before="60" w:after="60"/>
              <w:rPr>
                <w:rFonts w:cs="Arial"/>
                <w:i/>
                <w:iCs/>
              </w:rPr>
            </w:pPr>
            <w:r w:rsidRPr="00475E82">
              <w:rPr>
                <w:rFonts w:cs="Arial"/>
                <w:i/>
                <w:iCs/>
              </w:rPr>
              <w:t>Calibration requirements</w:t>
            </w:r>
          </w:p>
        </w:tc>
        <w:tc>
          <w:tcPr>
            <w:tcW w:w="5090" w:type="dxa"/>
            <w:gridSpan w:val="3"/>
          </w:tcPr>
          <w:p w14:paraId="01BFCEA8" w14:textId="77777777" w:rsidR="00D9066E" w:rsidRPr="00475E82" w:rsidRDefault="00D9066E" w:rsidP="0038031D">
            <w:pPr>
              <w:pStyle w:val="SDMTableBoxParaNotNumbered"/>
              <w:spacing w:before="60" w:after="60"/>
              <w:rPr>
                <w:rFonts w:cs="Arial"/>
              </w:rPr>
            </w:pPr>
            <w:r w:rsidRPr="00475E82">
              <w:rPr>
                <w:rFonts w:cs="Arial"/>
              </w:rPr>
              <w:t>Ruler gauge: at least once a year.</w:t>
            </w:r>
          </w:p>
          <w:p w14:paraId="3667AF8A" w14:textId="4DFB65E3" w:rsidR="00D9066E" w:rsidRPr="00475E82" w:rsidRDefault="00D9066E" w:rsidP="0038031D">
            <w:pPr>
              <w:pStyle w:val="SDMTableBoxParaNotNumbered"/>
              <w:spacing w:before="60" w:after="60"/>
              <w:rPr>
                <w:rFonts w:cs="Arial"/>
              </w:rPr>
            </w:pPr>
            <w:r w:rsidRPr="00475E82">
              <w:rPr>
                <w:rFonts w:cs="Arial"/>
              </w:rPr>
              <w:t xml:space="preserve">Transducers, sonar and piezoelectronic devices: calibrated with the ruler gauge and </w:t>
            </w:r>
            <w:r w:rsidR="006C49DE" w:rsidRPr="00475E82">
              <w:rPr>
                <w:rFonts w:cs="Arial"/>
              </w:rPr>
              <w:t>subject to</w:t>
            </w:r>
            <w:r w:rsidRPr="00475E82">
              <w:rPr>
                <w:rFonts w:cs="Arial"/>
              </w:rPr>
              <w:t xml:space="preserve"> reasonable maintenance</w:t>
            </w:r>
          </w:p>
        </w:tc>
      </w:tr>
      <w:tr w:rsidR="00D9066E" w:rsidRPr="00475E82" w14:paraId="1B21434F" w14:textId="77777777" w:rsidTr="00F36908">
        <w:trPr>
          <w:trHeight w:val="104"/>
        </w:trPr>
        <w:tc>
          <w:tcPr>
            <w:tcW w:w="2552" w:type="dxa"/>
            <w:vMerge/>
          </w:tcPr>
          <w:p w14:paraId="446A721E" w14:textId="77777777" w:rsidR="00D9066E" w:rsidRPr="00475E82" w:rsidRDefault="00D9066E" w:rsidP="0038031D">
            <w:pPr>
              <w:pStyle w:val="SDMTableBoxParaNotNumbered"/>
              <w:spacing w:before="60" w:after="60"/>
              <w:rPr>
                <w:rFonts w:cs="Arial"/>
                <w:highlight w:val="yellow"/>
              </w:rPr>
            </w:pPr>
          </w:p>
        </w:tc>
        <w:tc>
          <w:tcPr>
            <w:tcW w:w="1572" w:type="dxa"/>
          </w:tcPr>
          <w:p w14:paraId="42A8B194" w14:textId="77777777" w:rsidR="00D9066E" w:rsidRPr="00475E82" w:rsidRDefault="00D9066E" w:rsidP="0038031D">
            <w:pPr>
              <w:pStyle w:val="SDMTableBoxParaNotNumbered"/>
              <w:spacing w:before="60" w:after="60"/>
              <w:rPr>
                <w:rFonts w:cs="Arial"/>
                <w:i/>
                <w:iCs/>
              </w:rPr>
            </w:pPr>
            <w:r w:rsidRPr="00475E82">
              <w:rPr>
                <w:rFonts w:cs="Arial"/>
                <w:i/>
                <w:iCs/>
              </w:rPr>
              <w:t>Location</w:t>
            </w:r>
          </w:p>
        </w:tc>
        <w:tc>
          <w:tcPr>
            <w:tcW w:w="5090" w:type="dxa"/>
            <w:gridSpan w:val="3"/>
          </w:tcPr>
          <w:p w14:paraId="5CB15BF2" w14:textId="77777777" w:rsidR="00D9066E" w:rsidRPr="00475E82" w:rsidRDefault="00D9066E" w:rsidP="0038031D">
            <w:pPr>
              <w:pStyle w:val="SDMTableBoxParaNotNumbered"/>
              <w:spacing w:before="60" w:after="60"/>
              <w:rPr>
                <w:rFonts w:cs="Arial"/>
              </w:rPr>
            </w:pPr>
            <w:r w:rsidRPr="00475E82">
              <w:rPr>
                <w:rFonts w:cs="Arial"/>
              </w:rPr>
              <w:t>N/A</w:t>
            </w:r>
          </w:p>
        </w:tc>
      </w:tr>
      <w:tr w:rsidR="00D9066E" w:rsidRPr="00475E82" w14:paraId="7B28B967" w14:textId="77777777" w:rsidTr="00F36908">
        <w:trPr>
          <w:trHeight w:val="300"/>
        </w:trPr>
        <w:tc>
          <w:tcPr>
            <w:tcW w:w="2552" w:type="dxa"/>
          </w:tcPr>
          <w:p w14:paraId="661FF2DB" w14:textId="77777777" w:rsidR="00D9066E" w:rsidRPr="00475E82" w:rsidRDefault="00D9066E" w:rsidP="0038031D">
            <w:pPr>
              <w:pStyle w:val="SDMTableBoxParaNotNumbered"/>
              <w:spacing w:before="60" w:after="60"/>
              <w:rPr>
                <w:rFonts w:cs="Arial"/>
              </w:rPr>
            </w:pPr>
            <w:r w:rsidRPr="00475E82">
              <w:rPr>
                <w:rFonts w:cs="Arial"/>
              </w:rPr>
              <w:t>QA/QC procedures</w:t>
            </w:r>
          </w:p>
        </w:tc>
        <w:tc>
          <w:tcPr>
            <w:tcW w:w="6662" w:type="dxa"/>
            <w:gridSpan w:val="4"/>
          </w:tcPr>
          <w:p w14:paraId="72B4AE7F" w14:textId="5113963E" w:rsidR="00D9066E" w:rsidRPr="00475E82" w:rsidRDefault="00D9066E" w:rsidP="0038031D">
            <w:pPr>
              <w:pStyle w:val="SDMTableBoxParaNotNumbered"/>
              <w:spacing w:before="60" w:after="60"/>
              <w:rPr>
                <w:rFonts w:cs="Arial"/>
              </w:rPr>
            </w:pPr>
            <w:r w:rsidRPr="00475E82">
              <w:rPr>
                <w:rFonts w:cs="Arial"/>
              </w:rPr>
              <w:t xml:space="preserve">The consistency of metered fuel consumption quantities should be cross-checked </w:t>
            </w:r>
            <w:r w:rsidR="006C49DE" w:rsidRPr="00475E82">
              <w:rPr>
                <w:rFonts w:cs="Arial"/>
              </w:rPr>
              <w:t xml:space="preserve">annually using an </w:t>
            </w:r>
            <w:r w:rsidRPr="00475E82">
              <w:rPr>
                <w:rFonts w:cs="Arial"/>
              </w:rPr>
              <w:t>energy balance on purchased quantities and stock changes.</w:t>
            </w:r>
          </w:p>
          <w:p w14:paraId="18973068" w14:textId="3C98FD78" w:rsidR="00D9066E" w:rsidRPr="00475E82" w:rsidRDefault="00D9066E" w:rsidP="0038031D">
            <w:pPr>
              <w:pStyle w:val="SDMTableBoxParaNotNumbered"/>
              <w:spacing w:before="60" w:after="60"/>
              <w:rPr>
                <w:rFonts w:cs="Arial"/>
              </w:rPr>
            </w:pPr>
            <w:r w:rsidRPr="00475E82">
              <w:rPr>
                <w:rFonts w:cs="Arial"/>
              </w:rPr>
              <w:t>Where</w:t>
            </w:r>
            <w:r w:rsidRPr="00475E82" w:rsidDel="006C49DE">
              <w:rPr>
                <w:rFonts w:cs="Arial"/>
              </w:rPr>
              <w:t xml:space="preserve"> </w:t>
            </w:r>
            <w:r w:rsidRPr="00475E82">
              <w:rPr>
                <w:rFonts w:cs="Arial"/>
              </w:rPr>
              <w:t>purchased fuel invoices can be identified specifically for the Article 6.4 activity, the metered fuel consumption quantities should also be cross-checked with available purchase invoices from financial record</w:t>
            </w:r>
            <w:r w:rsidR="009F66A6" w:rsidRPr="00475E82">
              <w:rPr>
                <w:rFonts w:cs="Arial"/>
              </w:rPr>
              <w:t>s</w:t>
            </w:r>
          </w:p>
        </w:tc>
      </w:tr>
      <w:tr w:rsidR="00D9066E" w:rsidRPr="00475E82" w14:paraId="5EB30A4B" w14:textId="77777777" w:rsidTr="00F36908">
        <w:trPr>
          <w:trHeight w:val="300"/>
        </w:trPr>
        <w:tc>
          <w:tcPr>
            <w:tcW w:w="2552" w:type="dxa"/>
          </w:tcPr>
          <w:p w14:paraId="645DAA63" w14:textId="77777777" w:rsidR="00D9066E" w:rsidRPr="00475E82" w:rsidRDefault="00D9066E" w:rsidP="00F36908">
            <w:pPr>
              <w:pStyle w:val="SDMTableBoxParaNotNumbered"/>
              <w:keepLines/>
              <w:spacing w:before="60" w:after="60"/>
              <w:rPr>
                <w:rFonts w:cs="Arial"/>
              </w:rPr>
            </w:pPr>
            <w:r w:rsidRPr="00475E82">
              <w:rPr>
                <w:rFonts w:cs="Arial"/>
              </w:rPr>
              <w:t>Treatment of uncertainties</w:t>
            </w:r>
          </w:p>
        </w:tc>
        <w:tc>
          <w:tcPr>
            <w:tcW w:w="6662" w:type="dxa"/>
            <w:gridSpan w:val="4"/>
          </w:tcPr>
          <w:p w14:paraId="785E8F79" w14:textId="44E9072E" w:rsidR="00D9066E" w:rsidRPr="00475E82" w:rsidRDefault="00D9066E" w:rsidP="00F36908">
            <w:pPr>
              <w:pStyle w:val="SDMTableBoxParaNotNumbered"/>
              <w:keepLines/>
              <w:spacing w:before="60" w:after="60"/>
              <w:rPr>
                <w:rFonts w:cs="Arial"/>
                <w:highlight w:val="yellow"/>
              </w:rPr>
            </w:pPr>
            <w:r w:rsidRPr="00475E82">
              <w:rPr>
                <w:rFonts w:cs="Arial"/>
              </w:rPr>
              <w:t>Uncertainties are determined based on the measuring instruments</w:t>
            </w:r>
          </w:p>
        </w:tc>
      </w:tr>
      <w:tr w:rsidR="00D9066E" w:rsidRPr="00475E82" w14:paraId="552AB812" w14:textId="77777777" w:rsidTr="00F36908">
        <w:trPr>
          <w:trHeight w:val="300"/>
        </w:trPr>
        <w:tc>
          <w:tcPr>
            <w:tcW w:w="2552" w:type="dxa"/>
          </w:tcPr>
          <w:p w14:paraId="159ECA79" w14:textId="77777777" w:rsidR="00D9066E" w:rsidRPr="00475E82" w:rsidRDefault="00D9066E" w:rsidP="0038031D">
            <w:pPr>
              <w:pStyle w:val="SDMTableBoxParaNotNumbered"/>
              <w:spacing w:before="60" w:after="60"/>
              <w:rPr>
                <w:rFonts w:cs="Arial"/>
              </w:rPr>
            </w:pPr>
            <w:r w:rsidRPr="00475E82">
              <w:rPr>
                <w:rFonts w:cs="Arial"/>
              </w:rPr>
              <w:t>Additional comment</w:t>
            </w:r>
          </w:p>
        </w:tc>
        <w:tc>
          <w:tcPr>
            <w:tcW w:w="6662" w:type="dxa"/>
            <w:gridSpan w:val="4"/>
          </w:tcPr>
          <w:p w14:paraId="07CA34AA" w14:textId="339EAFDD" w:rsidR="00D9066E" w:rsidRPr="00475E82" w:rsidRDefault="00D9066E" w:rsidP="00C72647">
            <w:pPr>
              <w:pStyle w:val="SDMTableBoxParaNotNumbered"/>
              <w:keepNext/>
              <w:spacing w:before="60" w:after="60"/>
              <w:rPr>
                <w:rFonts w:cs="Arial"/>
              </w:rPr>
            </w:pPr>
            <w:r w:rsidRPr="00475E82">
              <w:rPr>
                <w:rFonts w:cs="Arial"/>
              </w:rPr>
              <w:t xml:space="preserve">Article 6.4 activities </w:t>
            </w:r>
            <w:r w:rsidR="009F66A6" w:rsidRPr="00475E82">
              <w:rPr>
                <w:rFonts w:cs="Arial"/>
              </w:rPr>
              <w:t>that face</w:t>
            </w:r>
            <w:r w:rsidRPr="00475E82">
              <w:rPr>
                <w:rFonts w:cs="Arial"/>
              </w:rPr>
              <w:t xml:space="preserve"> data gaps due to meter failure or other unforeseen</w:t>
            </w:r>
            <w:r w:rsidR="00922530" w:rsidRPr="00475E82">
              <w:rPr>
                <w:rFonts w:cs="Arial"/>
              </w:rPr>
              <w:t xml:space="preserve"> reasons</w:t>
            </w:r>
            <w:r w:rsidRPr="00475E82">
              <w:rPr>
                <w:rFonts w:cs="Arial"/>
              </w:rPr>
              <w:t xml:space="preserve"> may estimate the quantity of fuel using one of the following options, provided</w:t>
            </w:r>
            <w:r w:rsidR="00922530" w:rsidRPr="00475E82">
              <w:rPr>
                <w:rFonts w:cs="Arial"/>
              </w:rPr>
              <w:t xml:space="preserve"> that</w:t>
            </w:r>
            <w:r w:rsidRPr="00475E82">
              <w:rPr>
                <w:rFonts w:cs="Arial"/>
              </w:rPr>
              <w:t xml:space="preserve"> the gap period does not exceed 30 consecutive days within six consecutive months:</w:t>
            </w:r>
          </w:p>
          <w:p w14:paraId="220183DD" w14:textId="51B19C75" w:rsidR="00D9066E" w:rsidRPr="00475E82" w:rsidRDefault="00D9066E" w:rsidP="0038031D">
            <w:pPr>
              <w:pStyle w:val="SDMTableBoxParaNotNumbered"/>
              <w:spacing w:before="60" w:after="60"/>
              <w:rPr>
                <w:rFonts w:cs="Arial"/>
              </w:rPr>
            </w:pPr>
            <w:r w:rsidRPr="00475E82">
              <w:rPr>
                <w:rFonts w:cs="Arial"/>
              </w:rPr>
              <w:t>The purchased fuel</w:t>
            </w:r>
            <w:r w:rsidR="00F82364" w:rsidRPr="00475E82">
              <w:rPr>
                <w:rFonts w:cs="Arial"/>
              </w:rPr>
              <w:t xml:space="preserve"> or </w:t>
            </w:r>
            <w:r w:rsidRPr="00475E82">
              <w:rPr>
                <w:rFonts w:cs="Arial"/>
              </w:rPr>
              <w:t>energy invoices/bills, where the purchased fuel can be identified specifically for the Article 6.4 activity.</w:t>
            </w:r>
          </w:p>
          <w:p w14:paraId="735313C7" w14:textId="6381144A" w:rsidR="00DC59DB" w:rsidRPr="00475E82" w:rsidRDefault="003A3C75" w:rsidP="0038031D">
            <w:pPr>
              <w:pStyle w:val="SDMTableBoxParaNotNumbered"/>
              <w:spacing w:before="60" w:after="60"/>
              <w:rPr>
                <w:rFonts w:cs="Arial"/>
              </w:rPr>
            </w:pPr>
            <w:r w:rsidRPr="00475E82">
              <w:rPr>
                <w:rFonts w:cs="Arial"/>
              </w:rPr>
              <w:t xml:space="preserve">For Article 6.4 activities under </w:t>
            </w:r>
            <w:r w:rsidR="00B609FD" w:rsidRPr="00475E82">
              <w:rPr>
                <w:rFonts w:cs="Arial"/>
              </w:rPr>
              <w:t>scenario</w:t>
            </w:r>
            <w:r w:rsidR="00B00B97">
              <w:rPr>
                <w:rFonts w:cs="Arial"/>
              </w:rPr>
              <w:t> </w:t>
            </w:r>
            <w:r w:rsidRPr="00475E82">
              <w:rPr>
                <w:rFonts w:cs="Arial"/>
              </w:rPr>
              <w:t>A or</w:t>
            </w:r>
            <w:r w:rsidRPr="00475E82" w:rsidDel="004D4F82">
              <w:rPr>
                <w:rFonts w:cs="Arial"/>
              </w:rPr>
              <w:t xml:space="preserve"> </w:t>
            </w:r>
            <w:r w:rsidR="00B609FD" w:rsidRPr="00475E82">
              <w:rPr>
                <w:rFonts w:cs="Arial"/>
              </w:rPr>
              <w:t>scenario</w:t>
            </w:r>
            <w:r w:rsidR="00B00B97">
              <w:rPr>
                <w:rFonts w:cs="Arial"/>
              </w:rPr>
              <w:t> </w:t>
            </w:r>
            <w:r w:rsidRPr="00475E82">
              <w:rPr>
                <w:rFonts w:cs="Arial"/>
              </w:rPr>
              <w:t xml:space="preserve">C, </w:t>
            </w:r>
            <w:r w:rsidR="00DC59DB" w:rsidRPr="00475E82">
              <w:rPr>
                <w:rFonts w:cs="Arial"/>
              </w:rPr>
              <w:t>this parameter needs to be updated at the renewal of the crediting period</w:t>
            </w:r>
            <w:r w:rsidRPr="00475E82">
              <w:rPr>
                <w:rFonts w:cs="Arial"/>
              </w:rPr>
              <w:t xml:space="preserve"> if activity participants cho</w:t>
            </w:r>
            <w:r w:rsidR="00F50346" w:rsidRPr="00475E82">
              <w:rPr>
                <w:rFonts w:cs="Arial"/>
              </w:rPr>
              <w:t>o</w:t>
            </w:r>
            <w:r w:rsidRPr="00475E82">
              <w:rPr>
                <w:rFonts w:cs="Arial"/>
              </w:rPr>
              <w:t>se to determine</w:t>
            </w:r>
            <w:r w:rsidR="00F50346" w:rsidRPr="00475E82">
              <w:rPr>
                <w:rFonts w:cs="Arial"/>
              </w:rPr>
              <w:t xml:space="preserve"> the</w:t>
            </w:r>
            <w:r w:rsidRPr="00475E82">
              <w:rPr>
                <w:rFonts w:cs="Arial"/>
              </w:rPr>
              <w:t xml:space="preserve"> OM or BM ex</w:t>
            </w:r>
            <w:r w:rsidR="00923E7B">
              <w:rPr>
                <w:rFonts w:cs="Arial"/>
              </w:rPr>
              <w:t> </w:t>
            </w:r>
            <w:r w:rsidRPr="00475E82">
              <w:rPr>
                <w:rFonts w:cs="Arial"/>
              </w:rPr>
              <w:t>ante</w:t>
            </w:r>
          </w:p>
        </w:tc>
      </w:tr>
    </w:tbl>
    <w:p w14:paraId="62E47144" w14:textId="4FAB23CE" w:rsidR="00925217" w:rsidRDefault="00925217" w:rsidP="007066AD">
      <w:pPr>
        <w:pStyle w:val="CaptionFullPage"/>
      </w:pPr>
      <w:r>
        <w:t>Data / Parameter table</w:t>
      </w:r>
      <w:r w:rsidR="004C17BF">
        <w:t> </w:t>
      </w:r>
      <w:r>
        <w:fldChar w:fldCharType="begin"/>
      </w:r>
      <w:r>
        <w:instrText>SEQ Data_/_Parameter_table \* ARABIC</w:instrText>
      </w:r>
      <w:r>
        <w:fldChar w:fldCharType="separate"/>
      </w:r>
      <w:r w:rsidR="00D811A8">
        <w:rPr>
          <w:noProof/>
        </w:rPr>
        <w:t>4</w:t>
      </w:r>
      <w:r>
        <w:fldChar w:fldCharType="end"/>
      </w:r>
      <w:r>
        <w:t>.</w:t>
      </w:r>
    </w:p>
    <w:tbl>
      <w:tblPr>
        <w:tblStyle w:val="TableGrid"/>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562"/>
        <w:gridCol w:w="771"/>
        <w:gridCol w:w="2113"/>
        <w:gridCol w:w="2216"/>
      </w:tblGrid>
      <w:tr w:rsidR="00460759" w:rsidRPr="00C87E19" w14:paraId="3247DC72" w14:textId="77777777" w:rsidTr="00F36908">
        <w:trPr>
          <w:trHeight w:val="300"/>
        </w:trPr>
        <w:tc>
          <w:tcPr>
            <w:tcW w:w="2552" w:type="dxa"/>
          </w:tcPr>
          <w:p w14:paraId="70DA18AA" w14:textId="77777777" w:rsidR="00460759" w:rsidRPr="00A17BEE" w:rsidRDefault="00460759" w:rsidP="00F36908">
            <w:pPr>
              <w:pStyle w:val="SDMTableBoxParaNotNumbered"/>
              <w:keepNext/>
              <w:keepLines/>
              <w:spacing w:before="60" w:after="60"/>
            </w:pPr>
            <w:r w:rsidRPr="00A17BEE">
              <w:t>Data/parameter</w:t>
            </w:r>
          </w:p>
        </w:tc>
        <w:tc>
          <w:tcPr>
            <w:tcW w:w="6662" w:type="dxa"/>
            <w:gridSpan w:val="4"/>
          </w:tcPr>
          <w:p w14:paraId="79F11F3A" w14:textId="77777777" w:rsidR="00460759" w:rsidRPr="00460759" w:rsidRDefault="00000000" w:rsidP="00F36908">
            <w:pPr>
              <w:pStyle w:val="SDMTableBoxParaNotNumbered"/>
              <w:keepNext/>
              <w:keepLines/>
              <w:spacing w:before="60" w:after="60"/>
              <w:rPr>
                <w:rFonts w:ascii="Cambria Math" w:hAnsi="Cambria Math"/>
                <w:b/>
                <w:bCs/>
                <w:i/>
                <w:iCs/>
                <w:highlight w:val="yellow"/>
              </w:rPr>
            </w:pPr>
            <m:oMathPara>
              <m:oMathParaPr>
                <m:jc m:val="left"/>
              </m:oMathParaPr>
              <m:oMath>
                <m:sSub>
                  <m:sSubPr>
                    <m:ctrlPr>
                      <w:rPr>
                        <w:rFonts w:ascii="Cambria Math" w:hAnsi="Cambria Math"/>
                        <w:b/>
                        <w:bCs/>
                        <w:i/>
                      </w:rPr>
                    </m:ctrlPr>
                  </m:sSubPr>
                  <m:e>
                    <m:r>
                      <m:rPr>
                        <m:sty m:val="bi"/>
                      </m:rPr>
                      <w:rPr>
                        <w:rFonts w:ascii="Cambria Math" w:hAnsi="Cambria Math"/>
                      </w:rPr>
                      <m:t>NCV</m:t>
                    </m:r>
                  </m:e>
                  <m:sub>
                    <m:r>
                      <m:rPr>
                        <m:sty m:val="bi"/>
                      </m:rPr>
                      <w:rPr>
                        <w:rFonts w:ascii="Cambria Math" w:hAnsi="Cambria Math"/>
                      </w:rPr>
                      <m:t>i,t</m:t>
                    </m:r>
                  </m:sub>
                </m:sSub>
              </m:oMath>
            </m:oMathPara>
          </w:p>
        </w:tc>
      </w:tr>
      <w:tr w:rsidR="00460759" w:rsidRPr="00C87E19" w14:paraId="7B987A60" w14:textId="77777777" w:rsidTr="00F36908">
        <w:trPr>
          <w:trHeight w:val="300"/>
        </w:trPr>
        <w:tc>
          <w:tcPr>
            <w:tcW w:w="2552" w:type="dxa"/>
          </w:tcPr>
          <w:p w14:paraId="09E0DC4E" w14:textId="77777777" w:rsidR="00460759" w:rsidRPr="00A17BEE" w:rsidRDefault="00460759" w:rsidP="00F36908">
            <w:pPr>
              <w:pStyle w:val="SDMTableBoxParaNotNumbered"/>
              <w:spacing w:before="60" w:after="60"/>
            </w:pPr>
            <w:r w:rsidRPr="00A17BEE">
              <w:t>Description</w:t>
            </w:r>
          </w:p>
        </w:tc>
        <w:tc>
          <w:tcPr>
            <w:tcW w:w="6662" w:type="dxa"/>
            <w:gridSpan w:val="4"/>
          </w:tcPr>
          <w:p w14:paraId="12705C7A" w14:textId="77777777" w:rsidR="00460759" w:rsidRPr="00C87E19" w:rsidRDefault="00460759" w:rsidP="00F36908">
            <w:pPr>
              <w:pStyle w:val="SDMTableBoxParaNotNumbered"/>
              <w:spacing w:before="60" w:after="60"/>
              <w:rPr>
                <w:highlight w:val="yellow"/>
              </w:rPr>
            </w:pPr>
            <w:r>
              <w:t>N</w:t>
            </w:r>
            <w:r w:rsidRPr="008A6BFA">
              <w:t>et calorific value of the fuel type </w:t>
            </w:r>
            <w:r w:rsidRPr="008A6BFA">
              <w:rPr>
                <w:i/>
                <w:iCs/>
              </w:rPr>
              <w:t>i</w:t>
            </w:r>
            <w:r w:rsidRPr="008A6BFA">
              <w:t xml:space="preserve"> in period</w:t>
            </w:r>
            <w:r>
              <w:t> </w:t>
            </w:r>
            <w:r w:rsidRPr="008A6BFA">
              <w:rPr>
                <w:i/>
                <w:iCs/>
              </w:rPr>
              <w:t>t</w:t>
            </w:r>
          </w:p>
        </w:tc>
      </w:tr>
      <w:tr w:rsidR="00460759" w:rsidRPr="00C87E19" w14:paraId="2056149D" w14:textId="77777777" w:rsidTr="00F36908">
        <w:trPr>
          <w:trHeight w:val="300"/>
        </w:trPr>
        <w:tc>
          <w:tcPr>
            <w:tcW w:w="2552" w:type="dxa"/>
          </w:tcPr>
          <w:p w14:paraId="239BAEB6" w14:textId="77777777" w:rsidR="00460759" w:rsidRPr="00A17BEE" w:rsidRDefault="00460759" w:rsidP="00F36908">
            <w:pPr>
              <w:pStyle w:val="SDMTableBoxParaNotNumbered"/>
              <w:spacing w:before="60" w:after="60"/>
            </w:pPr>
            <w:r w:rsidRPr="00A17BEE">
              <w:t>Data unit</w:t>
            </w:r>
          </w:p>
        </w:tc>
        <w:tc>
          <w:tcPr>
            <w:tcW w:w="6662" w:type="dxa"/>
            <w:gridSpan w:val="4"/>
          </w:tcPr>
          <w:p w14:paraId="268A3D15" w14:textId="7EF6213E" w:rsidR="00460759" w:rsidRPr="00C87E19" w:rsidRDefault="76346BAB" w:rsidP="00F36908">
            <w:pPr>
              <w:pStyle w:val="SDMTableBoxParaNotNumbered"/>
              <w:spacing w:before="60" w:after="60"/>
            </w:pPr>
            <w:r>
              <w:t>GJ/mass unit or GJ/volume unit</w:t>
            </w:r>
          </w:p>
        </w:tc>
      </w:tr>
      <w:tr w:rsidR="00460759" w:rsidRPr="00C87E19" w14:paraId="5862C036" w14:textId="77777777" w:rsidTr="00F36908">
        <w:trPr>
          <w:trHeight w:val="300"/>
        </w:trPr>
        <w:tc>
          <w:tcPr>
            <w:tcW w:w="2552" w:type="dxa"/>
          </w:tcPr>
          <w:p w14:paraId="2161978A" w14:textId="77777777" w:rsidR="00460759" w:rsidRPr="00A17BEE" w:rsidRDefault="00460759" w:rsidP="00F36908">
            <w:pPr>
              <w:pStyle w:val="SDMTableBoxParaNotNumbered"/>
              <w:spacing w:before="60" w:after="60"/>
            </w:pPr>
            <w:r w:rsidRPr="00A17BEE">
              <w:t>Equations referred</w:t>
            </w:r>
          </w:p>
        </w:tc>
        <w:tc>
          <w:tcPr>
            <w:tcW w:w="6662" w:type="dxa"/>
            <w:gridSpan w:val="4"/>
            <w:tcBorders>
              <w:bottom w:val="single" w:sz="4" w:space="0" w:color="auto"/>
            </w:tcBorders>
          </w:tcPr>
          <w:p w14:paraId="37FF4E11" w14:textId="77777777" w:rsidR="00460759" w:rsidRPr="00C87E19" w:rsidRDefault="00460759" w:rsidP="00F36908">
            <w:pPr>
              <w:pStyle w:val="SDMTableBoxParaNotNumbered"/>
              <w:spacing w:before="60" w:after="60"/>
              <w:rPr>
                <w:highlight w:val="yellow"/>
              </w:rPr>
            </w:pPr>
          </w:p>
        </w:tc>
      </w:tr>
      <w:tr w:rsidR="00241146" w:rsidRPr="00131981" w14:paraId="413F1FFE" w14:textId="77777777" w:rsidTr="00F36908">
        <w:trPr>
          <w:trHeight w:val="300"/>
        </w:trPr>
        <w:tc>
          <w:tcPr>
            <w:tcW w:w="2552" w:type="dxa"/>
            <w:tcBorders>
              <w:right w:val="single" w:sz="4" w:space="0" w:color="auto"/>
            </w:tcBorders>
          </w:tcPr>
          <w:p w14:paraId="5EEA5CE3" w14:textId="77777777" w:rsidR="00241146" w:rsidRPr="00131981" w:rsidRDefault="00241146" w:rsidP="00F36908">
            <w:pPr>
              <w:pStyle w:val="SDMTableBoxParaNotNumbered"/>
              <w:spacing w:before="60" w:after="60"/>
            </w:pPr>
            <w:r w:rsidRPr="00131981">
              <w:t>Purpose of data</w:t>
            </w:r>
          </w:p>
        </w:tc>
        <w:tc>
          <w:tcPr>
            <w:tcW w:w="2333" w:type="dxa"/>
            <w:gridSpan w:val="2"/>
            <w:tcBorders>
              <w:left w:val="single" w:sz="4" w:space="0" w:color="auto"/>
              <w:right w:val="nil"/>
            </w:tcBorders>
          </w:tcPr>
          <w:p w14:paraId="5FFA5C5C" w14:textId="77777777" w:rsidR="00241146" w:rsidRPr="005D7E1B" w:rsidRDefault="00241146" w:rsidP="00F36908">
            <w:pPr>
              <w:pStyle w:val="SDMTableBoxParaNotNumbered"/>
              <w:spacing w:before="60" w:after="60"/>
            </w:pPr>
            <w:r w:rsidRPr="005D7E1B">
              <w:rPr>
                <w:rFonts w:asciiTheme="minorBidi" w:hAnsiTheme="minorBidi" w:cstheme="minorBidi"/>
                <w:shd w:val="clear" w:color="auto" w:fill="E6E6E6"/>
              </w:rPr>
              <w:fldChar w:fldCharType="begin">
                <w:ffData>
                  <w:name w:val=""/>
                  <w:enabled/>
                  <w:calcOnExit w:val="0"/>
                  <w:checkBox>
                    <w:size w:val="20"/>
                    <w:default w:val="1"/>
                  </w:checkBox>
                </w:ffData>
              </w:fldChar>
            </w:r>
            <w:r w:rsidRPr="005D7E1B">
              <w:rPr>
                <w:rFonts w:asciiTheme="minorBidi" w:hAnsiTheme="minorBidi" w:cstheme="minorBidi"/>
                <w:shd w:val="clear" w:color="auto" w:fill="E6E6E6"/>
              </w:rPr>
              <w:instrText xml:space="preserve"> FORMCHECKBOX </w:instrText>
            </w:r>
            <w:r w:rsidR="00000000">
              <w:rPr>
                <w:rFonts w:asciiTheme="minorBidi" w:hAnsiTheme="minorBidi" w:cstheme="minorBidi"/>
                <w:shd w:val="clear" w:color="auto" w:fill="E6E6E6"/>
              </w:rPr>
            </w:r>
            <w:r w:rsidR="00000000">
              <w:rPr>
                <w:rFonts w:asciiTheme="minorBidi" w:hAnsiTheme="minorBidi" w:cstheme="minorBidi"/>
                <w:shd w:val="clear" w:color="auto" w:fill="E6E6E6"/>
              </w:rPr>
              <w:fldChar w:fldCharType="separate"/>
            </w:r>
            <w:r w:rsidRPr="005D7E1B">
              <w:rPr>
                <w:rFonts w:asciiTheme="minorBidi" w:hAnsiTheme="minorBidi" w:cstheme="minorBidi"/>
                <w:shd w:val="clear" w:color="auto" w:fill="E6E6E6"/>
              </w:rPr>
              <w:fldChar w:fldCharType="end"/>
            </w:r>
            <w:r>
              <w:rPr>
                <w:rFonts w:asciiTheme="minorBidi" w:hAnsiTheme="minorBidi" w:cstheme="minorBidi"/>
                <w:shd w:val="clear" w:color="auto" w:fill="E6E6E6"/>
              </w:rPr>
              <w:t xml:space="preserve"> </w:t>
            </w:r>
            <w:r w:rsidRPr="005D7E1B">
              <w:rPr>
                <w:rFonts w:asciiTheme="minorBidi" w:hAnsiTheme="minorBidi" w:cstheme="minorBidi"/>
              </w:rPr>
              <w:t>Baseline emissions</w:t>
            </w:r>
          </w:p>
        </w:tc>
        <w:tc>
          <w:tcPr>
            <w:tcW w:w="2113" w:type="dxa"/>
            <w:tcBorders>
              <w:left w:val="nil"/>
              <w:right w:val="nil"/>
            </w:tcBorders>
          </w:tcPr>
          <w:p w14:paraId="22B624D8" w14:textId="77777777" w:rsidR="00241146" w:rsidRPr="005D7E1B" w:rsidRDefault="00241146" w:rsidP="00F36908">
            <w:pPr>
              <w:pStyle w:val="SDMTableBoxParaNotNumbered"/>
              <w:spacing w:before="60" w:after="60"/>
            </w:pPr>
            <w:r w:rsidRPr="005D7E1B">
              <w:rPr>
                <w:rFonts w:asciiTheme="minorBidi" w:hAnsiTheme="minorBidi" w:cstheme="minorBidi"/>
                <w:shd w:val="clear" w:color="auto" w:fill="E6E6E6"/>
              </w:rPr>
              <w:fldChar w:fldCharType="begin">
                <w:ffData>
                  <w:name w:val=""/>
                  <w:enabled/>
                  <w:calcOnExit w:val="0"/>
                  <w:checkBox>
                    <w:size w:val="20"/>
                    <w:default w:val="1"/>
                  </w:checkBox>
                </w:ffData>
              </w:fldChar>
            </w:r>
            <w:r w:rsidRPr="005D7E1B">
              <w:rPr>
                <w:rFonts w:asciiTheme="minorBidi" w:hAnsiTheme="minorBidi" w:cstheme="minorBidi"/>
                <w:shd w:val="clear" w:color="auto" w:fill="E6E6E6"/>
              </w:rPr>
              <w:instrText xml:space="preserve"> FORMCHECKBOX </w:instrText>
            </w:r>
            <w:r w:rsidR="00000000">
              <w:rPr>
                <w:rFonts w:asciiTheme="minorBidi" w:hAnsiTheme="minorBidi" w:cstheme="minorBidi"/>
                <w:shd w:val="clear" w:color="auto" w:fill="E6E6E6"/>
              </w:rPr>
            </w:r>
            <w:r w:rsidR="00000000">
              <w:rPr>
                <w:rFonts w:asciiTheme="minorBidi" w:hAnsiTheme="minorBidi" w:cstheme="minorBidi"/>
                <w:shd w:val="clear" w:color="auto" w:fill="E6E6E6"/>
              </w:rPr>
              <w:fldChar w:fldCharType="separate"/>
            </w:r>
            <w:r w:rsidRPr="005D7E1B">
              <w:rPr>
                <w:rFonts w:asciiTheme="minorBidi" w:hAnsiTheme="minorBidi" w:cstheme="minorBidi"/>
                <w:shd w:val="clear" w:color="auto" w:fill="E6E6E6"/>
              </w:rPr>
              <w:fldChar w:fldCharType="end"/>
            </w:r>
            <w:r w:rsidRPr="3161B3F5">
              <w:rPr>
                <w:rFonts w:asciiTheme="minorBidi" w:hAnsiTheme="minorBidi" w:cstheme="minorBidi"/>
              </w:rPr>
              <w:fldChar w:fldCharType="begin"/>
            </w:r>
            <w:r w:rsidRPr="3161B3F5">
              <w:rPr>
                <w:rFonts w:asciiTheme="minorBidi" w:hAnsiTheme="minorBidi" w:cstheme="minorBidi"/>
              </w:rPr>
              <w:instrText xml:space="preserve"> FORMCHECKBOX </w:instrText>
            </w:r>
            <w:r w:rsidR="00000000">
              <w:rPr>
                <w:rFonts w:asciiTheme="minorBidi" w:hAnsiTheme="minorBidi" w:cstheme="minorBidi"/>
              </w:rPr>
              <w:fldChar w:fldCharType="separate"/>
            </w:r>
            <w:r w:rsidRPr="3161B3F5">
              <w:rPr>
                <w:rFonts w:asciiTheme="minorBidi" w:hAnsiTheme="minorBidi" w:cstheme="minorBidi"/>
              </w:rPr>
              <w:fldChar w:fldCharType="end"/>
            </w:r>
            <w:r w:rsidRPr="005D7E1B">
              <w:rPr>
                <w:rFonts w:asciiTheme="minorBidi" w:hAnsiTheme="minorBidi" w:cstheme="minorBidi"/>
              </w:rPr>
              <w:t xml:space="preserve"> Project emissions</w:t>
            </w:r>
          </w:p>
        </w:tc>
        <w:tc>
          <w:tcPr>
            <w:tcW w:w="2216" w:type="dxa"/>
            <w:tcBorders>
              <w:left w:val="nil"/>
            </w:tcBorders>
          </w:tcPr>
          <w:p w14:paraId="40B029C4" w14:textId="77777777" w:rsidR="00241146" w:rsidRPr="005D7E1B" w:rsidRDefault="00241146" w:rsidP="00F36908">
            <w:pPr>
              <w:pStyle w:val="SDMTableBoxParaNotNumbered"/>
              <w:spacing w:before="60" w:after="60"/>
            </w:pPr>
            <w:r w:rsidRPr="005D7E1B">
              <w:rPr>
                <w:rFonts w:asciiTheme="minorBidi" w:hAnsiTheme="minorBidi" w:cstheme="minorBidi"/>
                <w:shd w:val="clear" w:color="auto" w:fill="E6E6E6"/>
              </w:rPr>
              <w:fldChar w:fldCharType="begin">
                <w:ffData>
                  <w:name w:val=""/>
                  <w:enabled/>
                  <w:calcOnExit w:val="0"/>
                  <w:checkBox>
                    <w:size w:val="20"/>
                    <w:default w:val="1"/>
                  </w:checkBox>
                </w:ffData>
              </w:fldChar>
            </w:r>
            <w:r w:rsidRPr="005D7E1B">
              <w:rPr>
                <w:rFonts w:asciiTheme="minorBidi" w:hAnsiTheme="minorBidi" w:cstheme="minorBidi"/>
                <w:shd w:val="clear" w:color="auto" w:fill="E6E6E6"/>
              </w:rPr>
              <w:instrText xml:space="preserve"> FORMCHECKBOX </w:instrText>
            </w:r>
            <w:r w:rsidR="00000000">
              <w:rPr>
                <w:rFonts w:asciiTheme="minorBidi" w:hAnsiTheme="minorBidi" w:cstheme="minorBidi"/>
                <w:shd w:val="clear" w:color="auto" w:fill="E6E6E6"/>
              </w:rPr>
            </w:r>
            <w:r w:rsidR="00000000">
              <w:rPr>
                <w:rFonts w:asciiTheme="minorBidi" w:hAnsiTheme="minorBidi" w:cstheme="minorBidi"/>
                <w:shd w:val="clear" w:color="auto" w:fill="E6E6E6"/>
              </w:rPr>
              <w:fldChar w:fldCharType="separate"/>
            </w:r>
            <w:r w:rsidRPr="005D7E1B">
              <w:rPr>
                <w:rFonts w:asciiTheme="minorBidi" w:hAnsiTheme="minorBidi" w:cstheme="minorBidi"/>
                <w:shd w:val="clear" w:color="auto" w:fill="E6E6E6"/>
              </w:rPr>
              <w:fldChar w:fldCharType="end"/>
            </w:r>
            <w:r w:rsidRPr="3161B3F5">
              <w:rPr>
                <w:rFonts w:asciiTheme="minorBidi" w:hAnsiTheme="minorBidi" w:cstheme="minorBidi"/>
              </w:rPr>
              <w:fldChar w:fldCharType="begin"/>
            </w:r>
            <w:r w:rsidRPr="3161B3F5">
              <w:rPr>
                <w:rFonts w:asciiTheme="minorBidi" w:hAnsiTheme="minorBidi" w:cstheme="minorBidi"/>
              </w:rPr>
              <w:instrText xml:space="preserve"> FORMCHECKBOX </w:instrText>
            </w:r>
            <w:r w:rsidR="00000000">
              <w:rPr>
                <w:rFonts w:asciiTheme="minorBidi" w:hAnsiTheme="minorBidi" w:cstheme="minorBidi"/>
              </w:rPr>
              <w:fldChar w:fldCharType="separate"/>
            </w:r>
            <w:r w:rsidRPr="3161B3F5">
              <w:rPr>
                <w:rFonts w:asciiTheme="minorBidi" w:hAnsiTheme="minorBidi" w:cstheme="minorBidi"/>
              </w:rPr>
              <w:fldChar w:fldCharType="end"/>
            </w:r>
            <w:r w:rsidRPr="005D7E1B">
              <w:rPr>
                <w:rFonts w:asciiTheme="minorBidi" w:hAnsiTheme="minorBidi" w:cstheme="minorBidi"/>
              </w:rPr>
              <w:t xml:space="preserve"> Leakage emissions</w:t>
            </w:r>
          </w:p>
        </w:tc>
      </w:tr>
      <w:tr w:rsidR="00460759" w:rsidRPr="00C87E19" w14:paraId="1133E12A" w14:textId="77777777" w:rsidTr="00F36908">
        <w:trPr>
          <w:trHeight w:val="300"/>
        </w:trPr>
        <w:tc>
          <w:tcPr>
            <w:tcW w:w="2552" w:type="dxa"/>
          </w:tcPr>
          <w:p w14:paraId="50D8AD49" w14:textId="77777777" w:rsidR="00460759" w:rsidRPr="00A17BEE" w:rsidRDefault="00460759" w:rsidP="00F36908">
            <w:pPr>
              <w:pStyle w:val="SDMTableBoxParaNotNumbered"/>
              <w:spacing w:before="60" w:after="60"/>
            </w:pPr>
            <w:r>
              <w:t>Measurement and updating frequency</w:t>
            </w:r>
          </w:p>
        </w:tc>
        <w:tc>
          <w:tcPr>
            <w:tcW w:w="6662" w:type="dxa"/>
            <w:gridSpan w:val="4"/>
          </w:tcPr>
          <w:p w14:paraId="237CA96E" w14:textId="502D8104" w:rsidR="00460759" w:rsidRPr="008A6BFA" w:rsidRDefault="00460759" w:rsidP="00F36908">
            <w:pPr>
              <w:pStyle w:val="SDMTableBoxParaNotNumbered"/>
              <w:spacing w:before="60" w:after="60"/>
            </w:pPr>
            <w:r w:rsidRPr="008A6BFA">
              <w:rPr>
                <w:u w:val="single"/>
              </w:rPr>
              <w:t>Option</w:t>
            </w:r>
            <w:r w:rsidR="004C17BF">
              <w:rPr>
                <w:u w:val="single"/>
              </w:rPr>
              <w:t> </w:t>
            </w:r>
            <w:r w:rsidRPr="008A6BFA">
              <w:rPr>
                <w:u w:val="single"/>
              </w:rPr>
              <w:t>1:</w:t>
            </w:r>
            <w:r w:rsidRPr="008A6BFA">
              <w:t xml:space="preserve"> </w:t>
            </w:r>
            <w:r>
              <w:t xml:space="preserve">At </w:t>
            </w:r>
            <w:r w:rsidR="000F1837">
              <w:t xml:space="preserve">each </w:t>
            </w:r>
            <w:r>
              <w:t xml:space="preserve">fuel </w:t>
            </w:r>
            <w:r w:rsidR="00E421A6">
              <w:t>delivery</w:t>
            </w:r>
            <w:r w:rsidRPr="008A6BFA">
              <w:t>;</w:t>
            </w:r>
          </w:p>
          <w:p w14:paraId="007CA79F" w14:textId="38B3A28A" w:rsidR="00460759" w:rsidRPr="008A6BFA" w:rsidRDefault="00460759" w:rsidP="00F36908">
            <w:pPr>
              <w:pStyle w:val="SDMTableBoxParaNotNumbered"/>
              <w:spacing w:before="60" w:after="60"/>
            </w:pPr>
            <w:r w:rsidRPr="008A6BFA">
              <w:rPr>
                <w:u w:val="single"/>
              </w:rPr>
              <w:t>Option</w:t>
            </w:r>
            <w:r w:rsidR="004C17BF">
              <w:rPr>
                <w:u w:val="single"/>
              </w:rPr>
              <w:t> </w:t>
            </w:r>
            <w:r w:rsidRPr="008A6BFA">
              <w:rPr>
                <w:u w:val="single"/>
              </w:rPr>
              <w:t>2:</w:t>
            </w:r>
            <w:r w:rsidRPr="008A6BFA">
              <w:t xml:space="preserve"> </w:t>
            </w:r>
            <w:r>
              <w:t xml:space="preserve">At </w:t>
            </w:r>
            <w:r w:rsidR="000F1837">
              <w:t xml:space="preserve">each </w:t>
            </w:r>
            <w:r>
              <w:t xml:space="preserve">fuel </w:t>
            </w:r>
            <w:r w:rsidR="00E421A6">
              <w:t>delivery</w:t>
            </w:r>
            <w:r w:rsidRPr="008A6BFA">
              <w:t>;</w:t>
            </w:r>
          </w:p>
          <w:p w14:paraId="49373D40" w14:textId="720E5F20" w:rsidR="00460759" w:rsidRPr="008A6BFA" w:rsidRDefault="00460759" w:rsidP="00F36908">
            <w:pPr>
              <w:pStyle w:val="SDMTableBoxParaNotNumbered"/>
              <w:spacing w:before="60" w:after="60"/>
            </w:pPr>
            <w:r w:rsidRPr="008A6BFA">
              <w:rPr>
                <w:u w:val="single"/>
              </w:rPr>
              <w:t>Option</w:t>
            </w:r>
            <w:r w:rsidR="004C17BF">
              <w:rPr>
                <w:u w:val="single"/>
              </w:rPr>
              <w:t> </w:t>
            </w:r>
            <w:r w:rsidRPr="008A6BFA">
              <w:rPr>
                <w:u w:val="single"/>
              </w:rPr>
              <w:t>3:</w:t>
            </w:r>
            <w:r w:rsidRPr="008A6BFA">
              <w:t xml:space="preserve"> </w:t>
            </w:r>
            <w:r>
              <w:t>A</w:t>
            </w:r>
            <w:r w:rsidRPr="008A6BFA">
              <w:t>nnually;</w:t>
            </w:r>
          </w:p>
          <w:p w14:paraId="6735ACD2" w14:textId="1F1FAD8A" w:rsidR="00460759" w:rsidRPr="00A17BEE" w:rsidRDefault="00460759" w:rsidP="00F36908">
            <w:pPr>
              <w:pStyle w:val="SDMTableBoxParaNotNumbered"/>
              <w:spacing w:before="60" w:after="60"/>
            </w:pPr>
            <w:r w:rsidRPr="6F0C2E03">
              <w:rPr>
                <w:u w:val="single"/>
              </w:rPr>
              <w:t>Option</w:t>
            </w:r>
            <w:r w:rsidR="004C17BF">
              <w:rPr>
                <w:u w:val="single"/>
              </w:rPr>
              <w:t> </w:t>
            </w:r>
            <w:r w:rsidRPr="6F0C2E03">
              <w:rPr>
                <w:u w:val="single"/>
              </w:rPr>
              <w:t>4:</w:t>
            </w:r>
            <w:r>
              <w:t xml:space="preserve"> </w:t>
            </w:r>
            <w:r w:rsidRPr="008A6BFA">
              <w:t>Update based on future revisions of the IPCC Guidelines</w:t>
            </w:r>
          </w:p>
        </w:tc>
      </w:tr>
      <w:tr w:rsidR="00460759" w:rsidRPr="00C87E19" w14:paraId="4FA5747B" w14:textId="77777777" w:rsidTr="00F36908">
        <w:trPr>
          <w:trHeight w:val="300"/>
        </w:trPr>
        <w:tc>
          <w:tcPr>
            <w:tcW w:w="2552" w:type="dxa"/>
          </w:tcPr>
          <w:p w14:paraId="0E51B8D1" w14:textId="77777777" w:rsidR="00460759" w:rsidRPr="00A17BEE" w:rsidRDefault="00460759" w:rsidP="00F36908">
            <w:pPr>
              <w:pStyle w:val="SDMTableBoxParaNotNumbered"/>
              <w:spacing w:before="60" w:after="60"/>
            </w:pPr>
            <w:r w:rsidRPr="00131981">
              <w:t>Measurement methods and procedures</w:t>
            </w:r>
          </w:p>
        </w:tc>
        <w:tc>
          <w:tcPr>
            <w:tcW w:w="6662" w:type="dxa"/>
            <w:gridSpan w:val="4"/>
          </w:tcPr>
          <w:p w14:paraId="702BD203" w14:textId="54F0EE6A" w:rsidR="00460759" w:rsidRPr="008A6BFA" w:rsidRDefault="00460759" w:rsidP="00F36908">
            <w:pPr>
              <w:pStyle w:val="SDMTableBoxParaNotNumbered"/>
              <w:spacing w:before="60" w:after="60"/>
            </w:pPr>
            <w:r w:rsidRPr="008A6BFA">
              <w:rPr>
                <w:u w:val="single"/>
              </w:rPr>
              <w:t>Option</w:t>
            </w:r>
            <w:r w:rsidR="004C17BF">
              <w:rPr>
                <w:u w:val="single"/>
              </w:rPr>
              <w:t> </w:t>
            </w:r>
            <w:r w:rsidRPr="008A6BFA">
              <w:rPr>
                <w:u w:val="single"/>
              </w:rPr>
              <w:t>1:</w:t>
            </w:r>
            <w:r w:rsidRPr="008A6BFA">
              <w:t xml:space="preserve"> Values provided by the </w:t>
            </w:r>
            <w:r w:rsidR="006F67B3">
              <w:t xml:space="preserve">fuel </w:t>
            </w:r>
            <w:r w:rsidRPr="008A6BFA">
              <w:t>supplier (preferred source)</w:t>
            </w:r>
            <w:r w:rsidR="00175694">
              <w:t>, in line with national or international</w:t>
            </w:r>
            <w:r w:rsidRPr="008A6BFA">
              <w:t xml:space="preserve"> fuel </w:t>
            </w:r>
            <w:r w:rsidR="00175694">
              <w:t>standards</w:t>
            </w:r>
            <w:r w:rsidRPr="008A6BFA">
              <w:t>;</w:t>
            </w:r>
          </w:p>
          <w:p w14:paraId="5C249DBF" w14:textId="5C6FE533" w:rsidR="00460759" w:rsidRPr="008A6BFA" w:rsidRDefault="00460759" w:rsidP="00F36908">
            <w:pPr>
              <w:pStyle w:val="SDMTableBoxParaNotNumbered"/>
              <w:spacing w:before="60" w:after="60"/>
            </w:pPr>
            <w:r w:rsidRPr="008A6BFA">
              <w:rPr>
                <w:u w:val="single"/>
              </w:rPr>
              <w:t>Option</w:t>
            </w:r>
            <w:r w:rsidR="004C17BF">
              <w:rPr>
                <w:u w:val="single"/>
              </w:rPr>
              <w:t> </w:t>
            </w:r>
            <w:r w:rsidRPr="008A6BFA">
              <w:rPr>
                <w:u w:val="single"/>
              </w:rPr>
              <w:t>2:</w:t>
            </w:r>
            <w:r w:rsidRPr="008A6BFA">
              <w:t xml:space="preserve"> Measurements by activity participants undertaken in line with national or international fuel standards (if </w:t>
            </w:r>
            <w:r w:rsidR="007F1586">
              <w:t>supplier-provided</w:t>
            </w:r>
            <w:r w:rsidR="007F1586" w:rsidRPr="008A6BFA">
              <w:t xml:space="preserve"> </w:t>
            </w:r>
            <w:r w:rsidRPr="008A6BFA">
              <w:t>values provided are not available);</w:t>
            </w:r>
          </w:p>
          <w:p w14:paraId="03C48E85" w14:textId="0934C36A" w:rsidR="00460759" w:rsidRPr="008A6BFA" w:rsidRDefault="00460759" w:rsidP="00F36908">
            <w:pPr>
              <w:pStyle w:val="SDMTableBoxParaNotNumbered"/>
              <w:spacing w:before="60" w:after="60"/>
            </w:pPr>
            <w:r w:rsidRPr="008A6BFA">
              <w:rPr>
                <w:u w:val="single"/>
              </w:rPr>
              <w:t>Option</w:t>
            </w:r>
            <w:r w:rsidR="004C17BF">
              <w:rPr>
                <w:u w:val="single"/>
              </w:rPr>
              <w:t> </w:t>
            </w:r>
            <w:r w:rsidRPr="008A6BFA">
              <w:rPr>
                <w:u w:val="single"/>
              </w:rPr>
              <w:t>3:</w:t>
            </w:r>
            <w:r w:rsidRPr="008A6BFA">
              <w:t xml:space="preserve"> Regional or national default values (if </w:t>
            </w:r>
            <w:r w:rsidR="00F31ACF">
              <w:t>supplier</w:t>
            </w:r>
            <w:r w:rsidR="00644449">
              <w:t>-provided</w:t>
            </w:r>
            <w:r w:rsidR="00F31ACF" w:rsidRPr="008A6BFA">
              <w:t xml:space="preserve"> </w:t>
            </w:r>
            <w:r w:rsidRPr="008A6BFA">
              <w:t>values are not available and only for liquid fuels). Values shall be reviewed annually;</w:t>
            </w:r>
          </w:p>
          <w:p w14:paraId="269C2789" w14:textId="7F809CCC" w:rsidR="00460759" w:rsidRPr="00A17BEE" w:rsidRDefault="00460759" w:rsidP="00F36908">
            <w:pPr>
              <w:pStyle w:val="SDMTableBoxParaNotNumbered"/>
              <w:spacing w:before="60" w:after="60"/>
            </w:pPr>
            <w:r w:rsidRPr="6F0C2E03">
              <w:rPr>
                <w:u w:val="single"/>
              </w:rPr>
              <w:t>Option</w:t>
            </w:r>
            <w:r w:rsidR="004C17BF">
              <w:rPr>
                <w:u w:val="single"/>
              </w:rPr>
              <w:t> </w:t>
            </w:r>
            <w:r w:rsidRPr="6F0C2E03">
              <w:rPr>
                <w:u w:val="single"/>
              </w:rPr>
              <w:t>4:</w:t>
            </w:r>
            <w:r>
              <w:t xml:space="preserve"> Upper bound for </w:t>
            </w:r>
            <w:r w:rsidR="00644449">
              <w:t>case</w:t>
            </w:r>
            <w:r w:rsidR="004C17BF">
              <w:t> </w:t>
            </w:r>
            <w:r>
              <w:t xml:space="preserve">1 and lower bound for </w:t>
            </w:r>
            <w:r w:rsidR="00644449">
              <w:t>case</w:t>
            </w:r>
            <w:r w:rsidR="004C17BF">
              <w:t> </w:t>
            </w:r>
            <w:r>
              <w:t>2</w:t>
            </w:r>
            <w:r w:rsidR="00D9658C">
              <w:t>,</w:t>
            </w:r>
            <w:r w:rsidRPr="008A6BFA">
              <w:t xml:space="preserve"> </w:t>
            </w:r>
            <w:r>
              <w:t>at a</w:t>
            </w:r>
            <w:r w:rsidRPr="008A6BFA">
              <w:t xml:space="preserve"> 95 per cent confidence interval</w:t>
            </w:r>
            <w:r w:rsidR="00D9658C">
              <w:t>,</w:t>
            </w:r>
            <w:r w:rsidRPr="008A6BFA">
              <w:t xml:space="preserve"> from IPCC default values provided in Table 1.2 of Chapter</w:t>
            </w:r>
            <w:r w:rsidR="004C17BF">
              <w:t> </w:t>
            </w:r>
            <w:r w:rsidRPr="008A6BFA">
              <w:t>1 of Vol.</w:t>
            </w:r>
            <w:r w:rsidR="004C17BF">
              <w:t> </w:t>
            </w:r>
            <w:r w:rsidRPr="008A6BFA">
              <w:t xml:space="preserve">2 (Energy) of the 2019 Refinement to the 2006 IPCC Guidelines on National GHG Inventories (if </w:t>
            </w:r>
            <w:r w:rsidR="00D9658C">
              <w:t>supplier-provided</w:t>
            </w:r>
            <w:r w:rsidR="00D9658C" w:rsidRPr="008A6BFA">
              <w:t xml:space="preserve"> </w:t>
            </w:r>
            <w:r w:rsidRPr="008A6BFA">
              <w:t>v</w:t>
            </w:r>
            <w:r>
              <w:t xml:space="preserve">alues </w:t>
            </w:r>
            <w:r w:rsidRPr="008A6BFA">
              <w:t>are not available). Update based on future revisions of the IPCC Guidelines</w:t>
            </w:r>
          </w:p>
        </w:tc>
      </w:tr>
      <w:tr w:rsidR="00460759" w:rsidRPr="00C87E19" w14:paraId="48D9F95B" w14:textId="77777777" w:rsidTr="00F36908">
        <w:trPr>
          <w:trHeight w:val="107"/>
        </w:trPr>
        <w:tc>
          <w:tcPr>
            <w:tcW w:w="2552" w:type="dxa"/>
          </w:tcPr>
          <w:p w14:paraId="197277FD" w14:textId="77777777" w:rsidR="00460759" w:rsidRPr="00A17BEE" w:rsidRDefault="00460759" w:rsidP="00F36908">
            <w:pPr>
              <w:pStyle w:val="SDMTableBoxParaNotNumbered"/>
              <w:spacing w:before="60" w:after="60"/>
            </w:pPr>
            <w:r w:rsidRPr="00131981">
              <w:t>Entity/person responsible for the measurement</w:t>
            </w:r>
          </w:p>
        </w:tc>
        <w:tc>
          <w:tcPr>
            <w:tcW w:w="6662" w:type="dxa"/>
            <w:gridSpan w:val="4"/>
          </w:tcPr>
          <w:p w14:paraId="5771EE90" w14:textId="24E901CF" w:rsidR="00460759" w:rsidRPr="00A17BEE" w:rsidRDefault="76346BAB" w:rsidP="00F36908">
            <w:pPr>
              <w:pStyle w:val="SDMTableBoxParaNotNumbered"/>
              <w:spacing w:before="60" w:after="60"/>
            </w:pPr>
            <w:r>
              <w:t>Activity participants</w:t>
            </w:r>
          </w:p>
        </w:tc>
      </w:tr>
      <w:tr w:rsidR="00460759" w:rsidRPr="00C87E19" w14:paraId="593158F6" w14:textId="77777777" w:rsidTr="00F36908">
        <w:trPr>
          <w:trHeight w:val="107"/>
        </w:trPr>
        <w:tc>
          <w:tcPr>
            <w:tcW w:w="2552" w:type="dxa"/>
            <w:vMerge w:val="restart"/>
          </w:tcPr>
          <w:p w14:paraId="6D3FF93D" w14:textId="77777777" w:rsidR="00460759" w:rsidRPr="00A17BEE" w:rsidRDefault="00460759" w:rsidP="00F36908">
            <w:pPr>
              <w:pStyle w:val="SDMTableBoxParaNotNumbered"/>
              <w:spacing w:before="60" w:after="60"/>
            </w:pPr>
            <w:r w:rsidRPr="00A17BEE">
              <w:t>Measuring instrument(s)</w:t>
            </w:r>
          </w:p>
        </w:tc>
        <w:tc>
          <w:tcPr>
            <w:tcW w:w="1562" w:type="dxa"/>
          </w:tcPr>
          <w:p w14:paraId="4A49898D" w14:textId="77777777" w:rsidR="00460759" w:rsidRPr="00014C3A" w:rsidRDefault="00460759" w:rsidP="00F36908">
            <w:pPr>
              <w:pStyle w:val="SDMTableBoxParaNotNumbered"/>
              <w:spacing w:before="60" w:after="60"/>
              <w:rPr>
                <w:i/>
                <w:iCs/>
              </w:rPr>
            </w:pPr>
            <w:r w:rsidRPr="00014C3A">
              <w:rPr>
                <w:i/>
                <w:iCs/>
              </w:rPr>
              <w:t>Type of instrument</w:t>
            </w:r>
          </w:p>
        </w:tc>
        <w:tc>
          <w:tcPr>
            <w:tcW w:w="5100" w:type="dxa"/>
            <w:gridSpan w:val="3"/>
          </w:tcPr>
          <w:p w14:paraId="022ED1C0" w14:textId="77777777" w:rsidR="00460759" w:rsidRPr="00014C3A" w:rsidRDefault="00460759" w:rsidP="00F36908">
            <w:pPr>
              <w:pStyle w:val="SDMTableBoxParaNotNumbered"/>
              <w:spacing w:before="60" w:after="60"/>
            </w:pPr>
            <w:r>
              <w:t>N/A</w:t>
            </w:r>
          </w:p>
        </w:tc>
      </w:tr>
      <w:tr w:rsidR="00460759" w:rsidRPr="00C87E19" w14:paraId="4F462E52" w14:textId="77777777" w:rsidTr="00F36908">
        <w:trPr>
          <w:trHeight w:val="104"/>
        </w:trPr>
        <w:tc>
          <w:tcPr>
            <w:tcW w:w="2552" w:type="dxa"/>
            <w:vMerge/>
          </w:tcPr>
          <w:p w14:paraId="552EC7A2" w14:textId="77777777" w:rsidR="00460759" w:rsidRPr="00C87E19" w:rsidRDefault="00460759" w:rsidP="00F36908">
            <w:pPr>
              <w:pStyle w:val="SDMTableBoxParaNotNumbered"/>
              <w:spacing w:before="60" w:after="60"/>
              <w:rPr>
                <w:highlight w:val="yellow"/>
              </w:rPr>
            </w:pPr>
          </w:p>
        </w:tc>
        <w:tc>
          <w:tcPr>
            <w:tcW w:w="1562" w:type="dxa"/>
          </w:tcPr>
          <w:p w14:paraId="7EAD82C4" w14:textId="77777777" w:rsidR="00460759" w:rsidRPr="00014C3A" w:rsidRDefault="00460759" w:rsidP="00F36908">
            <w:pPr>
              <w:pStyle w:val="SDMTableBoxParaNotNumbered"/>
              <w:spacing w:before="60" w:after="60"/>
              <w:rPr>
                <w:i/>
                <w:iCs/>
              </w:rPr>
            </w:pPr>
            <w:r w:rsidRPr="00014C3A">
              <w:rPr>
                <w:i/>
                <w:iCs/>
              </w:rPr>
              <w:t>Accuracy class</w:t>
            </w:r>
          </w:p>
        </w:tc>
        <w:tc>
          <w:tcPr>
            <w:tcW w:w="5100" w:type="dxa"/>
            <w:gridSpan w:val="3"/>
          </w:tcPr>
          <w:p w14:paraId="617E8F23" w14:textId="77777777" w:rsidR="00460759" w:rsidRPr="00014C3A" w:rsidRDefault="00460759" w:rsidP="00F36908">
            <w:pPr>
              <w:pStyle w:val="SDMTableBoxParaNotNumbered"/>
              <w:spacing w:before="60" w:after="60"/>
            </w:pPr>
            <w:r w:rsidRPr="00014C3A">
              <w:t>N/A</w:t>
            </w:r>
          </w:p>
        </w:tc>
      </w:tr>
      <w:tr w:rsidR="00460759" w:rsidRPr="00C87E19" w14:paraId="13703AD8" w14:textId="77777777" w:rsidTr="00F36908">
        <w:trPr>
          <w:trHeight w:val="104"/>
        </w:trPr>
        <w:tc>
          <w:tcPr>
            <w:tcW w:w="2552" w:type="dxa"/>
            <w:vMerge/>
          </w:tcPr>
          <w:p w14:paraId="526BDC40" w14:textId="77777777" w:rsidR="00460759" w:rsidRPr="00C87E19" w:rsidRDefault="00460759" w:rsidP="00F36908">
            <w:pPr>
              <w:pStyle w:val="SDMTableBoxParaNotNumbered"/>
              <w:spacing w:before="60" w:after="60"/>
              <w:rPr>
                <w:highlight w:val="yellow"/>
              </w:rPr>
            </w:pPr>
          </w:p>
        </w:tc>
        <w:tc>
          <w:tcPr>
            <w:tcW w:w="1562" w:type="dxa"/>
          </w:tcPr>
          <w:p w14:paraId="0EED62A3" w14:textId="77777777" w:rsidR="00460759" w:rsidRPr="00014C3A" w:rsidRDefault="00460759" w:rsidP="00F36908">
            <w:pPr>
              <w:pStyle w:val="SDMTableBoxParaNotNumbered"/>
              <w:spacing w:before="60" w:after="60"/>
              <w:rPr>
                <w:i/>
                <w:iCs/>
              </w:rPr>
            </w:pPr>
            <w:r w:rsidRPr="00014C3A">
              <w:rPr>
                <w:i/>
                <w:iCs/>
              </w:rPr>
              <w:t>Calibration requirements</w:t>
            </w:r>
          </w:p>
        </w:tc>
        <w:tc>
          <w:tcPr>
            <w:tcW w:w="5100" w:type="dxa"/>
            <w:gridSpan w:val="3"/>
          </w:tcPr>
          <w:p w14:paraId="43EDC375" w14:textId="77777777" w:rsidR="00460759" w:rsidRPr="00014C3A" w:rsidRDefault="00460759" w:rsidP="00F36908">
            <w:pPr>
              <w:pStyle w:val="SDMTableBoxParaNotNumbered"/>
              <w:spacing w:before="60" w:after="60"/>
            </w:pPr>
            <w:r>
              <w:t>N/A</w:t>
            </w:r>
          </w:p>
        </w:tc>
      </w:tr>
      <w:tr w:rsidR="00460759" w:rsidRPr="00C87E19" w14:paraId="41965AEC" w14:textId="77777777" w:rsidTr="00F36908">
        <w:trPr>
          <w:trHeight w:val="104"/>
        </w:trPr>
        <w:tc>
          <w:tcPr>
            <w:tcW w:w="2552" w:type="dxa"/>
            <w:vMerge/>
          </w:tcPr>
          <w:p w14:paraId="538E340E" w14:textId="77777777" w:rsidR="00460759" w:rsidRPr="00C87E19" w:rsidRDefault="00460759" w:rsidP="00F36908">
            <w:pPr>
              <w:pStyle w:val="SDMTableBoxParaNotNumbered"/>
              <w:spacing w:before="60" w:after="60"/>
              <w:rPr>
                <w:highlight w:val="yellow"/>
              </w:rPr>
            </w:pPr>
          </w:p>
        </w:tc>
        <w:tc>
          <w:tcPr>
            <w:tcW w:w="1562" w:type="dxa"/>
          </w:tcPr>
          <w:p w14:paraId="116FD0C9" w14:textId="77777777" w:rsidR="00460759" w:rsidRPr="00014C3A" w:rsidRDefault="00460759" w:rsidP="00F36908">
            <w:pPr>
              <w:pStyle w:val="SDMTableBoxParaNotNumbered"/>
              <w:spacing w:before="60" w:after="60"/>
              <w:rPr>
                <w:i/>
                <w:iCs/>
              </w:rPr>
            </w:pPr>
            <w:r w:rsidRPr="00014C3A">
              <w:rPr>
                <w:i/>
                <w:iCs/>
              </w:rPr>
              <w:t>Location</w:t>
            </w:r>
          </w:p>
        </w:tc>
        <w:tc>
          <w:tcPr>
            <w:tcW w:w="5100" w:type="dxa"/>
            <w:gridSpan w:val="3"/>
          </w:tcPr>
          <w:p w14:paraId="09A95E61" w14:textId="77777777" w:rsidR="00460759" w:rsidRPr="00014C3A" w:rsidRDefault="00460759" w:rsidP="00F36908">
            <w:pPr>
              <w:pStyle w:val="SDMTableBoxParaNotNumbered"/>
              <w:spacing w:before="60" w:after="60"/>
            </w:pPr>
            <w:r w:rsidRPr="00014C3A">
              <w:t>N/A</w:t>
            </w:r>
          </w:p>
        </w:tc>
      </w:tr>
      <w:tr w:rsidR="00460759" w:rsidRPr="00C87E19" w14:paraId="35108C16" w14:textId="77777777" w:rsidTr="00F36908">
        <w:trPr>
          <w:trHeight w:val="300"/>
        </w:trPr>
        <w:tc>
          <w:tcPr>
            <w:tcW w:w="2552" w:type="dxa"/>
          </w:tcPr>
          <w:p w14:paraId="402AE59A" w14:textId="77777777" w:rsidR="00460759" w:rsidRPr="00917C78" w:rsidRDefault="00460759" w:rsidP="00F36908">
            <w:pPr>
              <w:pStyle w:val="SDMTableBoxParaNotNumbered"/>
              <w:spacing w:before="60" w:after="60"/>
            </w:pPr>
            <w:r w:rsidRPr="00917C78">
              <w:t>QA/QC procedures</w:t>
            </w:r>
          </w:p>
        </w:tc>
        <w:tc>
          <w:tcPr>
            <w:tcW w:w="6662" w:type="dxa"/>
            <w:gridSpan w:val="4"/>
          </w:tcPr>
          <w:p w14:paraId="48B724EE" w14:textId="78ED848B" w:rsidR="00460759" w:rsidRPr="00917C78" w:rsidRDefault="00460759" w:rsidP="00F36908">
            <w:pPr>
              <w:pStyle w:val="SDMTableBoxParaNotNumbered"/>
              <w:spacing w:before="60" w:after="60"/>
            </w:pPr>
            <w:r>
              <w:t xml:space="preserve">The laboratories in </w:t>
            </w:r>
            <w:r w:rsidR="002413AE">
              <w:t>option</w:t>
            </w:r>
            <w:r w:rsidR="00923E7B">
              <w:t> </w:t>
            </w:r>
            <w:r w:rsidR="002413AE">
              <w:t>1</w:t>
            </w:r>
            <w:r>
              <w:t xml:space="preserve"> or </w:t>
            </w:r>
            <w:r w:rsidR="002413AE">
              <w:t>option</w:t>
            </w:r>
            <w:r w:rsidR="00923E7B">
              <w:t> </w:t>
            </w:r>
            <w:r w:rsidR="002413AE">
              <w:t>2</w:t>
            </w:r>
            <w:r>
              <w:t xml:space="preserve"> </w:t>
            </w:r>
            <w:r w:rsidR="002413AE">
              <w:t>shall</w:t>
            </w:r>
            <w:r>
              <w:t xml:space="preserve"> have ISO17025 accreditation or </w:t>
            </w:r>
            <w:r w:rsidR="002413AE">
              <w:t xml:space="preserve">shall </w:t>
            </w:r>
            <w:r>
              <w:t xml:space="preserve">justify </w:t>
            </w:r>
            <w:r w:rsidR="00E72E71">
              <w:t>compliance</w:t>
            </w:r>
            <w:r w:rsidR="00A76AB5">
              <w:t xml:space="preserve"> </w:t>
            </w:r>
            <w:r>
              <w:t xml:space="preserve">with </w:t>
            </w:r>
            <w:r w:rsidR="00A76AB5">
              <w:t xml:space="preserve">equivalent </w:t>
            </w:r>
            <w:r>
              <w:t>quality standards</w:t>
            </w:r>
          </w:p>
        </w:tc>
      </w:tr>
      <w:tr w:rsidR="00460759" w:rsidRPr="00C87E19" w14:paraId="605C4C0D" w14:textId="77777777" w:rsidTr="00F36908">
        <w:trPr>
          <w:trHeight w:val="300"/>
        </w:trPr>
        <w:tc>
          <w:tcPr>
            <w:tcW w:w="2552" w:type="dxa"/>
          </w:tcPr>
          <w:p w14:paraId="56DB08B9" w14:textId="77777777" w:rsidR="00460759" w:rsidRPr="00D1376F" w:rsidRDefault="00460759" w:rsidP="0038031D">
            <w:pPr>
              <w:pStyle w:val="SDMTableBoxParaNotNumbered"/>
              <w:keepNext/>
              <w:spacing w:before="60" w:after="60"/>
            </w:pPr>
            <w:r w:rsidRPr="00D1376F">
              <w:t>Treatment of uncertaint</w:t>
            </w:r>
            <w:r>
              <w:t>ies</w:t>
            </w:r>
          </w:p>
        </w:tc>
        <w:tc>
          <w:tcPr>
            <w:tcW w:w="6662" w:type="dxa"/>
            <w:gridSpan w:val="4"/>
          </w:tcPr>
          <w:p w14:paraId="2BEA8E28" w14:textId="3568B8FE" w:rsidR="00460759" w:rsidRPr="00C87E19" w:rsidRDefault="76346BAB" w:rsidP="0038031D">
            <w:pPr>
              <w:pStyle w:val="SDMTableBoxParaNotNumbered"/>
              <w:keepNext/>
              <w:spacing w:before="60" w:after="60"/>
              <w:rPr>
                <w:highlight w:val="yellow"/>
              </w:rPr>
            </w:pPr>
            <w:r>
              <w:t xml:space="preserve">Verify </w:t>
            </w:r>
            <w:r w:rsidR="00EE5565">
              <w:t xml:space="preserve">whether </w:t>
            </w:r>
            <w:r>
              <w:t xml:space="preserve">the values under </w:t>
            </w:r>
            <w:r w:rsidR="00097EC7">
              <w:t xml:space="preserve">options </w:t>
            </w:r>
            <w:r>
              <w:t xml:space="preserve">1, 2 and 3 </w:t>
            </w:r>
            <w:r w:rsidR="00EE5565">
              <w:t xml:space="preserve">fall </w:t>
            </w:r>
            <w:r>
              <w:t>within the uncertainty range of the IPCC default values as provided in Table 1.2, Vol.</w:t>
            </w:r>
            <w:r w:rsidR="00923E7B">
              <w:t> </w:t>
            </w:r>
            <w:r>
              <w:t xml:space="preserve">2 of the 2019 Refinement to the 2006 IPCC Guidelines. If the values fall </w:t>
            </w:r>
            <w:r w:rsidR="00674AB5">
              <w:t xml:space="preserve">outside of </w:t>
            </w:r>
            <w:r>
              <w:t>this range</w:t>
            </w:r>
            <w:r w:rsidR="00674AB5">
              <w:t>,</w:t>
            </w:r>
            <w:r>
              <w:t xml:space="preserve"> collect additional information from the testing laboratory to justify the outcome or </w:t>
            </w:r>
            <w:r w:rsidR="00B042CB">
              <w:t xml:space="preserve">conduct </w:t>
            </w:r>
            <w:r>
              <w:t>additional measurements</w:t>
            </w:r>
          </w:p>
        </w:tc>
      </w:tr>
      <w:tr w:rsidR="00460759" w:rsidRPr="00131981" w14:paraId="73FB1E96" w14:textId="77777777" w:rsidTr="00F36908">
        <w:trPr>
          <w:trHeight w:val="300"/>
        </w:trPr>
        <w:tc>
          <w:tcPr>
            <w:tcW w:w="2552" w:type="dxa"/>
          </w:tcPr>
          <w:p w14:paraId="4FDE7F6A" w14:textId="77777777" w:rsidR="00460759" w:rsidRPr="00D1376F" w:rsidRDefault="00460759" w:rsidP="00F36908">
            <w:pPr>
              <w:pStyle w:val="SDMTableBoxParaNotNumbered"/>
              <w:spacing w:before="60" w:after="60"/>
            </w:pPr>
            <w:r w:rsidRPr="00D1376F">
              <w:t>Additional comment</w:t>
            </w:r>
          </w:p>
        </w:tc>
        <w:tc>
          <w:tcPr>
            <w:tcW w:w="6662" w:type="dxa"/>
            <w:gridSpan w:val="4"/>
          </w:tcPr>
          <w:p w14:paraId="25CAE68B" w14:textId="6DDFD6A9" w:rsidR="00460759" w:rsidRPr="00131981" w:rsidRDefault="003C6C34" w:rsidP="00F36908">
            <w:pPr>
              <w:pStyle w:val="SDMTableBoxParaNotNumbered"/>
              <w:spacing w:before="60" w:after="60"/>
            </w:pPr>
            <w:r>
              <w:t xml:space="preserve">For Article 6.4 activities under </w:t>
            </w:r>
            <w:r w:rsidR="001B7711">
              <w:t>s</w:t>
            </w:r>
            <w:r w:rsidR="00103E0F">
              <w:t>cenario</w:t>
            </w:r>
            <w:r w:rsidR="00923E7B">
              <w:t> </w:t>
            </w:r>
            <w:r w:rsidDel="00103E0F">
              <w:t>A</w:t>
            </w:r>
            <w:r w:rsidR="00A048B4">
              <w:t xml:space="preserve"> </w:t>
            </w:r>
            <w:r>
              <w:t xml:space="preserve">or </w:t>
            </w:r>
            <w:r w:rsidR="001B7711">
              <w:t>s</w:t>
            </w:r>
            <w:r w:rsidR="00087678">
              <w:t>cenario</w:t>
            </w:r>
            <w:r w:rsidR="00923E7B">
              <w:t> </w:t>
            </w:r>
            <w:r>
              <w:t xml:space="preserve">C, this parameter </w:t>
            </w:r>
            <w:r w:rsidR="00087678">
              <w:t>shall</w:t>
            </w:r>
            <w:r>
              <w:t xml:space="preserve"> be updated </w:t>
            </w:r>
            <w:r w:rsidR="00A048B4">
              <w:t xml:space="preserve">in accordance with the provisions in section </w:t>
            </w:r>
            <w:r w:rsidR="00401D3E">
              <w:fldChar w:fldCharType="begin"/>
            </w:r>
            <w:r w:rsidR="00401D3E">
              <w:instrText xml:space="preserve"> REF _Ref219921815 \r \h </w:instrText>
            </w:r>
            <w:r w:rsidR="00F36908">
              <w:instrText xml:space="preserve"> \* MERGEFORMAT </w:instrText>
            </w:r>
            <w:r w:rsidR="00401D3E">
              <w:fldChar w:fldCharType="separate"/>
            </w:r>
            <w:r w:rsidR="00D811A8">
              <w:rPr>
                <w:cs/>
              </w:rPr>
              <w:t>‎</w:t>
            </w:r>
            <w:r w:rsidR="00D811A8">
              <w:t>0</w:t>
            </w:r>
            <w:r w:rsidR="00401D3E">
              <w:fldChar w:fldCharType="end"/>
            </w:r>
            <w:r w:rsidR="00401D3E">
              <w:fldChar w:fldCharType="begin"/>
            </w:r>
            <w:r w:rsidR="00401D3E">
              <w:instrText xml:space="preserve"> REF _Ref219921825 \n \h </w:instrText>
            </w:r>
            <w:r w:rsidR="00F36908">
              <w:instrText xml:space="preserve"> \* MERGEFORMAT </w:instrText>
            </w:r>
            <w:r w:rsidR="00401D3E">
              <w:fldChar w:fldCharType="separate"/>
            </w:r>
            <w:r w:rsidR="00D811A8">
              <w:rPr>
                <w:cs/>
              </w:rPr>
              <w:t>‎</w:t>
            </w:r>
            <w:r w:rsidR="00D811A8">
              <w:t>5.7.1.2</w:t>
            </w:r>
            <w:r w:rsidR="00401D3E">
              <w:fldChar w:fldCharType="end"/>
            </w:r>
            <w:r w:rsidR="00A048B4">
              <w:t xml:space="preserve"> </w:t>
            </w:r>
            <w:r>
              <w:t>at the renewal of the crediting period if activity participants cho</w:t>
            </w:r>
            <w:r w:rsidR="00087678">
              <w:t>o</w:t>
            </w:r>
            <w:r>
              <w:t xml:space="preserve">se to determine </w:t>
            </w:r>
            <w:r w:rsidR="00087678">
              <w:t xml:space="preserve">the </w:t>
            </w:r>
            <w:r>
              <w:t xml:space="preserve">OM </w:t>
            </w:r>
            <w:r w:rsidR="00087678">
              <w:t xml:space="preserve">emission factor </w:t>
            </w:r>
            <w:r>
              <w:t>ex</w:t>
            </w:r>
            <w:r w:rsidR="002E67A4">
              <w:t> </w:t>
            </w:r>
            <w:r>
              <w:t>ante</w:t>
            </w:r>
          </w:p>
        </w:tc>
      </w:tr>
    </w:tbl>
    <w:p w14:paraId="03D15443" w14:textId="469F20B7" w:rsidR="00925217" w:rsidRDefault="00925217" w:rsidP="007066AD">
      <w:pPr>
        <w:pStyle w:val="CaptionFullPage"/>
      </w:pPr>
      <w:r>
        <w:t>Data / Parameter table</w:t>
      </w:r>
      <w:r w:rsidR="004C17BF">
        <w:t> </w:t>
      </w:r>
      <w:r>
        <w:fldChar w:fldCharType="begin"/>
      </w:r>
      <w:r>
        <w:instrText>SEQ Data_/_Parameter_table \* ARABIC</w:instrText>
      </w:r>
      <w:r>
        <w:fldChar w:fldCharType="separate"/>
      </w:r>
      <w:r w:rsidR="00D811A8">
        <w:rPr>
          <w:noProof/>
        </w:rPr>
        <w:t>5</w:t>
      </w:r>
      <w:r>
        <w:fldChar w:fldCharType="end"/>
      </w:r>
      <w:r>
        <w:t>.</w:t>
      </w:r>
    </w:p>
    <w:tbl>
      <w:tblPr>
        <w:tblStyle w:val="TableGrid"/>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600"/>
        <w:gridCol w:w="733"/>
        <w:gridCol w:w="2113"/>
        <w:gridCol w:w="2216"/>
      </w:tblGrid>
      <w:tr w:rsidR="00925217" w:rsidRPr="00AE7BE8" w14:paraId="524F974F" w14:textId="77777777" w:rsidTr="00F36908">
        <w:trPr>
          <w:trHeight w:val="300"/>
        </w:trPr>
        <w:tc>
          <w:tcPr>
            <w:tcW w:w="2552" w:type="dxa"/>
          </w:tcPr>
          <w:p w14:paraId="109A33E2" w14:textId="77777777" w:rsidR="00925217" w:rsidRPr="00AE7BE8" w:rsidRDefault="00925217" w:rsidP="00F36908">
            <w:pPr>
              <w:pStyle w:val="SDMTableBoxParaNotNumbered"/>
              <w:keepNext/>
              <w:spacing w:before="60" w:after="60"/>
            </w:pPr>
            <w:r w:rsidRPr="00AE7BE8">
              <w:t>Data/parameter</w:t>
            </w:r>
          </w:p>
        </w:tc>
        <w:tc>
          <w:tcPr>
            <w:tcW w:w="6662" w:type="dxa"/>
            <w:gridSpan w:val="4"/>
          </w:tcPr>
          <w:p w14:paraId="06C518A8" w14:textId="77777777" w:rsidR="00925217" w:rsidRPr="00EB3EE0" w:rsidRDefault="00000000" w:rsidP="00F36908">
            <w:pPr>
              <w:pStyle w:val="SDMTableBoxParaNotNumbered"/>
              <w:keepNext/>
              <w:spacing w:before="60" w:after="60"/>
              <w:rPr>
                <w:i/>
              </w:rPr>
            </w:pPr>
            <m:oMathPara>
              <m:oMathParaPr>
                <m:jc m:val="left"/>
              </m:oMathParaPr>
              <m:oMath>
                <m:sSub>
                  <m:sSubPr>
                    <m:ctrlPr>
                      <w:rPr>
                        <w:rFonts w:ascii="Cambria Math" w:hAnsi="Cambria Math"/>
                        <w:b/>
                        <w:bCs/>
                        <w:i/>
                      </w:rPr>
                    </m:ctrlPr>
                  </m:sSubPr>
                  <m:e>
                    <m:r>
                      <m:rPr>
                        <m:sty m:val="bi"/>
                      </m:rPr>
                      <w:rPr>
                        <w:rFonts w:ascii="Cambria Math" w:hAnsi="Cambria Math"/>
                      </w:rPr>
                      <m:t>EF</m:t>
                    </m:r>
                  </m:e>
                  <m:sub>
                    <m:r>
                      <m:rPr>
                        <m:sty m:val="bi"/>
                      </m:rPr>
                      <w:rPr>
                        <w:rFonts w:ascii="Cambria Math" w:hAnsi="Cambria Math"/>
                      </w:rPr>
                      <m:t>CO</m:t>
                    </m:r>
                    <m:r>
                      <m:rPr>
                        <m:sty m:val="bi"/>
                      </m:rPr>
                      <w:rPr>
                        <w:rFonts w:ascii="Cambria Math" w:hAnsi="Cambria Math"/>
                      </w:rPr>
                      <m:t>2,i,t</m:t>
                    </m:r>
                  </m:sub>
                </m:sSub>
              </m:oMath>
            </m:oMathPara>
          </w:p>
        </w:tc>
      </w:tr>
      <w:tr w:rsidR="00925217" w:rsidRPr="00AE7BE8" w14:paraId="3741C2E5" w14:textId="77777777" w:rsidTr="00F36908">
        <w:trPr>
          <w:trHeight w:val="300"/>
        </w:trPr>
        <w:tc>
          <w:tcPr>
            <w:tcW w:w="2552" w:type="dxa"/>
          </w:tcPr>
          <w:p w14:paraId="526C86F8" w14:textId="77777777" w:rsidR="00925217" w:rsidRPr="00AE7BE8" w:rsidRDefault="00925217" w:rsidP="00F36908">
            <w:pPr>
              <w:pStyle w:val="SDMTableBoxParaNotNumbered"/>
              <w:spacing w:before="60" w:after="60"/>
            </w:pPr>
            <w:r w:rsidRPr="00AE7BE8">
              <w:t>Description</w:t>
            </w:r>
          </w:p>
        </w:tc>
        <w:tc>
          <w:tcPr>
            <w:tcW w:w="6662" w:type="dxa"/>
            <w:gridSpan w:val="4"/>
          </w:tcPr>
          <w:p w14:paraId="2882A6B2" w14:textId="77777777" w:rsidR="00925217" w:rsidRPr="004C6225" w:rsidRDefault="00925217" w:rsidP="00F36908">
            <w:pPr>
              <w:pStyle w:val="SDMTableBoxParaNotNumbered"/>
              <w:spacing w:before="60" w:after="60"/>
              <w:rPr>
                <w:i/>
              </w:rPr>
            </w:pPr>
            <w:r>
              <w:t>CO</w:t>
            </w:r>
            <w:r w:rsidRPr="002E4813">
              <w:rPr>
                <w:vertAlign w:val="subscript"/>
              </w:rPr>
              <w:t>2</w:t>
            </w:r>
            <w:r>
              <w:t xml:space="preserve"> emission factor of fuel type </w:t>
            </w:r>
            <w:r w:rsidRPr="002E4813">
              <w:rPr>
                <w:i/>
                <w:iCs/>
              </w:rPr>
              <w:t>i</w:t>
            </w:r>
            <w:r>
              <w:t xml:space="preserve"> in period</w:t>
            </w:r>
            <w:r w:rsidR="00B141B0">
              <w:t> </w:t>
            </w:r>
            <w:r>
              <w:rPr>
                <w:i/>
                <w:iCs/>
              </w:rPr>
              <w:t>t</w:t>
            </w:r>
          </w:p>
        </w:tc>
      </w:tr>
      <w:tr w:rsidR="00925217" w:rsidRPr="00AE7BE8" w14:paraId="03C08AA0" w14:textId="77777777" w:rsidTr="00F36908">
        <w:trPr>
          <w:trHeight w:val="300"/>
        </w:trPr>
        <w:tc>
          <w:tcPr>
            <w:tcW w:w="2552" w:type="dxa"/>
          </w:tcPr>
          <w:p w14:paraId="70DEA8ED" w14:textId="77777777" w:rsidR="00925217" w:rsidRPr="00AE7BE8" w:rsidRDefault="00925217" w:rsidP="00F36908">
            <w:pPr>
              <w:pStyle w:val="SDMTableBoxParaNotNumbered"/>
              <w:spacing w:before="60" w:after="60"/>
            </w:pPr>
            <w:r w:rsidRPr="00AE7BE8">
              <w:t>Data unit</w:t>
            </w:r>
          </w:p>
        </w:tc>
        <w:tc>
          <w:tcPr>
            <w:tcW w:w="6662" w:type="dxa"/>
            <w:gridSpan w:val="4"/>
          </w:tcPr>
          <w:p w14:paraId="29036EDB" w14:textId="3F9C61D6" w:rsidR="00925217" w:rsidRPr="004C6225" w:rsidRDefault="12865A3D" w:rsidP="00F36908">
            <w:pPr>
              <w:pStyle w:val="SDMTableBoxParaNotNumbered"/>
              <w:spacing w:before="60" w:after="60"/>
            </w:pPr>
            <w:r>
              <w:t>t</w:t>
            </w:r>
            <w:r w:rsidR="004C17BF">
              <w:t> </w:t>
            </w:r>
            <w:r>
              <w:t>CO</w:t>
            </w:r>
            <w:r w:rsidRPr="6BB59D32">
              <w:rPr>
                <w:vertAlign w:val="subscript"/>
              </w:rPr>
              <w:t>2</w:t>
            </w:r>
            <w:r>
              <w:t>/GJ</w:t>
            </w:r>
          </w:p>
        </w:tc>
      </w:tr>
      <w:tr w:rsidR="00925217" w:rsidRPr="00AE7BE8" w14:paraId="4B7AD4F3" w14:textId="77777777" w:rsidTr="00F36908">
        <w:trPr>
          <w:trHeight w:val="300"/>
        </w:trPr>
        <w:tc>
          <w:tcPr>
            <w:tcW w:w="2552" w:type="dxa"/>
          </w:tcPr>
          <w:p w14:paraId="0C92BF0C" w14:textId="77777777" w:rsidR="00925217" w:rsidRPr="00AE7BE8" w:rsidRDefault="00925217" w:rsidP="00F36908">
            <w:pPr>
              <w:pStyle w:val="SDMTableBoxParaNotNumbered"/>
              <w:spacing w:before="60" w:after="60"/>
            </w:pPr>
            <w:r w:rsidRPr="00AE7BE8">
              <w:t>Equations referred</w:t>
            </w:r>
          </w:p>
        </w:tc>
        <w:tc>
          <w:tcPr>
            <w:tcW w:w="6662" w:type="dxa"/>
            <w:gridSpan w:val="4"/>
            <w:tcBorders>
              <w:bottom w:val="single" w:sz="4" w:space="0" w:color="auto"/>
            </w:tcBorders>
          </w:tcPr>
          <w:p w14:paraId="74B7D532" w14:textId="77777777" w:rsidR="00925217" w:rsidRPr="004C6225" w:rsidRDefault="00925217" w:rsidP="00F36908">
            <w:pPr>
              <w:pStyle w:val="SDMTableBoxParaNotNumbered"/>
              <w:spacing w:before="60" w:after="60"/>
            </w:pPr>
          </w:p>
        </w:tc>
      </w:tr>
      <w:tr w:rsidR="00241146" w:rsidRPr="00131981" w14:paraId="27DA017F" w14:textId="77777777" w:rsidTr="00F36908">
        <w:trPr>
          <w:trHeight w:val="300"/>
        </w:trPr>
        <w:tc>
          <w:tcPr>
            <w:tcW w:w="2552" w:type="dxa"/>
            <w:tcBorders>
              <w:right w:val="single" w:sz="4" w:space="0" w:color="auto"/>
            </w:tcBorders>
          </w:tcPr>
          <w:p w14:paraId="41EE977E" w14:textId="77777777" w:rsidR="00241146" w:rsidRPr="00131981" w:rsidRDefault="00241146" w:rsidP="00F36908">
            <w:pPr>
              <w:pStyle w:val="SDMTableBoxParaNotNumbered"/>
              <w:spacing w:before="60" w:after="60"/>
            </w:pPr>
            <w:r w:rsidRPr="00131981">
              <w:t>Purpose of data</w:t>
            </w:r>
          </w:p>
        </w:tc>
        <w:tc>
          <w:tcPr>
            <w:tcW w:w="2333" w:type="dxa"/>
            <w:gridSpan w:val="2"/>
            <w:tcBorders>
              <w:left w:val="single" w:sz="4" w:space="0" w:color="auto"/>
              <w:right w:val="nil"/>
            </w:tcBorders>
          </w:tcPr>
          <w:p w14:paraId="7936957C" w14:textId="77777777" w:rsidR="00241146" w:rsidRPr="005D7E1B" w:rsidRDefault="00241146" w:rsidP="00F36908">
            <w:pPr>
              <w:pStyle w:val="SDMTableBoxParaNotNumbered"/>
              <w:spacing w:before="60" w:after="60"/>
            </w:pPr>
            <w:r w:rsidRPr="005D7E1B">
              <w:rPr>
                <w:rFonts w:asciiTheme="minorBidi" w:hAnsiTheme="minorBidi" w:cstheme="minorBidi"/>
                <w:shd w:val="clear" w:color="auto" w:fill="E6E6E6"/>
              </w:rPr>
              <w:fldChar w:fldCharType="begin">
                <w:ffData>
                  <w:name w:val=""/>
                  <w:enabled/>
                  <w:calcOnExit w:val="0"/>
                  <w:checkBox>
                    <w:size w:val="20"/>
                    <w:default w:val="1"/>
                  </w:checkBox>
                </w:ffData>
              </w:fldChar>
            </w:r>
            <w:r w:rsidRPr="005D7E1B">
              <w:rPr>
                <w:rFonts w:asciiTheme="minorBidi" w:hAnsiTheme="minorBidi" w:cstheme="minorBidi"/>
                <w:shd w:val="clear" w:color="auto" w:fill="E6E6E6"/>
              </w:rPr>
              <w:instrText xml:space="preserve"> FORMCHECKBOX </w:instrText>
            </w:r>
            <w:r w:rsidR="00000000">
              <w:rPr>
                <w:rFonts w:asciiTheme="minorBidi" w:hAnsiTheme="minorBidi" w:cstheme="minorBidi"/>
                <w:shd w:val="clear" w:color="auto" w:fill="E6E6E6"/>
              </w:rPr>
            </w:r>
            <w:r w:rsidR="00000000">
              <w:rPr>
                <w:rFonts w:asciiTheme="minorBidi" w:hAnsiTheme="minorBidi" w:cstheme="minorBidi"/>
                <w:shd w:val="clear" w:color="auto" w:fill="E6E6E6"/>
              </w:rPr>
              <w:fldChar w:fldCharType="separate"/>
            </w:r>
            <w:r w:rsidRPr="005D7E1B">
              <w:rPr>
                <w:rFonts w:asciiTheme="minorBidi" w:hAnsiTheme="minorBidi" w:cstheme="minorBidi"/>
                <w:shd w:val="clear" w:color="auto" w:fill="E6E6E6"/>
              </w:rPr>
              <w:fldChar w:fldCharType="end"/>
            </w:r>
            <w:r>
              <w:rPr>
                <w:rFonts w:asciiTheme="minorBidi" w:hAnsiTheme="minorBidi" w:cstheme="minorBidi"/>
                <w:shd w:val="clear" w:color="auto" w:fill="E6E6E6"/>
              </w:rPr>
              <w:t xml:space="preserve"> </w:t>
            </w:r>
            <w:r w:rsidRPr="005D7E1B">
              <w:rPr>
                <w:rFonts w:asciiTheme="minorBidi" w:hAnsiTheme="minorBidi" w:cstheme="minorBidi"/>
              </w:rPr>
              <w:t>Baseline emissions</w:t>
            </w:r>
          </w:p>
        </w:tc>
        <w:tc>
          <w:tcPr>
            <w:tcW w:w="2113" w:type="dxa"/>
            <w:tcBorders>
              <w:left w:val="nil"/>
              <w:right w:val="nil"/>
            </w:tcBorders>
          </w:tcPr>
          <w:p w14:paraId="3E11B8A6" w14:textId="77777777" w:rsidR="00241146" w:rsidRPr="005D7E1B" w:rsidRDefault="00241146" w:rsidP="00F36908">
            <w:pPr>
              <w:pStyle w:val="SDMTableBoxParaNotNumbered"/>
              <w:spacing w:before="60" w:after="60"/>
            </w:pPr>
            <w:r w:rsidRPr="005D7E1B">
              <w:rPr>
                <w:rFonts w:asciiTheme="minorBidi" w:hAnsiTheme="minorBidi" w:cstheme="minorBidi"/>
                <w:shd w:val="clear" w:color="auto" w:fill="E6E6E6"/>
              </w:rPr>
              <w:fldChar w:fldCharType="begin">
                <w:ffData>
                  <w:name w:val=""/>
                  <w:enabled/>
                  <w:calcOnExit w:val="0"/>
                  <w:checkBox>
                    <w:size w:val="20"/>
                    <w:default w:val="1"/>
                  </w:checkBox>
                </w:ffData>
              </w:fldChar>
            </w:r>
            <w:r w:rsidRPr="005D7E1B">
              <w:rPr>
                <w:rFonts w:asciiTheme="minorBidi" w:hAnsiTheme="minorBidi" w:cstheme="minorBidi"/>
                <w:shd w:val="clear" w:color="auto" w:fill="E6E6E6"/>
              </w:rPr>
              <w:instrText xml:space="preserve"> FORMCHECKBOX </w:instrText>
            </w:r>
            <w:r w:rsidR="00000000">
              <w:rPr>
                <w:rFonts w:asciiTheme="minorBidi" w:hAnsiTheme="minorBidi" w:cstheme="minorBidi"/>
                <w:shd w:val="clear" w:color="auto" w:fill="E6E6E6"/>
              </w:rPr>
            </w:r>
            <w:r w:rsidR="00000000">
              <w:rPr>
                <w:rFonts w:asciiTheme="minorBidi" w:hAnsiTheme="minorBidi" w:cstheme="minorBidi"/>
                <w:shd w:val="clear" w:color="auto" w:fill="E6E6E6"/>
              </w:rPr>
              <w:fldChar w:fldCharType="separate"/>
            </w:r>
            <w:r w:rsidRPr="005D7E1B">
              <w:rPr>
                <w:rFonts w:asciiTheme="minorBidi" w:hAnsiTheme="minorBidi" w:cstheme="minorBidi"/>
                <w:shd w:val="clear" w:color="auto" w:fill="E6E6E6"/>
              </w:rPr>
              <w:fldChar w:fldCharType="end"/>
            </w:r>
            <w:r w:rsidRPr="3161B3F5">
              <w:rPr>
                <w:rFonts w:asciiTheme="minorBidi" w:hAnsiTheme="minorBidi" w:cstheme="minorBidi"/>
              </w:rPr>
              <w:fldChar w:fldCharType="begin"/>
            </w:r>
            <w:r w:rsidRPr="3161B3F5">
              <w:rPr>
                <w:rFonts w:asciiTheme="minorBidi" w:hAnsiTheme="minorBidi" w:cstheme="minorBidi"/>
              </w:rPr>
              <w:instrText xml:space="preserve"> FORMCHECKBOX </w:instrText>
            </w:r>
            <w:r w:rsidR="00000000">
              <w:rPr>
                <w:rFonts w:asciiTheme="minorBidi" w:hAnsiTheme="minorBidi" w:cstheme="minorBidi"/>
              </w:rPr>
              <w:fldChar w:fldCharType="separate"/>
            </w:r>
            <w:r w:rsidRPr="3161B3F5">
              <w:rPr>
                <w:rFonts w:asciiTheme="minorBidi" w:hAnsiTheme="minorBidi" w:cstheme="minorBidi"/>
              </w:rPr>
              <w:fldChar w:fldCharType="end"/>
            </w:r>
            <w:r w:rsidRPr="005D7E1B">
              <w:rPr>
                <w:rFonts w:asciiTheme="minorBidi" w:hAnsiTheme="minorBidi" w:cstheme="minorBidi"/>
              </w:rPr>
              <w:t xml:space="preserve"> Project emissions</w:t>
            </w:r>
          </w:p>
        </w:tc>
        <w:tc>
          <w:tcPr>
            <w:tcW w:w="2216" w:type="dxa"/>
            <w:tcBorders>
              <w:left w:val="nil"/>
            </w:tcBorders>
          </w:tcPr>
          <w:p w14:paraId="48E582DC" w14:textId="77777777" w:rsidR="00241146" w:rsidRPr="005D7E1B" w:rsidRDefault="00241146" w:rsidP="00F36908">
            <w:pPr>
              <w:pStyle w:val="SDMTableBoxParaNotNumbered"/>
              <w:spacing w:before="60" w:after="60"/>
            </w:pPr>
            <w:r w:rsidRPr="005D7E1B">
              <w:rPr>
                <w:rFonts w:asciiTheme="minorBidi" w:hAnsiTheme="minorBidi" w:cstheme="minorBidi"/>
                <w:shd w:val="clear" w:color="auto" w:fill="E6E6E6"/>
              </w:rPr>
              <w:fldChar w:fldCharType="begin">
                <w:ffData>
                  <w:name w:val=""/>
                  <w:enabled/>
                  <w:calcOnExit w:val="0"/>
                  <w:checkBox>
                    <w:size w:val="20"/>
                    <w:default w:val="1"/>
                  </w:checkBox>
                </w:ffData>
              </w:fldChar>
            </w:r>
            <w:r w:rsidRPr="005D7E1B">
              <w:rPr>
                <w:rFonts w:asciiTheme="minorBidi" w:hAnsiTheme="minorBidi" w:cstheme="minorBidi"/>
                <w:shd w:val="clear" w:color="auto" w:fill="E6E6E6"/>
              </w:rPr>
              <w:instrText xml:space="preserve"> FORMCHECKBOX </w:instrText>
            </w:r>
            <w:r w:rsidR="00000000">
              <w:rPr>
                <w:rFonts w:asciiTheme="minorBidi" w:hAnsiTheme="minorBidi" w:cstheme="minorBidi"/>
                <w:shd w:val="clear" w:color="auto" w:fill="E6E6E6"/>
              </w:rPr>
            </w:r>
            <w:r w:rsidR="00000000">
              <w:rPr>
                <w:rFonts w:asciiTheme="minorBidi" w:hAnsiTheme="minorBidi" w:cstheme="minorBidi"/>
                <w:shd w:val="clear" w:color="auto" w:fill="E6E6E6"/>
              </w:rPr>
              <w:fldChar w:fldCharType="separate"/>
            </w:r>
            <w:r w:rsidRPr="005D7E1B">
              <w:rPr>
                <w:rFonts w:asciiTheme="minorBidi" w:hAnsiTheme="minorBidi" w:cstheme="minorBidi"/>
                <w:shd w:val="clear" w:color="auto" w:fill="E6E6E6"/>
              </w:rPr>
              <w:fldChar w:fldCharType="end"/>
            </w:r>
            <w:r w:rsidRPr="3161B3F5">
              <w:rPr>
                <w:rFonts w:asciiTheme="minorBidi" w:hAnsiTheme="minorBidi" w:cstheme="minorBidi"/>
              </w:rPr>
              <w:fldChar w:fldCharType="begin"/>
            </w:r>
            <w:r w:rsidRPr="3161B3F5">
              <w:rPr>
                <w:rFonts w:asciiTheme="minorBidi" w:hAnsiTheme="minorBidi" w:cstheme="minorBidi"/>
              </w:rPr>
              <w:instrText xml:space="preserve"> FORMCHECKBOX </w:instrText>
            </w:r>
            <w:r w:rsidR="00000000">
              <w:rPr>
                <w:rFonts w:asciiTheme="minorBidi" w:hAnsiTheme="minorBidi" w:cstheme="minorBidi"/>
              </w:rPr>
              <w:fldChar w:fldCharType="separate"/>
            </w:r>
            <w:r w:rsidRPr="3161B3F5">
              <w:rPr>
                <w:rFonts w:asciiTheme="minorBidi" w:hAnsiTheme="minorBidi" w:cstheme="minorBidi"/>
              </w:rPr>
              <w:fldChar w:fldCharType="end"/>
            </w:r>
            <w:r w:rsidRPr="005D7E1B">
              <w:rPr>
                <w:rFonts w:asciiTheme="minorBidi" w:hAnsiTheme="minorBidi" w:cstheme="minorBidi"/>
              </w:rPr>
              <w:t xml:space="preserve"> Leakage emissions</w:t>
            </w:r>
          </w:p>
        </w:tc>
      </w:tr>
      <w:tr w:rsidR="00DF58B9" w:rsidRPr="00A17BEE" w14:paraId="62AC6D4F" w14:textId="77777777" w:rsidTr="00F36908">
        <w:trPr>
          <w:trHeight w:val="300"/>
        </w:trPr>
        <w:tc>
          <w:tcPr>
            <w:tcW w:w="2552" w:type="dxa"/>
          </w:tcPr>
          <w:p w14:paraId="6E274CD8" w14:textId="77777777" w:rsidR="00DF58B9" w:rsidRPr="00A17BEE" w:rsidRDefault="00DF58B9" w:rsidP="00F36908">
            <w:pPr>
              <w:pStyle w:val="SDMTableBoxParaNotNumbered"/>
              <w:spacing w:before="60" w:after="60"/>
            </w:pPr>
            <w:r>
              <w:t>Measurement and updating frequency</w:t>
            </w:r>
          </w:p>
        </w:tc>
        <w:tc>
          <w:tcPr>
            <w:tcW w:w="6662" w:type="dxa"/>
            <w:gridSpan w:val="4"/>
          </w:tcPr>
          <w:p w14:paraId="74BBF978" w14:textId="4AD79722" w:rsidR="00DF58B9" w:rsidRPr="008A6BFA" w:rsidRDefault="00DF58B9" w:rsidP="00F36908">
            <w:pPr>
              <w:pStyle w:val="SDMTableBoxParaNotNumbered"/>
              <w:spacing w:before="60" w:after="60"/>
            </w:pPr>
            <w:r w:rsidRPr="008A6BFA">
              <w:rPr>
                <w:u w:val="single"/>
              </w:rPr>
              <w:t>Option</w:t>
            </w:r>
            <w:r w:rsidR="004C17BF">
              <w:rPr>
                <w:u w:val="single"/>
              </w:rPr>
              <w:t> </w:t>
            </w:r>
            <w:r w:rsidRPr="008A6BFA">
              <w:rPr>
                <w:u w:val="single"/>
              </w:rPr>
              <w:t>1:</w:t>
            </w:r>
            <w:r w:rsidRPr="008A6BFA">
              <w:t xml:space="preserve"> </w:t>
            </w:r>
            <w:r>
              <w:t xml:space="preserve">At </w:t>
            </w:r>
            <w:r w:rsidR="00593924">
              <w:t xml:space="preserve">each </w:t>
            </w:r>
            <w:r>
              <w:t xml:space="preserve">fuel </w:t>
            </w:r>
            <w:r w:rsidR="00E421A6">
              <w:t>delivery</w:t>
            </w:r>
            <w:r w:rsidRPr="008A6BFA">
              <w:t>;</w:t>
            </w:r>
          </w:p>
          <w:p w14:paraId="6A5E6C4C" w14:textId="33DADBBB" w:rsidR="00DF58B9" w:rsidRPr="008A6BFA" w:rsidRDefault="00DF58B9" w:rsidP="00F36908">
            <w:pPr>
              <w:pStyle w:val="SDMTableBoxParaNotNumbered"/>
              <w:spacing w:before="60" w:after="60"/>
            </w:pPr>
            <w:r w:rsidRPr="008A6BFA">
              <w:rPr>
                <w:u w:val="single"/>
              </w:rPr>
              <w:t>Option</w:t>
            </w:r>
            <w:r w:rsidR="004C17BF">
              <w:rPr>
                <w:u w:val="single"/>
              </w:rPr>
              <w:t> </w:t>
            </w:r>
            <w:r w:rsidRPr="008A6BFA">
              <w:rPr>
                <w:u w:val="single"/>
              </w:rPr>
              <w:t>2:</w:t>
            </w:r>
            <w:r w:rsidRPr="008A6BFA">
              <w:t xml:space="preserve"> </w:t>
            </w:r>
            <w:r>
              <w:t xml:space="preserve">At </w:t>
            </w:r>
            <w:r w:rsidR="00593924">
              <w:t xml:space="preserve">each </w:t>
            </w:r>
            <w:r>
              <w:t xml:space="preserve">fuel </w:t>
            </w:r>
            <w:r w:rsidR="00E421A6">
              <w:t>delivery</w:t>
            </w:r>
            <w:r w:rsidRPr="008A6BFA">
              <w:t>;</w:t>
            </w:r>
          </w:p>
          <w:p w14:paraId="436D9B9E" w14:textId="39E490A1" w:rsidR="00DF58B9" w:rsidRPr="008A6BFA" w:rsidRDefault="00DF58B9" w:rsidP="00F36908">
            <w:pPr>
              <w:pStyle w:val="SDMTableBoxParaNotNumbered"/>
              <w:spacing w:before="60" w:after="60"/>
            </w:pPr>
            <w:r w:rsidRPr="008A6BFA">
              <w:rPr>
                <w:u w:val="single"/>
              </w:rPr>
              <w:t>Option</w:t>
            </w:r>
            <w:r w:rsidR="004C17BF">
              <w:rPr>
                <w:u w:val="single"/>
              </w:rPr>
              <w:t> </w:t>
            </w:r>
            <w:r w:rsidRPr="008A6BFA">
              <w:rPr>
                <w:u w:val="single"/>
              </w:rPr>
              <w:t>3:</w:t>
            </w:r>
            <w:r w:rsidRPr="008A6BFA">
              <w:t xml:space="preserve"> </w:t>
            </w:r>
            <w:r>
              <w:t>A</w:t>
            </w:r>
            <w:r w:rsidRPr="008A6BFA">
              <w:t>nnually;</w:t>
            </w:r>
          </w:p>
          <w:p w14:paraId="5EF7C77A" w14:textId="14A62A01" w:rsidR="00DF58B9" w:rsidRPr="00A17BEE" w:rsidRDefault="00DF58B9" w:rsidP="00F36908">
            <w:pPr>
              <w:pStyle w:val="SDMTableBoxParaNotNumbered"/>
              <w:spacing w:before="60" w:after="60"/>
            </w:pPr>
            <w:r w:rsidRPr="6F0C2E03">
              <w:rPr>
                <w:u w:val="single"/>
              </w:rPr>
              <w:t>Option</w:t>
            </w:r>
            <w:r w:rsidR="004C17BF">
              <w:rPr>
                <w:u w:val="single"/>
              </w:rPr>
              <w:t> </w:t>
            </w:r>
            <w:r w:rsidRPr="6F0C2E03">
              <w:rPr>
                <w:u w:val="single"/>
              </w:rPr>
              <w:t>4:</w:t>
            </w:r>
            <w:r>
              <w:t xml:space="preserve"> </w:t>
            </w:r>
            <w:r w:rsidRPr="008A6BFA">
              <w:t>Update</w:t>
            </w:r>
            <w:r w:rsidR="000C6BE5">
              <w:t>d</w:t>
            </w:r>
            <w:r w:rsidRPr="008A6BFA">
              <w:t xml:space="preserve"> based on future revisions of the IPCC Guidelines</w:t>
            </w:r>
          </w:p>
        </w:tc>
      </w:tr>
      <w:tr w:rsidR="00DF58B9" w:rsidRPr="00A17BEE" w14:paraId="3FD1818F" w14:textId="77777777" w:rsidTr="00F36908">
        <w:trPr>
          <w:trHeight w:val="300"/>
        </w:trPr>
        <w:tc>
          <w:tcPr>
            <w:tcW w:w="2552" w:type="dxa"/>
          </w:tcPr>
          <w:p w14:paraId="0BEA4F50" w14:textId="77777777" w:rsidR="00DF58B9" w:rsidRPr="00A17BEE" w:rsidRDefault="00DF58B9" w:rsidP="00F36908">
            <w:pPr>
              <w:pStyle w:val="SDMTableBoxParaNotNumbered"/>
              <w:spacing w:before="60" w:after="60"/>
            </w:pPr>
            <w:r w:rsidRPr="00131981">
              <w:t>Measurement methods and procedures</w:t>
            </w:r>
          </w:p>
        </w:tc>
        <w:tc>
          <w:tcPr>
            <w:tcW w:w="6662" w:type="dxa"/>
            <w:gridSpan w:val="4"/>
          </w:tcPr>
          <w:p w14:paraId="36F15AD9" w14:textId="12E83D5D" w:rsidR="000070EB" w:rsidRDefault="000070EB" w:rsidP="00F36908">
            <w:pPr>
              <w:pStyle w:val="SDMTableBoxParaNotNumbered"/>
              <w:spacing w:before="60" w:after="60"/>
            </w:pPr>
            <w:r w:rsidRPr="00AB67A2">
              <w:rPr>
                <w:u w:val="single"/>
              </w:rPr>
              <w:t>Option</w:t>
            </w:r>
            <w:r w:rsidR="004C17BF">
              <w:rPr>
                <w:u w:val="single"/>
              </w:rPr>
              <w:t> </w:t>
            </w:r>
            <w:r>
              <w:rPr>
                <w:u w:val="single"/>
              </w:rPr>
              <w:t>1</w:t>
            </w:r>
            <w:r w:rsidRPr="00AB67A2">
              <w:rPr>
                <w:u w:val="single"/>
              </w:rPr>
              <w:t>:</w:t>
            </w:r>
            <w:r>
              <w:t xml:space="preserve"> Values provided by the </w:t>
            </w:r>
            <w:r w:rsidR="000C6BE5">
              <w:t xml:space="preserve">fuel </w:t>
            </w:r>
            <w:r>
              <w:t>supplier (preferred source)</w:t>
            </w:r>
            <w:r w:rsidR="000C6BE5">
              <w:t>,</w:t>
            </w:r>
            <w:r>
              <w:t xml:space="preserve"> in line with national or international fuel standards;</w:t>
            </w:r>
          </w:p>
          <w:p w14:paraId="643705CE" w14:textId="399329C9" w:rsidR="000070EB" w:rsidRPr="00F81725" w:rsidRDefault="000070EB" w:rsidP="00F36908">
            <w:pPr>
              <w:pStyle w:val="SDMTableBoxParaNotNumbered"/>
              <w:spacing w:before="60" w:after="60"/>
            </w:pPr>
            <w:r w:rsidRPr="00AB67A2">
              <w:rPr>
                <w:u w:val="single"/>
              </w:rPr>
              <w:t>Option</w:t>
            </w:r>
            <w:r w:rsidR="004C17BF">
              <w:t> </w:t>
            </w:r>
            <w:r>
              <w:rPr>
                <w:u w:val="single"/>
              </w:rPr>
              <w:t>2</w:t>
            </w:r>
            <w:r w:rsidRPr="00AB67A2">
              <w:rPr>
                <w:u w:val="single"/>
              </w:rPr>
              <w:t>:</w:t>
            </w:r>
            <w:r>
              <w:t xml:space="preserve"> Measurements by activity participants undertaken in line with national or international fuel standards (if </w:t>
            </w:r>
            <w:r w:rsidR="0078537B">
              <w:t>supplier-</w:t>
            </w:r>
            <w:r>
              <w:t>provided</w:t>
            </w:r>
            <w:r w:rsidR="0078537B">
              <w:t xml:space="preserve"> values</w:t>
            </w:r>
            <w:r>
              <w:t xml:space="preserve"> are not available);</w:t>
            </w:r>
          </w:p>
          <w:p w14:paraId="2DE69AE9" w14:textId="4C670736" w:rsidR="000070EB" w:rsidRPr="00204B8F" w:rsidRDefault="000070EB" w:rsidP="00F36908">
            <w:pPr>
              <w:pStyle w:val="SDMTableBoxParaNotNumbered"/>
              <w:spacing w:before="60" w:after="60"/>
            </w:pPr>
            <w:r w:rsidRPr="00AB67A2">
              <w:rPr>
                <w:u w:val="single"/>
              </w:rPr>
              <w:t>Option</w:t>
            </w:r>
            <w:r w:rsidR="004C17BF">
              <w:rPr>
                <w:u w:val="single"/>
              </w:rPr>
              <w:t> </w:t>
            </w:r>
            <w:r>
              <w:rPr>
                <w:u w:val="single"/>
              </w:rPr>
              <w:t>3</w:t>
            </w:r>
            <w:r w:rsidRPr="00AB67A2">
              <w:rPr>
                <w:u w:val="single"/>
              </w:rPr>
              <w:t>:</w:t>
            </w:r>
            <w:r>
              <w:t xml:space="preserve"> Regional or national default values (if </w:t>
            </w:r>
            <w:r w:rsidR="0078537B">
              <w:t>supplier</w:t>
            </w:r>
            <w:r w:rsidR="00E07082">
              <w:t>-</w:t>
            </w:r>
            <w:r>
              <w:t xml:space="preserve">provided </w:t>
            </w:r>
            <w:r w:rsidR="00E07082">
              <w:t xml:space="preserve">values </w:t>
            </w:r>
            <w:r>
              <w:t>are not available and only for liquid fuels). Values shall be reviewed annually;</w:t>
            </w:r>
          </w:p>
          <w:p w14:paraId="02D1A5C7" w14:textId="6FCAB5C2" w:rsidR="00DF58B9" w:rsidRPr="00A17BEE" w:rsidRDefault="656E1B71" w:rsidP="00F36908">
            <w:pPr>
              <w:pStyle w:val="SDMTableBoxParaNotNumbered"/>
              <w:spacing w:before="60" w:after="60"/>
            </w:pPr>
            <w:r w:rsidRPr="6BB59D32">
              <w:rPr>
                <w:u w:val="single"/>
              </w:rPr>
              <w:t>Option</w:t>
            </w:r>
            <w:r w:rsidR="004C17BF">
              <w:rPr>
                <w:u w:val="single"/>
              </w:rPr>
              <w:t> </w:t>
            </w:r>
            <w:r w:rsidRPr="6BB59D32">
              <w:rPr>
                <w:u w:val="single"/>
              </w:rPr>
              <w:t>4:</w:t>
            </w:r>
            <w:r>
              <w:t xml:space="preserve"> Upper bound for </w:t>
            </w:r>
            <w:r w:rsidR="00E07082">
              <w:t>case</w:t>
            </w:r>
            <w:r w:rsidR="004C17BF">
              <w:t> </w:t>
            </w:r>
            <w:r>
              <w:t xml:space="preserve">1 and lower bound for </w:t>
            </w:r>
            <w:r w:rsidR="00E07082">
              <w:t>case</w:t>
            </w:r>
            <w:r w:rsidR="004C17BF">
              <w:t> </w:t>
            </w:r>
            <w:r>
              <w:t>2</w:t>
            </w:r>
            <w:r w:rsidR="00E07082">
              <w:t>,</w:t>
            </w:r>
            <w:r>
              <w:t xml:space="preserve"> at a 95 per cent confidence interval</w:t>
            </w:r>
            <w:r w:rsidR="00E07082">
              <w:t>,</w:t>
            </w:r>
            <w:r>
              <w:t xml:space="preserve"> from IPCC default values provided in the 2019 Refinement to the 2006 IPCC Guidelines on National GHG Inventories (if </w:t>
            </w:r>
            <w:r w:rsidR="00742912">
              <w:t xml:space="preserve">supplier-provided </w:t>
            </w:r>
            <w:r>
              <w:t>values are not available). Update based on future revisions of the IPCC Guidelines</w:t>
            </w:r>
          </w:p>
        </w:tc>
      </w:tr>
      <w:tr w:rsidR="00DF58B9" w:rsidRPr="00A17BEE" w14:paraId="38CD0AF2" w14:textId="77777777" w:rsidTr="00F36908">
        <w:trPr>
          <w:trHeight w:val="107"/>
        </w:trPr>
        <w:tc>
          <w:tcPr>
            <w:tcW w:w="2552" w:type="dxa"/>
          </w:tcPr>
          <w:p w14:paraId="6364229E" w14:textId="77777777" w:rsidR="00DF58B9" w:rsidRPr="00A17BEE" w:rsidRDefault="00DF58B9" w:rsidP="00F36908">
            <w:pPr>
              <w:pStyle w:val="SDMTableBoxParaNotNumbered"/>
              <w:spacing w:before="60" w:after="60"/>
            </w:pPr>
            <w:r w:rsidRPr="00131981">
              <w:t>Entity/person responsible for the measurement</w:t>
            </w:r>
          </w:p>
        </w:tc>
        <w:tc>
          <w:tcPr>
            <w:tcW w:w="6662" w:type="dxa"/>
            <w:gridSpan w:val="4"/>
          </w:tcPr>
          <w:p w14:paraId="1390E5D0" w14:textId="6755AEC7" w:rsidR="00DF58B9" w:rsidRPr="00A17BEE" w:rsidRDefault="486AF2D8" w:rsidP="00F36908">
            <w:pPr>
              <w:pStyle w:val="SDMTableBoxParaNotNumbered"/>
              <w:spacing w:before="60" w:after="60"/>
            </w:pPr>
            <w:r>
              <w:t>Activity participants</w:t>
            </w:r>
          </w:p>
        </w:tc>
      </w:tr>
      <w:tr w:rsidR="00DF58B9" w:rsidRPr="00014C3A" w14:paraId="34B937C5" w14:textId="77777777" w:rsidTr="00F36908">
        <w:trPr>
          <w:trHeight w:val="107"/>
        </w:trPr>
        <w:tc>
          <w:tcPr>
            <w:tcW w:w="2552" w:type="dxa"/>
            <w:vMerge w:val="restart"/>
          </w:tcPr>
          <w:p w14:paraId="2D29AA1A" w14:textId="77777777" w:rsidR="00DF58B9" w:rsidRPr="00A17BEE" w:rsidRDefault="00DF58B9" w:rsidP="00F36908">
            <w:pPr>
              <w:pStyle w:val="SDMTableBoxParaNotNumbered"/>
              <w:spacing w:before="60" w:after="60"/>
            </w:pPr>
            <w:r w:rsidRPr="00A17BEE">
              <w:t>Measuring instrument(s)</w:t>
            </w:r>
          </w:p>
        </w:tc>
        <w:tc>
          <w:tcPr>
            <w:tcW w:w="1600" w:type="dxa"/>
          </w:tcPr>
          <w:p w14:paraId="326F6629" w14:textId="77777777" w:rsidR="00DF58B9" w:rsidRPr="00014C3A" w:rsidRDefault="00DF58B9" w:rsidP="00F36908">
            <w:pPr>
              <w:pStyle w:val="SDMTableBoxParaNotNumbered"/>
              <w:spacing w:before="60" w:after="60"/>
              <w:rPr>
                <w:i/>
                <w:iCs/>
              </w:rPr>
            </w:pPr>
            <w:r w:rsidRPr="00014C3A">
              <w:rPr>
                <w:i/>
                <w:iCs/>
              </w:rPr>
              <w:t>Type of instrument</w:t>
            </w:r>
          </w:p>
        </w:tc>
        <w:tc>
          <w:tcPr>
            <w:tcW w:w="5062" w:type="dxa"/>
            <w:gridSpan w:val="3"/>
          </w:tcPr>
          <w:p w14:paraId="76AF0E01" w14:textId="77777777" w:rsidR="00DF58B9" w:rsidRPr="00014C3A" w:rsidRDefault="00DF58B9" w:rsidP="00F36908">
            <w:pPr>
              <w:pStyle w:val="SDMTableBoxParaNotNumbered"/>
              <w:spacing w:before="60" w:after="60"/>
            </w:pPr>
            <w:r>
              <w:t>N/A</w:t>
            </w:r>
          </w:p>
        </w:tc>
      </w:tr>
      <w:tr w:rsidR="00DF58B9" w:rsidRPr="00014C3A" w14:paraId="00A390BE" w14:textId="77777777" w:rsidTr="00F36908">
        <w:trPr>
          <w:trHeight w:val="104"/>
        </w:trPr>
        <w:tc>
          <w:tcPr>
            <w:tcW w:w="2552" w:type="dxa"/>
            <w:vMerge/>
          </w:tcPr>
          <w:p w14:paraId="409D60B3" w14:textId="77777777" w:rsidR="00DF58B9" w:rsidRPr="00C87E19" w:rsidRDefault="00DF58B9" w:rsidP="00F36908">
            <w:pPr>
              <w:pStyle w:val="SDMTableBoxParaNotNumbered"/>
              <w:spacing w:before="60" w:after="60"/>
              <w:rPr>
                <w:highlight w:val="yellow"/>
              </w:rPr>
            </w:pPr>
          </w:p>
        </w:tc>
        <w:tc>
          <w:tcPr>
            <w:tcW w:w="1600" w:type="dxa"/>
          </w:tcPr>
          <w:p w14:paraId="70938E96" w14:textId="77777777" w:rsidR="00DF58B9" w:rsidRPr="00014C3A" w:rsidRDefault="00DF58B9" w:rsidP="00F36908">
            <w:pPr>
              <w:pStyle w:val="SDMTableBoxParaNotNumbered"/>
              <w:spacing w:before="60" w:after="60"/>
              <w:rPr>
                <w:i/>
                <w:iCs/>
              </w:rPr>
            </w:pPr>
            <w:r w:rsidRPr="00014C3A">
              <w:rPr>
                <w:i/>
                <w:iCs/>
              </w:rPr>
              <w:t>Accuracy class</w:t>
            </w:r>
          </w:p>
        </w:tc>
        <w:tc>
          <w:tcPr>
            <w:tcW w:w="5062" w:type="dxa"/>
            <w:gridSpan w:val="3"/>
          </w:tcPr>
          <w:p w14:paraId="67D20F58" w14:textId="77777777" w:rsidR="00DF58B9" w:rsidRPr="00014C3A" w:rsidRDefault="00DF58B9" w:rsidP="00F36908">
            <w:pPr>
              <w:pStyle w:val="SDMTableBoxParaNotNumbered"/>
              <w:spacing w:before="60" w:after="60"/>
            </w:pPr>
            <w:r w:rsidRPr="00014C3A">
              <w:t>N/A</w:t>
            </w:r>
          </w:p>
        </w:tc>
      </w:tr>
      <w:tr w:rsidR="00DF58B9" w:rsidRPr="00014C3A" w14:paraId="3B3D80F5" w14:textId="77777777" w:rsidTr="00F36908">
        <w:trPr>
          <w:trHeight w:val="104"/>
        </w:trPr>
        <w:tc>
          <w:tcPr>
            <w:tcW w:w="2552" w:type="dxa"/>
            <w:vMerge/>
          </w:tcPr>
          <w:p w14:paraId="1DF48079" w14:textId="77777777" w:rsidR="00DF58B9" w:rsidRPr="00C87E19" w:rsidRDefault="00DF58B9" w:rsidP="00F36908">
            <w:pPr>
              <w:pStyle w:val="SDMTableBoxParaNotNumbered"/>
              <w:spacing w:before="60" w:after="60"/>
              <w:rPr>
                <w:highlight w:val="yellow"/>
              </w:rPr>
            </w:pPr>
          </w:p>
        </w:tc>
        <w:tc>
          <w:tcPr>
            <w:tcW w:w="1600" w:type="dxa"/>
          </w:tcPr>
          <w:p w14:paraId="47F16552" w14:textId="77777777" w:rsidR="00DF58B9" w:rsidRPr="00014C3A" w:rsidRDefault="00DF58B9" w:rsidP="00F36908">
            <w:pPr>
              <w:pStyle w:val="SDMTableBoxParaNotNumbered"/>
              <w:spacing w:before="60" w:after="60"/>
              <w:rPr>
                <w:i/>
                <w:iCs/>
              </w:rPr>
            </w:pPr>
            <w:r w:rsidRPr="00014C3A">
              <w:rPr>
                <w:i/>
                <w:iCs/>
              </w:rPr>
              <w:t>Calibration requirements</w:t>
            </w:r>
          </w:p>
        </w:tc>
        <w:tc>
          <w:tcPr>
            <w:tcW w:w="5062" w:type="dxa"/>
            <w:gridSpan w:val="3"/>
          </w:tcPr>
          <w:p w14:paraId="12C8C515" w14:textId="77777777" w:rsidR="00DF58B9" w:rsidRPr="00014C3A" w:rsidRDefault="00DF58B9" w:rsidP="00F36908">
            <w:pPr>
              <w:pStyle w:val="SDMTableBoxParaNotNumbered"/>
              <w:spacing w:before="60" w:after="60"/>
            </w:pPr>
            <w:r>
              <w:t>N/A</w:t>
            </w:r>
          </w:p>
        </w:tc>
      </w:tr>
      <w:tr w:rsidR="00DF58B9" w:rsidRPr="00014C3A" w14:paraId="71A96348" w14:textId="77777777" w:rsidTr="00F36908">
        <w:trPr>
          <w:trHeight w:val="104"/>
        </w:trPr>
        <w:tc>
          <w:tcPr>
            <w:tcW w:w="2552" w:type="dxa"/>
            <w:vMerge/>
          </w:tcPr>
          <w:p w14:paraId="41891809" w14:textId="77777777" w:rsidR="00DF58B9" w:rsidRPr="00C87E19" w:rsidRDefault="00DF58B9" w:rsidP="00F36908">
            <w:pPr>
              <w:pStyle w:val="SDMTableBoxParaNotNumbered"/>
              <w:spacing w:before="60" w:after="60"/>
              <w:rPr>
                <w:highlight w:val="yellow"/>
              </w:rPr>
            </w:pPr>
          </w:p>
        </w:tc>
        <w:tc>
          <w:tcPr>
            <w:tcW w:w="1600" w:type="dxa"/>
          </w:tcPr>
          <w:p w14:paraId="436BF3BA" w14:textId="77777777" w:rsidR="00DF58B9" w:rsidRPr="00014C3A" w:rsidRDefault="00DF58B9" w:rsidP="00F36908">
            <w:pPr>
              <w:pStyle w:val="SDMTableBoxParaNotNumbered"/>
              <w:spacing w:before="60" w:after="60"/>
              <w:rPr>
                <w:i/>
                <w:iCs/>
              </w:rPr>
            </w:pPr>
            <w:r w:rsidRPr="00014C3A">
              <w:rPr>
                <w:i/>
                <w:iCs/>
              </w:rPr>
              <w:t>Location</w:t>
            </w:r>
          </w:p>
        </w:tc>
        <w:tc>
          <w:tcPr>
            <w:tcW w:w="5062" w:type="dxa"/>
            <w:gridSpan w:val="3"/>
          </w:tcPr>
          <w:p w14:paraId="1F71F3F9" w14:textId="77777777" w:rsidR="00DF58B9" w:rsidRPr="00014C3A" w:rsidRDefault="00DF58B9" w:rsidP="00F36908">
            <w:pPr>
              <w:pStyle w:val="SDMTableBoxParaNotNumbered"/>
              <w:spacing w:before="60" w:after="60"/>
            </w:pPr>
            <w:r w:rsidRPr="00014C3A">
              <w:t>N/A</w:t>
            </w:r>
          </w:p>
        </w:tc>
      </w:tr>
      <w:tr w:rsidR="00DF58B9" w:rsidRPr="00917C78" w14:paraId="77E81C09" w14:textId="77777777" w:rsidTr="00F36908">
        <w:trPr>
          <w:trHeight w:val="300"/>
        </w:trPr>
        <w:tc>
          <w:tcPr>
            <w:tcW w:w="2552" w:type="dxa"/>
          </w:tcPr>
          <w:p w14:paraId="0A52BA78" w14:textId="77777777" w:rsidR="00DF58B9" w:rsidRPr="00917C78" w:rsidRDefault="00DF58B9" w:rsidP="00F36908">
            <w:pPr>
              <w:pStyle w:val="SDMTableBoxParaNotNumbered"/>
              <w:spacing w:before="60" w:after="60"/>
            </w:pPr>
            <w:r w:rsidRPr="00917C78">
              <w:t>QA/QC procedures</w:t>
            </w:r>
          </w:p>
        </w:tc>
        <w:tc>
          <w:tcPr>
            <w:tcW w:w="6662" w:type="dxa"/>
            <w:gridSpan w:val="4"/>
          </w:tcPr>
          <w:p w14:paraId="22C84412" w14:textId="2055BFC1" w:rsidR="00DF58B9" w:rsidRPr="00917C78" w:rsidRDefault="000F7724" w:rsidP="00F36908">
            <w:pPr>
              <w:pStyle w:val="SDMTableBoxParaNotNumbered"/>
              <w:spacing w:before="60" w:after="60"/>
            </w:pPr>
            <w:r>
              <w:t>Laboratories in Options 1 and 2 sh</w:t>
            </w:r>
            <w:r w:rsidR="00A615EB">
              <w:t>all</w:t>
            </w:r>
            <w:r>
              <w:t xml:space="preserve"> have ISO17025 accreditation, or justify compliance with equivalent quality standards</w:t>
            </w:r>
          </w:p>
        </w:tc>
      </w:tr>
      <w:tr w:rsidR="00C617AF" w:rsidRPr="00C87E19" w14:paraId="7C643305" w14:textId="77777777" w:rsidTr="00F36908">
        <w:trPr>
          <w:trHeight w:val="300"/>
        </w:trPr>
        <w:tc>
          <w:tcPr>
            <w:tcW w:w="2552" w:type="dxa"/>
          </w:tcPr>
          <w:p w14:paraId="1E8879A3" w14:textId="77777777" w:rsidR="00C617AF" w:rsidRPr="00D1376F" w:rsidRDefault="00C617AF" w:rsidP="0038031D">
            <w:pPr>
              <w:pStyle w:val="SDMTableBoxParaNotNumbered"/>
              <w:keepNext/>
              <w:spacing w:before="60" w:after="60"/>
            </w:pPr>
            <w:r w:rsidRPr="00D1376F">
              <w:t>Treatment of uncertaint</w:t>
            </w:r>
            <w:r>
              <w:t>ies</w:t>
            </w:r>
          </w:p>
        </w:tc>
        <w:tc>
          <w:tcPr>
            <w:tcW w:w="6662" w:type="dxa"/>
            <w:gridSpan w:val="4"/>
          </w:tcPr>
          <w:p w14:paraId="74AF1922" w14:textId="7FC9F0B3" w:rsidR="00C617AF" w:rsidRPr="00C87E19" w:rsidRDefault="3D1368F8" w:rsidP="0038031D">
            <w:pPr>
              <w:pStyle w:val="SDMTableBoxParaNotNumbered"/>
              <w:keepNext/>
              <w:spacing w:before="60" w:after="60"/>
              <w:rPr>
                <w:highlight w:val="yellow"/>
              </w:rPr>
            </w:pPr>
            <w:r>
              <w:t xml:space="preserve">Verify </w:t>
            </w:r>
            <w:r w:rsidR="00742912">
              <w:t xml:space="preserve">whether </w:t>
            </w:r>
            <w:r>
              <w:t xml:space="preserve">the values under </w:t>
            </w:r>
            <w:r w:rsidR="00A43D36">
              <w:t>o</w:t>
            </w:r>
            <w:r>
              <w:t>ptions 1, 2</w:t>
            </w:r>
            <w:r w:rsidR="00742912">
              <w:t>,</w:t>
            </w:r>
            <w:r>
              <w:t xml:space="preserve"> and 3</w:t>
            </w:r>
            <w:r w:rsidDel="00742912">
              <w:t xml:space="preserve"> </w:t>
            </w:r>
            <w:r w:rsidR="00742912">
              <w:t xml:space="preserve">fall </w:t>
            </w:r>
            <w:r>
              <w:t>within the uncertainty range of the IPCC default values as provided in Table 1.2, Vol.</w:t>
            </w:r>
            <w:r w:rsidR="0033417D">
              <w:t> </w:t>
            </w:r>
            <w:r>
              <w:t xml:space="preserve">2 of the 2019 Refinement to the 2006 IPCC Guidelines. If the values fall </w:t>
            </w:r>
            <w:r w:rsidR="00FF5C31">
              <w:t>outside of</w:t>
            </w:r>
            <w:r>
              <w:t xml:space="preserve"> this range</w:t>
            </w:r>
            <w:r w:rsidR="00FF5C31">
              <w:t>,</w:t>
            </w:r>
            <w:r>
              <w:t xml:space="preserve"> collect additional information from the testing laboratory to justify the outcome or conduct additional measurements</w:t>
            </w:r>
          </w:p>
        </w:tc>
      </w:tr>
      <w:tr w:rsidR="00C617AF" w:rsidRPr="00131981" w14:paraId="17557575" w14:textId="77777777" w:rsidTr="00F36908">
        <w:trPr>
          <w:trHeight w:val="300"/>
        </w:trPr>
        <w:tc>
          <w:tcPr>
            <w:tcW w:w="2552" w:type="dxa"/>
          </w:tcPr>
          <w:p w14:paraId="2B0648D2" w14:textId="77777777" w:rsidR="00C617AF" w:rsidRPr="00D1376F" w:rsidRDefault="00C617AF" w:rsidP="00F36908">
            <w:pPr>
              <w:pStyle w:val="SDMTableBoxParaNotNumbered"/>
              <w:spacing w:before="60" w:after="60"/>
            </w:pPr>
            <w:r w:rsidRPr="00D1376F">
              <w:t>Additional comment</w:t>
            </w:r>
          </w:p>
        </w:tc>
        <w:tc>
          <w:tcPr>
            <w:tcW w:w="6662" w:type="dxa"/>
            <w:gridSpan w:val="4"/>
          </w:tcPr>
          <w:p w14:paraId="2B245976" w14:textId="6AD783B4" w:rsidR="00C617AF" w:rsidRPr="0065190C" w:rsidRDefault="00C617AF" w:rsidP="00F36908">
            <w:pPr>
              <w:pStyle w:val="SDMTableBoxParaNotNumbered"/>
              <w:spacing w:before="60" w:after="60"/>
            </w:pPr>
            <w:r w:rsidRPr="0065190C">
              <w:t xml:space="preserve">For </w:t>
            </w:r>
            <w:r w:rsidR="007C59E3">
              <w:t>o</w:t>
            </w:r>
            <w:r w:rsidR="007C59E3" w:rsidRPr="0065190C">
              <w:t>ption</w:t>
            </w:r>
            <w:r w:rsidR="004C17BF">
              <w:t> </w:t>
            </w:r>
            <w:r w:rsidRPr="0065190C">
              <w:t>1, if the fuel supplier provide</w:t>
            </w:r>
            <w:r w:rsidR="00F26072">
              <w:t>s both</w:t>
            </w:r>
            <w:r w:rsidRPr="0065190C">
              <w:t xml:space="preserve"> the NCV and</w:t>
            </w:r>
            <w:r w:rsidRPr="0065190C" w:rsidDel="00A81A9C">
              <w:t xml:space="preserve"> </w:t>
            </w:r>
            <w:r w:rsidRPr="0065190C">
              <w:t>CO</w:t>
            </w:r>
            <w:r w:rsidRPr="0065190C">
              <w:rPr>
                <w:vertAlign w:val="subscript"/>
              </w:rPr>
              <w:t>2</w:t>
            </w:r>
            <w:r w:rsidRPr="0065190C">
              <w:t xml:space="preserve"> emission factor on the invoice and these values are based on measurements for </w:t>
            </w:r>
            <w:r w:rsidR="00A81A9C">
              <w:t xml:space="preserve">the </w:t>
            </w:r>
            <w:r w:rsidRPr="0065190C">
              <w:t>specific fuel</w:t>
            </w:r>
            <w:r w:rsidR="00A81A9C">
              <w:t xml:space="preserve"> delivered</w:t>
            </w:r>
            <w:r w:rsidRPr="0065190C">
              <w:t xml:space="preserve">, </w:t>
            </w:r>
            <w:r w:rsidR="00606CEB">
              <w:t xml:space="preserve">the provided </w:t>
            </w:r>
            <w:r w:rsidRPr="0065190C">
              <w:t>CO</w:t>
            </w:r>
            <w:r w:rsidRPr="00781492">
              <w:rPr>
                <w:vertAlign w:val="subscript"/>
              </w:rPr>
              <w:t>2</w:t>
            </w:r>
            <w:r w:rsidRPr="0065190C">
              <w:t xml:space="preserve"> </w:t>
            </w:r>
            <w:r w:rsidR="00606CEB">
              <w:t xml:space="preserve">emission </w:t>
            </w:r>
            <w:r w:rsidRPr="0065190C">
              <w:t xml:space="preserve">factor </w:t>
            </w:r>
            <w:r w:rsidR="00606CEB">
              <w:t xml:space="preserve">shall </w:t>
            </w:r>
            <w:r w:rsidRPr="0065190C">
              <w:t xml:space="preserve">be used. If another source </w:t>
            </w:r>
            <w:r w:rsidR="00417804">
              <w:t xml:space="preserve">is used </w:t>
            </w:r>
            <w:r w:rsidRPr="0065190C">
              <w:t>for the CO</w:t>
            </w:r>
            <w:r w:rsidRPr="00781492">
              <w:rPr>
                <w:vertAlign w:val="subscript"/>
              </w:rPr>
              <w:t>2</w:t>
            </w:r>
            <w:r w:rsidRPr="0065190C">
              <w:t xml:space="preserve"> emission factor</w:t>
            </w:r>
            <w:r w:rsidR="00417804">
              <w:t>,</w:t>
            </w:r>
            <w:r w:rsidRPr="0065190C">
              <w:t xml:space="preserve"> or no CO</w:t>
            </w:r>
            <w:r w:rsidRPr="0065190C">
              <w:rPr>
                <w:vertAlign w:val="subscript"/>
              </w:rPr>
              <w:t>2</w:t>
            </w:r>
            <w:r w:rsidRPr="0065190C">
              <w:t xml:space="preserve"> emission factor is provided, Options 2, 3</w:t>
            </w:r>
            <w:r w:rsidR="00417804">
              <w:t>,</w:t>
            </w:r>
            <w:r w:rsidRPr="0065190C">
              <w:t xml:space="preserve"> </w:t>
            </w:r>
            <w:r w:rsidR="00417804">
              <w:t>or</w:t>
            </w:r>
            <w:r w:rsidR="00417804" w:rsidRPr="0065190C">
              <w:t xml:space="preserve"> </w:t>
            </w:r>
            <w:r w:rsidRPr="0065190C">
              <w:t xml:space="preserve">4 </w:t>
            </w:r>
            <w:r w:rsidR="00EE6F51">
              <w:t>shall</w:t>
            </w:r>
            <w:r w:rsidR="00EE6F51" w:rsidRPr="0065190C">
              <w:t xml:space="preserve"> </w:t>
            </w:r>
            <w:r w:rsidRPr="0065190C">
              <w:t>be used.</w:t>
            </w:r>
          </w:p>
          <w:p w14:paraId="2C88CE0C" w14:textId="6DF49D06" w:rsidR="003C6C34" w:rsidRPr="00131981" w:rsidRDefault="003C6C34" w:rsidP="00F36908">
            <w:pPr>
              <w:pStyle w:val="SDMTableBoxParaNotNumbered"/>
              <w:spacing w:before="60" w:after="60"/>
            </w:pPr>
            <w:r>
              <w:t xml:space="preserve">For Article 6.4 activities under </w:t>
            </w:r>
            <w:r w:rsidR="00FF1740">
              <w:t>scenario</w:t>
            </w:r>
            <w:r w:rsidR="004C17BF">
              <w:t> </w:t>
            </w:r>
            <w:r>
              <w:t xml:space="preserve">A or </w:t>
            </w:r>
            <w:r w:rsidR="00FF1740">
              <w:t>scenario</w:t>
            </w:r>
            <w:r w:rsidR="004C17BF">
              <w:t> </w:t>
            </w:r>
            <w:r>
              <w:t xml:space="preserve">C, this parameter </w:t>
            </w:r>
            <w:r w:rsidR="00FF1740">
              <w:t>shall</w:t>
            </w:r>
            <w:r>
              <w:t xml:space="preserve"> be updated </w:t>
            </w:r>
            <w:r w:rsidR="000415D4">
              <w:t xml:space="preserve">in accordance with the provisions in section </w:t>
            </w:r>
            <w:r w:rsidR="000415D4">
              <w:fldChar w:fldCharType="begin"/>
            </w:r>
            <w:r w:rsidR="000415D4">
              <w:instrText xml:space="preserve"> REF _Ref219921815 \r \h </w:instrText>
            </w:r>
            <w:r w:rsidR="00DC7BA0">
              <w:instrText xml:space="preserve"> \* MERGEFORMAT </w:instrText>
            </w:r>
            <w:r w:rsidR="000415D4">
              <w:fldChar w:fldCharType="separate"/>
            </w:r>
            <w:r w:rsidR="00D811A8">
              <w:rPr>
                <w:cs/>
              </w:rPr>
              <w:t>‎</w:t>
            </w:r>
            <w:r w:rsidR="00D811A8">
              <w:t>0</w:t>
            </w:r>
            <w:r w:rsidR="000415D4">
              <w:fldChar w:fldCharType="end"/>
            </w:r>
            <w:r w:rsidR="000415D4">
              <w:fldChar w:fldCharType="begin"/>
            </w:r>
            <w:r w:rsidR="000415D4">
              <w:instrText xml:space="preserve"> REF _Ref219921825 \n \h </w:instrText>
            </w:r>
            <w:r w:rsidR="00DC7BA0">
              <w:instrText xml:space="preserve"> \* MERGEFORMAT </w:instrText>
            </w:r>
            <w:r w:rsidR="000415D4">
              <w:fldChar w:fldCharType="separate"/>
            </w:r>
            <w:r w:rsidR="00D811A8">
              <w:rPr>
                <w:cs/>
              </w:rPr>
              <w:t>‎</w:t>
            </w:r>
            <w:r w:rsidR="00D811A8">
              <w:t>5.7.1.2</w:t>
            </w:r>
            <w:r w:rsidR="000415D4">
              <w:fldChar w:fldCharType="end"/>
            </w:r>
            <w:r w:rsidR="000415D4">
              <w:t xml:space="preserve"> </w:t>
            </w:r>
            <w:r>
              <w:t>at the renewal of the crediting period if activity participants cho</w:t>
            </w:r>
            <w:r w:rsidR="001B7711">
              <w:t>o</w:t>
            </w:r>
            <w:r>
              <w:t xml:space="preserve">se to determine </w:t>
            </w:r>
            <w:r w:rsidR="001B7711">
              <w:t xml:space="preserve">the </w:t>
            </w:r>
            <w:r>
              <w:t xml:space="preserve">OM </w:t>
            </w:r>
            <w:r w:rsidR="001B7711">
              <w:t>emission factor</w:t>
            </w:r>
            <w:r>
              <w:t xml:space="preserve"> ex</w:t>
            </w:r>
            <w:r w:rsidR="005A1BB7">
              <w:t> </w:t>
            </w:r>
            <w:r>
              <w:t>ante</w:t>
            </w:r>
          </w:p>
        </w:tc>
      </w:tr>
    </w:tbl>
    <w:p w14:paraId="4487CDD7" w14:textId="3D917471" w:rsidR="00925217" w:rsidRPr="008A6BFA" w:rsidRDefault="00925217" w:rsidP="007066AD">
      <w:pPr>
        <w:pStyle w:val="CaptionFullPage"/>
      </w:pPr>
      <w:bookmarkStart w:id="741" w:name="_Ref220958411"/>
      <w:r w:rsidRPr="008A6BFA">
        <w:t>Data / Parameter table</w:t>
      </w:r>
      <w:r w:rsidR="004C17BF">
        <w:t> </w:t>
      </w:r>
      <w:r>
        <w:fldChar w:fldCharType="begin"/>
      </w:r>
      <w:r>
        <w:instrText>SEQ Data_/_Parameter_table \* ARABIC</w:instrText>
      </w:r>
      <w:r>
        <w:fldChar w:fldCharType="separate"/>
      </w:r>
      <w:r w:rsidR="00D811A8">
        <w:rPr>
          <w:noProof/>
        </w:rPr>
        <w:t>6</w:t>
      </w:r>
      <w:r>
        <w:fldChar w:fldCharType="end"/>
      </w:r>
      <w:bookmarkEnd w:id="741"/>
      <w:r w:rsidRPr="008A6BFA">
        <w:t>.</w:t>
      </w:r>
    </w:p>
    <w:tbl>
      <w:tblPr>
        <w:tblStyle w:val="TableGrid"/>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470"/>
        <w:gridCol w:w="863"/>
        <w:gridCol w:w="2113"/>
        <w:gridCol w:w="2216"/>
      </w:tblGrid>
      <w:tr w:rsidR="00065EB4" w:rsidRPr="00B32E2B" w14:paraId="256B8220" w14:textId="77777777" w:rsidTr="00F36908">
        <w:trPr>
          <w:trHeight w:val="300"/>
        </w:trPr>
        <w:tc>
          <w:tcPr>
            <w:tcW w:w="2552" w:type="dxa"/>
          </w:tcPr>
          <w:p w14:paraId="28F07DC2" w14:textId="77777777" w:rsidR="00925217" w:rsidRPr="00B32E2B" w:rsidRDefault="00925217" w:rsidP="006A0691">
            <w:pPr>
              <w:pStyle w:val="SDMTableBoxParaNotNumbered"/>
              <w:keepNext/>
              <w:spacing w:before="60" w:after="60"/>
            </w:pPr>
            <w:r w:rsidRPr="00B32E2B">
              <w:t>Data/parameter</w:t>
            </w:r>
          </w:p>
        </w:tc>
        <w:tc>
          <w:tcPr>
            <w:tcW w:w="6662" w:type="dxa"/>
            <w:gridSpan w:val="4"/>
          </w:tcPr>
          <w:p w14:paraId="2D154E59" w14:textId="77777777" w:rsidR="00925217" w:rsidRPr="00B32E2B" w:rsidRDefault="00000000" w:rsidP="006A0691">
            <w:pPr>
              <w:pStyle w:val="SDMTableBoxParaNotNumbered"/>
              <w:keepNext/>
              <w:spacing w:before="60" w:after="60"/>
              <w:rPr>
                <w:i/>
                <w:iCs/>
              </w:rPr>
            </w:pPr>
            <m:oMath>
              <m:sSub>
                <m:sSubPr>
                  <m:ctrlPr>
                    <w:rPr>
                      <w:rFonts w:ascii="Cambria Math" w:hAnsi="Cambria Math"/>
                      <w:i/>
                    </w:rPr>
                  </m:ctrlPr>
                </m:sSubPr>
                <m:e>
                  <m:r>
                    <m:rPr>
                      <m:sty m:val="bi"/>
                    </m:rPr>
                    <w:rPr>
                      <w:rFonts w:ascii="Cambria Math" w:hAnsi="Cambria Math"/>
                    </w:rPr>
                    <m:t>EG</m:t>
                  </m:r>
                </m:e>
                <m:sub>
                  <m:r>
                    <m:rPr>
                      <m:sty m:val="bi"/>
                    </m:rPr>
                    <w:rPr>
                      <w:rFonts w:ascii="Cambria Math" w:hAnsi="Cambria Math"/>
                    </w:rPr>
                    <m:t>p</m:t>
                  </m:r>
                  <m:r>
                    <w:rPr>
                      <w:rFonts w:ascii="Cambria Math" w:hAnsi="Cambria Math"/>
                    </w:rPr>
                    <m:t>,</m:t>
                  </m:r>
                  <m:r>
                    <m:rPr>
                      <m:sty m:val="bi"/>
                    </m:rPr>
                    <w:rPr>
                      <w:rFonts w:ascii="Cambria Math" w:hAnsi="Cambria Math"/>
                    </w:rPr>
                    <m:t>t</m:t>
                  </m:r>
                </m:sub>
              </m:sSub>
            </m:oMath>
            <w:r w:rsidR="00170A34">
              <w:rPr>
                <w:i/>
              </w:rPr>
              <w:t xml:space="preserve"> ; </w:t>
            </w:r>
            <m:oMath>
              <m:sSub>
                <m:sSubPr>
                  <m:ctrlPr>
                    <w:rPr>
                      <w:rFonts w:ascii="Cambria Math" w:hAnsi="Cambria Math"/>
                      <w:i/>
                    </w:rPr>
                  </m:ctrlPr>
                </m:sSubPr>
                <m:e>
                  <m:r>
                    <m:rPr>
                      <m:sty m:val="bi"/>
                    </m:rPr>
                    <w:rPr>
                      <w:rFonts w:ascii="Cambria Math" w:hAnsi="Cambria Math"/>
                    </w:rPr>
                    <m:t>EG</m:t>
                  </m:r>
                </m:e>
                <m:sub>
                  <m:r>
                    <m:rPr>
                      <m:sty m:val="bi"/>
                    </m:rPr>
                    <w:rPr>
                      <w:rFonts w:ascii="Cambria Math" w:hAnsi="Cambria Math"/>
                    </w:rPr>
                    <m:t>p</m:t>
                  </m:r>
                  <m:r>
                    <w:rPr>
                      <w:rFonts w:ascii="Cambria Math" w:hAnsi="Cambria Math"/>
                    </w:rPr>
                    <m:t>,h</m:t>
                  </m:r>
                </m:sub>
              </m:sSub>
            </m:oMath>
          </w:p>
        </w:tc>
      </w:tr>
      <w:tr w:rsidR="00065EB4" w:rsidRPr="00B32E2B" w14:paraId="05AB1EB3" w14:textId="77777777" w:rsidTr="00F36908">
        <w:trPr>
          <w:trHeight w:val="300"/>
        </w:trPr>
        <w:tc>
          <w:tcPr>
            <w:tcW w:w="2552" w:type="dxa"/>
          </w:tcPr>
          <w:p w14:paraId="286BDEA4" w14:textId="77777777" w:rsidR="00925217" w:rsidRPr="00B32E2B" w:rsidRDefault="00925217" w:rsidP="00F36908">
            <w:pPr>
              <w:pStyle w:val="SDMTableBoxParaNotNumbered"/>
              <w:spacing w:before="60" w:after="60"/>
            </w:pPr>
            <w:r w:rsidRPr="00B32E2B">
              <w:t>Description</w:t>
            </w:r>
          </w:p>
        </w:tc>
        <w:tc>
          <w:tcPr>
            <w:tcW w:w="6662" w:type="dxa"/>
            <w:gridSpan w:val="4"/>
          </w:tcPr>
          <w:p w14:paraId="4D490B53" w14:textId="6A83354F" w:rsidR="00170A34" w:rsidRPr="00FE38F6" w:rsidRDefault="00000000" w:rsidP="00F36908">
            <w:pPr>
              <w:pStyle w:val="SDMTableBoxParaNotNumbered"/>
              <w:spacing w:before="60" w:after="60"/>
              <w:rPr>
                <w:rFonts w:ascii="Cambria Math" w:hAnsi="Cambria Math"/>
              </w:rPr>
            </w:pPr>
            <m:oMath>
              <m:sSub>
                <m:sSubPr>
                  <m:ctrlPr>
                    <w:rPr>
                      <w:rFonts w:ascii="Cambria Math" w:hAnsi="Cambria Math"/>
                      <w:i/>
                    </w:rPr>
                  </m:ctrlPr>
                </m:sSubPr>
                <m:e>
                  <m:r>
                    <m:rPr>
                      <m:sty m:val="bi"/>
                    </m:rPr>
                    <w:rPr>
                      <w:rFonts w:ascii="Cambria Math" w:hAnsi="Cambria Math"/>
                    </w:rPr>
                    <m:t>EG</m:t>
                  </m:r>
                </m:e>
                <m:sub>
                  <m:r>
                    <m:rPr>
                      <m:sty m:val="bi"/>
                    </m:rPr>
                    <w:rPr>
                      <w:rFonts w:ascii="Cambria Math" w:hAnsi="Cambria Math"/>
                    </w:rPr>
                    <m:t>p</m:t>
                  </m:r>
                  <m:r>
                    <w:rPr>
                      <w:rFonts w:ascii="Cambria Math" w:hAnsi="Cambria Math"/>
                    </w:rPr>
                    <m:t>,</m:t>
                  </m:r>
                  <m:r>
                    <m:rPr>
                      <m:sty m:val="bi"/>
                    </m:rPr>
                    <w:rPr>
                      <w:rFonts w:ascii="Cambria Math" w:hAnsi="Cambria Math"/>
                    </w:rPr>
                    <m:t>t</m:t>
                  </m:r>
                </m:sub>
              </m:sSub>
            </m:oMath>
            <w:r w:rsidR="00A787AE" w:rsidRPr="6BB59D32">
              <w:rPr>
                <w:b/>
                <w:bCs/>
                <w:i/>
                <w:iCs/>
              </w:rPr>
              <w:t>:</w:t>
            </w:r>
            <w:r w:rsidR="00A787AE" w:rsidRPr="6BB59D32">
              <w:rPr>
                <w:i/>
                <w:iCs/>
              </w:rPr>
              <w:t xml:space="preserve"> </w:t>
            </w:r>
            <w:r w:rsidR="4B6088EE" w:rsidRPr="6BB59D32">
              <w:t xml:space="preserve">Net quantity of </w:t>
            </w:r>
            <w:r w:rsidR="3E99BECA">
              <w:rPr>
                <w:lang w:eastAsia="en-US"/>
              </w:rPr>
              <w:t>e</w:t>
            </w:r>
            <w:r w:rsidR="00A787AE" w:rsidRPr="00B32E2B">
              <w:rPr>
                <w:lang w:eastAsia="en-US"/>
              </w:rPr>
              <w:t xml:space="preserve">lectricity generated </w:t>
            </w:r>
            <w:r w:rsidR="6B2E5E90">
              <w:rPr>
                <w:lang w:eastAsia="en-US"/>
              </w:rPr>
              <w:t xml:space="preserve">and delivered to the electricity system </w:t>
            </w:r>
            <w:r w:rsidR="36C57C20">
              <w:rPr>
                <w:lang w:eastAsia="en-US"/>
              </w:rPr>
              <w:t xml:space="preserve">by </w:t>
            </w:r>
            <w:r w:rsidR="00A787AE" w:rsidRPr="00B32E2B">
              <w:rPr>
                <w:lang w:eastAsia="en-US"/>
              </w:rPr>
              <w:t>power plant</w:t>
            </w:r>
            <w:r w:rsidR="004C17BF">
              <w:t> </w:t>
            </w:r>
            <w:r w:rsidR="00A787AE" w:rsidRPr="6BB59D32">
              <w:rPr>
                <w:i/>
                <w:iCs/>
                <w:lang w:eastAsia="en-US"/>
              </w:rPr>
              <w:t>p</w:t>
            </w:r>
            <w:r w:rsidR="00A787AE" w:rsidRPr="00B32E2B">
              <w:rPr>
                <w:lang w:eastAsia="en-US"/>
              </w:rPr>
              <w:t xml:space="preserve"> in period</w:t>
            </w:r>
            <w:r w:rsidR="004C17BF">
              <w:rPr>
                <w:lang w:eastAsia="en-US"/>
              </w:rPr>
              <w:t> </w:t>
            </w:r>
            <w:r w:rsidR="00A787AE" w:rsidRPr="6BB59D32">
              <w:rPr>
                <w:i/>
                <w:iCs/>
                <w:lang w:eastAsia="en-US"/>
              </w:rPr>
              <w:t>t</w:t>
            </w:r>
            <w:r w:rsidR="0CB58A87" w:rsidRPr="001B30EB">
              <w:rPr>
                <w:lang w:eastAsia="en-US"/>
              </w:rPr>
              <w:t xml:space="preserve"> </w:t>
            </w:r>
            <w:r w:rsidR="009823DD">
              <w:rPr>
                <w:lang w:eastAsia="en-US"/>
              </w:rPr>
              <w:t>or, where applicable,</w:t>
            </w:r>
            <w:r w:rsidR="009823DD" w:rsidRPr="001B30EB">
              <w:rPr>
                <w:lang w:eastAsia="en-US"/>
              </w:rPr>
              <w:t xml:space="preserve"> </w:t>
            </w:r>
            <w:r w:rsidR="009823DD">
              <w:rPr>
                <w:lang w:eastAsia="en-US"/>
              </w:rPr>
              <w:t>the q</w:t>
            </w:r>
            <w:r w:rsidR="325DA46F" w:rsidRPr="007D447E">
              <w:t xml:space="preserve">uantity of electricity generated </w:t>
            </w:r>
            <w:r w:rsidR="009823DD">
              <w:t>by</w:t>
            </w:r>
            <w:r w:rsidR="009823DD" w:rsidRPr="007D447E">
              <w:t xml:space="preserve"> </w:t>
            </w:r>
            <w:r w:rsidR="08043241" w:rsidRPr="007D447E">
              <w:t xml:space="preserve">fossil-fuel fired </w:t>
            </w:r>
            <w:r w:rsidR="325DA46F" w:rsidRPr="007D447E">
              <w:t>captive power plant</w:t>
            </w:r>
            <w:r w:rsidR="325DA46F" w:rsidRPr="6BB59D32">
              <w:rPr>
                <w:i/>
                <w:iCs/>
              </w:rPr>
              <w:t xml:space="preserve"> p </w:t>
            </w:r>
            <w:r w:rsidR="325DA46F" w:rsidRPr="007D447E">
              <w:t>in period</w:t>
            </w:r>
            <w:r w:rsidR="325DA46F" w:rsidRPr="6BB59D32">
              <w:rPr>
                <w:i/>
                <w:iCs/>
              </w:rPr>
              <w:t> t</w:t>
            </w:r>
            <w:r w:rsidR="000E7BD0">
              <w:rPr>
                <w:i/>
                <w:iCs/>
              </w:rPr>
              <w:t>.</w:t>
            </w:r>
          </w:p>
          <w:p w14:paraId="06444F84" w14:textId="29445121" w:rsidR="00925217" w:rsidRPr="00654C8D" w:rsidRDefault="00000000" w:rsidP="00F36908">
            <w:pPr>
              <w:pStyle w:val="SDMTableBoxParaNotNumbered"/>
              <w:spacing w:before="60" w:after="60"/>
              <w:rPr>
                <w:lang w:eastAsia="en-US"/>
              </w:rPr>
            </w:pPr>
            <m:oMath>
              <m:sSub>
                <m:sSubPr>
                  <m:ctrlPr>
                    <w:rPr>
                      <w:rFonts w:ascii="Cambria Math" w:hAnsi="Cambria Math"/>
                      <w:i/>
                    </w:rPr>
                  </m:ctrlPr>
                </m:sSubPr>
                <m:e>
                  <m:r>
                    <m:rPr>
                      <m:sty m:val="bi"/>
                    </m:rPr>
                    <w:rPr>
                      <w:rFonts w:ascii="Cambria Math" w:hAnsi="Cambria Math"/>
                    </w:rPr>
                    <m:t>EG</m:t>
                  </m:r>
                </m:e>
                <m:sub>
                  <m:r>
                    <m:rPr>
                      <m:sty m:val="bi"/>
                    </m:rPr>
                    <w:rPr>
                      <w:rFonts w:ascii="Cambria Math" w:hAnsi="Cambria Math"/>
                    </w:rPr>
                    <m:t>p</m:t>
                  </m:r>
                  <m:r>
                    <w:rPr>
                      <w:rFonts w:ascii="Cambria Math" w:hAnsi="Cambria Math"/>
                    </w:rPr>
                    <m:t>,h</m:t>
                  </m:r>
                </m:sub>
              </m:sSub>
            </m:oMath>
            <w:r w:rsidR="00A787AE" w:rsidRPr="6BB59D32">
              <w:rPr>
                <w:b/>
                <w:bCs/>
                <w:i/>
                <w:iCs/>
              </w:rPr>
              <w:t>:</w:t>
            </w:r>
            <w:r w:rsidR="00A787AE">
              <w:t xml:space="preserve"> </w:t>
            </w:r>
            <w:r w:rsidR="3E99BECA">
              <w:t xml:space="preserve">Net quantity of </w:t>
            </w:r>
            <w:r w:rsidR="3E99BECA">
              <w:rPr>
                <w:lang w:eastAsia="en-US"/>
              </w:rPr>
              <w:t>e</w:t>
            </w:r>
            <w:r w:rsidR="0C93E0BB" w:rsidRPr="00B32E2B">
              <w:rPr>
                <w:lang w:eastAsia="en-US"/>
              </w:rPr>
              <w:t xml:space="preserve">lectricity generated </w:t>
            </w:r>
            <w:r w:rsidR="325DA46F">
              <w:rPr>
                <w:lang w:eastAsia="en-US"/>
              </w:rPr>
              <w:t xml:space="preserve">and delivered to the electricity system </w:t>
            </w:r>
            <w:r w:rsidR="51314454">
              <w:rPr>
                <w:lang w:eastAsia="en-US"/>
              </w:rPr>
              <w:t xml:space="preserve">by </w:t>
            </w:r>
            <w:r w:rsidR="0C93E0BB" w:rsidRPr="00B32E2B">
              <w:rPr>
                <w:lang w:eastAsia="en-US"/>
              </w:rPr>
              <w:t>power plant</w:t>
            </w:r>
            <w:r w:rsidR="004C17BF">
              <w:t> </w:t>
            </w:r>
            <w:r w:rsidR="0C93E0BB" w:rsidRPr="6BB59D32">
              <w:rPr>
                <w:i/>
                <w:iCs/>
                <w:lang w:eastAsia="en-US"/>
              </w:rPr>
              <w:t>p</w:t>
            </w:r>
            <w:r w:rsidR="0C93E0BB" w:rsidRPr="00B32E2B">
              <w:rPr>
                <w:lang w:eastAsia="en-US"/>
              </w:rPr>
              <w:t xml:space="preserve"> in </w:t>
            </w:r>
            <w:r w:rsidR="0C93E0BB">
              <w:rPr>
                <w:lang w:eastAsia="en-US"/>
              </w:rPr>
              <w:t>hour</w:t>
            </w:r>
            <w:r w:rsidR="004C17BF">
              <w:rPr>
                <w:lang w:eastAsia="en-US"/>
              </w:rPr>
              <w:t> </w:t>
            </w:r>
            <w:r w:rsidR="0C93E0BB" w:rsidRPr="6BB59D32">
              <w:rPr>
                <w:i/>
                <w:iCs/>
                <w:lang w:eastAsia="en-US"/>
              </w:rPr>
              <w:t>h</w:t>
            </w:r>
            <w:r w:rsidR="325DA46F">
              <w:rPr>
                <w:lang w:eastAsia="en-US"/>
              </w:rPr>
              <w:t xml:space="preserve"> </w:t>
            </w:r>
            <w:r w:rsidR="000E7BD0">
              <w:rPr>
                <w:lang w:eastAsia="en-US"/>
              </w:rPr>
              <w:t>or, where applicable, the q</w:t>
            </w:r>
            <w:r w:rsidR="325DA46F" w:rsidRPr="007D447E">
              <w:t xml:space="preserve">uantity of electricity generated in </w:t>
            </w:r>
            <w:r w:rsidR="2E45C98B">
              <w:t xml:space="preserve">fossil-fuel fired </w:t>
            </w:r>
            <w:r w:rsidR="325DA46F" w:rsidRPr="007D447E">
              <w:t>captive power plant</w:t>
            </w:r>
            <w:r w:rsidR="325DA46F" w:rsidRPr="6BB59D32">
              <w:rPr>
                <w:i/>
                <w:iCs/>
              </w:rPr>
              <w:t xml:space="preserve"> p </w:t>
            </w:r>
            <w:r w:rsidR="325DA46F" w:rsidRPr="007D447E">
              <w:t xml:space="preserve">in </w:t>
            </w:r>
            <w:r w:rsidR="325DA46F">
              <w:t>hour</w:t>
            </w:r>
            <w:r w:rsidR="005A1BB7">
              <w:t> </w:t>
            </w:r>
            <w:r w:rsidR="325DA46F" w:rsidRPr="6BB59D32">
              <w:rPr>
                <w:i/>
                <w:iCs/>
              </w:rPr>
              <w:t>h</w:t>
            </w:r>
          </w:p>
        </w:tc>
      </w:tr>
      <w:tr w:rsidR="00065EB4" w:rsidRPr="00B32E2B" w14:paraId="0592CD2B" w14:textId="77777777" w:rsidTr="00F36908">
        <w:trPr>
          <w:trHeight w:val="300"/>
        </w:trPr>
        <w:tc>
          <w:tcPr>
            <w:tcW w:w="2552" w:type="dxa"/>
          </w:tcPr>
          <w:p w14:paraId="10C55ECB" w14:textId="77777777" w:rsidR="00925217" w:rsidRPr="00B32E2B" w:rsidRDefault="00925217" w:rsidP="00F36908">
            <w:pPr>
              <w:pStyle w:val="SDMTableBoxParaNotNumbered"/>
              <w:spacing w:before="60" w:after="60"/>
            </w:pPr>
            <w:r w:rsidRPr="00B32E2B">
              <w:t>Data unit</w:t>
            </w:r>
          </w:p>
        </w:tc>
        <w:tc>
          <w:tcPr>
            <w:tcW w:w="6662" w:type="dxa"/>
            <w:gridSpan w:val="4"/>
          </w:tcPr>
          <w:p w14:paraId="083BEBF5" w14:textId="77777777" w:rsidR="00924518" w:rsidRDefault="00000000" w:rsidP="00F36908">
            <w:pPr>
              <w:pStyle w:val="SDMTableBoxParaNotNumbered"/>
              <w:spacing w:before="60" w:after="60"/>
              <w:rPr>
                <w:lang w:eastAsia="en-US"/>
              </w:rPr>
            </w:pPr>
            <m:oMath>
              <m:sSub>
                <m:sSubPr>
                  <m:ctrlPr>
                    <w:rPr>
                      <w:rFonts w:ascii="Cambria Math" w:hAnsi="Cambria Math"/>
                      <w:i/>
                    </w:rPr>
                  </m:ctrlPr>
                </m:sSubPr>
                <m:e>
                  <m:r>
                    <m:rPr>
                      <m:sty m:val="bi"/>
                    </m:rPr>
                    <w:rPr>
                      <w:rFonts w:ascii="Cambria Math" w:hAnsi="Cambria Math"/>
                    </w:rPr>
                    <m:t>EG</m:t>
                  </m:r>
                </m:e>
                <m:sub>
                  <m:r>
                    <m:rPr>
                      <m:sty m:val="bi"/>
                    </m:rPr>
                    <w:rPr>
                      <w:rFonts w:ascii="Cambria Math" w:hAnsi="Cambria Math"/>
                    </w:rPr>
                    <m:t>p</m:t>
                  </m:r>
                  <m:r>
                    <w:rPr>
                      <w:rFonts w:ascii="Cambria Math" w:hAnsi="Cambria Math"/>
                    </w:rPr>
                    <m:t>,</m:t>
                  </m:r>
                  <m:r>
                    <m:rPr>
                      <m:sty m:val="bi"/>
                    </m:rPr>
                    <w:rPr>
                      <w:rFonts w:ascii="Cambria Math" w:hAnsi="Cambria Math"/>
                    </w:rPr>
                    <m:t>t</m:t>
                  </m:r>
                </m:sub>
              </m:sSub>
            </m:oMath>
            <w:r w:rsidR="0009052F" w:rsidRPr="007A3923">
              <w:rPr>
                <w:b/>
                <w:bCs/>
                <w:i/>
              </w:rPr>
              <w:t>:</w:t>
            </w:r>
            <w:r w:rsidR="0009052F">
              <w:rPr>
                <w:i/>
              </w:rPr>
              <w:t xml:space="preserve"> </w:t>
            </w:r>
            <w:r w:rsidR="0009052F">
              <w:rPr>
                <w:lang w:eastAsia="en-US"/>
              </w:rPr>
              <w:t>MWh</w:t>
            </w:r>
            <w:r w:rsidR="009E68DE">
              <w:rPr>
                <w:lang w:eastAsia="en-US"/>
              </w:rPr>
              <w:t xml:space="preserve"> </w:t>
            </w:r>
            <w:r w:rsidR="009E68DE" w:rsidRPr="007D447E">
              <w:t>in period</w:t>
            </w:r>
            <w:r w:rsidR="009E68DE" w:rsidRPr="6BB59D32">
              <w:rPr>
                <w:i/>
                <w:iCs/>
              </w:rPr>
              <w:t> t</w:t>
            </w:r>
          </w:p>
          <w:p w14:paraId="66DB492A" w14:textId="34FA7A8B" w:rsidR="00925217" w:rsidRPr="00B32E2B" w:rsidRDefault="00000000" w:rsidP="00F36908">
            <w:pPr>
              <w:pStyle w:val="SDMTableBoxParaNotNumbered"/>
              <w:spacing w:before="60" w:after="60"/>
            </w:pPr>
            <m:oMath>
              <m:sSub>
                <m:sSubPr>
                  <m:ctrlPr>
                    <w:rPr>
                      <w:rFonts w:ascii="Cambria Math" w:hAnsi="Cambria Math"/>
                      <w:i/>
                    </w:rPr>
                  </m:ctrlPr>
                </m:sSubPr>
                <m:e>
                  <m:r>
                    <m:rPr>
                      <m:sty m:val="bi"/>
                    </m:rPr>
                    <w:rPr>
                      <w:rFonts w:ascii="Cambria Math" w:hAnsi="Cambria Math"/>
                    </w:rPr>
                    <m:t>EG</m:t>
                  </m:r>
                </m:e>
                <m:sub>
                  <m:r>
                    <m:rPr>
                      <m:sty m:val="bi"/>
                    </m:rPr>
                    <w:rPr>
                      <w:rFonts w:ascii="Cambria Math" w:hAnsi="Cambria Math"/>
                    </w:rPr>
                    <m:t>p</m:t>
                  </m:r>
                  <m:r>
                    <w:rPr>
                      <w:rFonts w:ascii="Cambria Math" w:hAnsi="Cambria Math"/>
                    </w:rPr>
                    <m:t>,h</m:t>
                  </m:r>
                </m:sub>
              </m:sSub>
            </m:oMath>
            <w:r w:rsidR="0009052F" w:rsidRPr="007A3923">
              <w:rPr>
                <w:b/>
                <w:bCs/>
                <w:i/>
                <w:iCs/>
              </w:rPr>
              <w:t>:</w:t>
            </w:r>
            <w:r w:rsidR="0009052F">
              <w:t xml:space="preserve"> </w:t>
            </w:r>
            <w:r w:rsidR="00216E40">
              <w:rPr>
                <w:lang w:eastAsia="en-US"/>
              </w:rPr>
              <w:t>MWh</w:t>
            </w:r>
            <w:r w:rsidR="009E68DE">
              <w:t xml:space="preserve"> in hour</w:t>
            </w:r>
            <w:r w:rsidR="004C17BF">
              <w:t> </w:t>
            </w:r>
            <w:r w:rsidR="009E68DE">
              <w:rPr>
                <w:i/>
                <w:iCs/>
              </w:rPr>
              <w:t>h</w:t>
            </w:r>
          </w:p>
        </w:tc>
      </w:tr>
      <w:tr w:rsidR="00065EB4" w:rsidRPr="00B32E2B" w14:paraId="6D0BB50E" w14:textId="77777777" w:rsidTr="00F36908">
        <w:trPr>
          <w:trHeight w:val="300"/>
        </w:trPr>
        <w:tc>
          <w:tcPr>
            <w:tcW w:w="2552" w:type="dxa"/>
          </w:tcPr>
          <w:p w14:paraId="6BD5963A" w14:textId="77777777" w:rsidR="00925217" w:rsidRPr="00B32E2B" w:rsidRDefault="00925217" w:rsidP="00F36908">
            <w:pPr>
              <w:pStyle w:val="SDMTableBoxParaNotNumbered"/>
              <w:spacing w:before="60" w:after="60"/>
            </w:pPr>
            <w:r w:rsidRPr="00B32E2B">
              <w:t>Equations referred</w:t>
            </w:r>
          </w:p>
        </w:tc>
        <w:tc>
          <w:tcPr>
            <w:tcW w:w="6662" w:type="dxa"/>
            <w:gridSpan w:val="4"/>
            <w:tcBorders>
              <w:bottom w:val="single" w:sz="4" w:space="0" w:color="auto"/>
            </w:tcBorders>
          </w:tcPr>
          <w:p w14:paraId="7BF12454" w14:textId="77777777" w:rsidR="00925217" w:rsidRPr="00B32E2B" w:rsidRDefault="00925217" w:rsidP="00F36908">
            <w:pPr>
              <w:pStyle w:val="SDMTableBoxParaNotNumbered"/>
              <w:spacing w:before="60" w:after="60"/>
            </w:pPr>
          </w:p>
        </w:tc>
      </w:tr>
      <w:tr w:rsidR="00241146" w:rsidRPr="00131981" w14:paraId="3238A00A" w14:textId="77777777" w:rsidTr="00F36908">
        <w:trPr>
          <w:trHeight w:val="300"/>
        </w:trPr>
        <w:tc>
          <w:tcPr>
            <w:tcW w:w="2552" w:type="dxa"/>
            <w:tcBorders>
              <w:right w:val="single" w:sz="4" w:space="0" w:color="auto"/>
            </w:tcBorders>
          </w:tcPr>
          <w:p w14:paraId="6D8FEA7C" w14:textId="77777777" w:rsidR="00241146" w:rsidRPr="00131981" w:rsidRDefault="00241146" w:rsidP="00F36908">
            <w:pPr>
              <w:pStyle w:val="SDMTableBoxParaNotNumbered"/>
              <w:spacing w:before="60" w:after="60"/>
            </w:pPr>
            <w:r w:rsidRPr="00131981">
              <w:t>Purpose of data</w:t>
            </w:r>
          </w:p>
        </w:tc>
        <w:tc>
          <w:tcPr>
            <w:tcW w:w="2333" w:type="dxa"/>
            <w:gridSpan w:val="2"/>
            <w:tcBorders>
              <w:left w:val="single" w:sz="4" w:space="0" w:color="auto"/>
              <w:right w:val="nil"/>
            </w:tcBorders>
          </w:tcPr>
          <w:p w14:paraId="4523784E" w14:textId="77777777" w:rsidR="00241146" w:rsidRPr="005D7E1B" w:rsidRDefault="00241146" w:rsidP="00F36908">
            <w:pPr>
              <w:pStyle w:val="SDMTableBoxParaNotNumbered"/>
              <w:spacing w:before="60" w:after="60"/>
            </w:pPr>
            <w:r w:rsidRPr="005D7E1B">
              <w:rPr>
                <w:rFonts w:asciiTheme="minorBidi" w:hAnsiTheme="minorBidi" w:cstheme="minorBidi"/>
                <w:shd w:val="clear" w:color="auto" w:fill="E6E6E6"/>
              </w:rPr>
              <w:fldChar w:fldCharType="begin">
                <w:ffData>
                  <w:name w:val=""/>
                  <w:enabled/>
                  <w:calcOnExit w:val="0"/>
                  <w:checkBox>
                    <w:size w:val="20"/>
                    <w:default w:val="1"/>
                  </w:checkBox>
                </w:ffData>
              </w:fldChar>
            </w:r>
            <w:r w:rsidRPr="005D7E1B">
              <w:rPr>
                <w:rFonts w:asciiTheme="minorBidi" w:hAnsiTheme="minorBidi" w:cstheme="minorBidi"/>
                <w:shd w:val="clear" w:color="auto" w:fill="E6E6E6"/>
              </w:rPr>
              <w:instrText xml:space="preserve"> FORMCHECKBOX </w:instrText>
            </w:r>
            <w:r w:rsidR="00000000">
              <w:rPr>
                <w:rFonts w:asciiTheme="minorBidi" w:hAnsiTheme="minorBidi" w:cstheme="minorBidi"/>
                <w:shd w:val="clear" w:color="auto" w:fill="E6E6E6"/>
              </w:rPr>
            </w:r>
            <w:r w:rsidR="00000000">
              <w:rPr>
                <w:rFonts w:asciiTheme="minorBidi" w:hAnsiTheme="minorBidi" w:cstheme="minorBidi"/>
                <w:shd w:val="clear" w:color="auto" w:fill="E6E6E6"/>
              </w:rPr>
              <w:fldChar w:fldCharType="separate"/>
            </w:r>
            <w:r w:rsidRPr="005D7E1B">
              <w:rPr>
                <w:rFonts w:asciiTheme="minorBidi" w:hAnsiTheme="minorBidi" w:cstheme="minorBidi"/>
                <w:shd w:val="clear" w:color="auto" w:fill="E6E6E6"/>
              </w:rPr>
              <w:fldChar w:fldCharType="end"/>
            </w:r>
            <w:r>
              <w:rPr>
                <w:rFonts w:asciiTheme="minorBidi" w:hAnsiTheme="minorBidi" w:cstheme="minorBidi"/>
                <w:shd w:val="clear" w:color="auto" w:fill="E6E6E6"/>
              </w:rPr>
              <w:t xml:space="preserve"> </w:t>
            </w:r>
            <w:r w:rsidRPr="005D7E1B">
              <w:rPr>
                <w:rFonts w:asciiTheme="minorBidi" w:hAnsiTheme="minorBidi" w:cstheme="minorBidi"/>
              </w:rPr>
              <w:t>Baseline emissions</w:t>
            </w:r>
          </w:p>
        </w:tc>
        <w:tc>
          <w:tcPr>
            <w:tcW w:w="2113" w:type="dxa"/>
            <w:tcBorders>
              <w:left w:val="nil"/>
              <w:right w:val="nil"/>
            </w:tcBorders>
          </w:tcPr>
          <w:p w14:paraId="7CCB197B" w14:textId="77777777" w:rsidR="00241146" w:rsidRPr="005D7E1B" w:rsidRDefault="00241146" w:rsidP="00F36908">
            <w:pPr>
              <w:pStyle w:val="SDMTableBoxParaNotNumbered"/>
              <w:spacing w:before="60" w:after="60"/>
            </w:pPr>
            <w:r w:rsidRPr="005D7E1B">
              <w:rPr>
                <w:rFonts w:asciiTheme="minorBidi" w:hAnsiTheme="minorBidi" w:cstheme="minorBidi"/>
                <w:shd w:val="clear" w:color="auto" w:fill="E6E6E6"/>
              </w:rPr>
              <w:fldChar w:fldCharType="begin">
                <w:ffData>
                  <w:name w:val=""/>
                  <w:enabled/>
                  <w:calcOnExit w:val="0"/>
                  <w:checkBox>
                    <w:size w:val="20"/>
                    <w:default w:val="1"/>
                  </w:checkBox>
                </w:ffData>
              </w:fldChar>
            </w:r>
            <w:r w:rsidRPr="005D7E1B">
              <w:rPr>
                <w:rFonts w:asciiTheme="minorBidi" w:hAnsiTheme="minorBidi" w:cstheme="minorBidi"/>
                <w:shd w:val="clear" w:color="auto" w:fill="E6E6E6"/>
              </w:rPr>
              <w:instrText xml:space="preserve"> FORMCHECKBOX </w:instrText>
            </w:r>
            <w:r w:rsidR="00000000">
              <w:rPr>
                <w:rFonts w:asciiTheme="minorBidi" w:hAnsiTheme="minorBidi" w:cstheme="minorBidi"/>
                <w:shd w:val="clear" w:color="auto" w:fill="E6E6E6"/>
              </w:rPr>
            </w:r>
            <w:r w:rsidR="00000000">
              <w:rPr>
                <w:rFonts w:asciiTheme="minorBidi" w:hAnsiTheme="minorBidi" w:cstheme="minorBidi"/>
                <w:shd w:val="clear" w:color="auto" w:fill="E6E6E6"/>
              </w:rPr>
              <w:fldChar w:fldCharType="separate"/>
            </w:r>
            <w:r w:rsidRPr="005D7E1B">
              <w:rPr>
                <w:rFonts w:asciiTheme="minorBidi" w:hAnsiTheme="minorBidi" w:cstheme="minorBidi"/>
                <w:shd w:val="clear" w:color="auto" w:fill="E6E6E6"/>
              </w:rPr>
              <w:fldChar w:fldCharType="end"/>
            </w:r>
            <w:r w:rsidRPr="3161B3F5">
              <w:rPr>
                <w:rFonts w:asciiTheme="minorBidi" w:hAnsiTheme="minorBidi" w:cstheme="minorBidi"/>
              </w:rPr>
              <w:fldChar w:fldCharType="begin"/>
            </w:r>
            <w:r w:rsidRPr="3161B3F5">
              <w:rPr>
                <w:rFonts w:asciiTheme="minorBidi" w:hAnsiTheme="minorBidi" w:cstheme="minorBidi"/>
              </w:rPr>
              <w:instrText xml:space="preserve"> FORMCHECKBOX </w:instrText>
            </w:r>
            <w:r w:rsidR="00000000">
              <w:rPr>
                <w:rFonts w:asciiTheme="minorBidi" w:hAnsiTheme="minorBidi" w:cstheme="minorBidi"/>
              </w:rPr>
              <w:fldChar w:fldCharType="separate"/>
            </w:r>
            <w:r w:rsidRPr="3161B3F5">
              <w:rPr>
                <w:rFonts w:asciiTheme="minorBidi" w:hAnsiTheme="minorBidi" w:cstheme="minorBidi"/>
              </w:rPr>
              <w:fldChar w:fldCharType="end"/>
            </w:r>
            <w:r w:rsidRPr="005D7E1B">
              <w:rPr>
                <w:rFonts w:asciiTheme="minorBidi" w:hAnsiTheme="minorBidi" w:cstheme="minorBidi"/>
              </w:rPr>
              <w:t xml:space="preserve"> Project emissions</w:t>
            </w:r>
          </w:p>
        </w:tc>
        <w:tc>
          <w:tcPr>
            <w:tcW w:w="2216" w:type="dxa"/>
            <w:tcBorders>
              <w:left w:val="nil"/>
            </w:tcBorders>
          </w:tcPr>
          <w:p w14:paraId="169D7906" w14:textId="77777777" w:rsidR="00241146" w:rsidRPr="005D7E1B" w:rsidRDefault="00241146" w:rsidP="00F36908">
            <w:pPr>
              <w:pStyle w:val="SDMTableBoxParaNotNumbered"/>
              <w:spacing w:before="60" w:after="60"/>
            </w:pPr>
            <w:r w:rsidRPr="005D7E1B">
              <w:rPr>
                <w:rFonts w:asciiTheme="minorBidi" w:hAnsiTheme="minorBidi" w:cstheme="minorBidi"/>
                <w:shd w:val="clear" w:color="auto" w:fill="E6E6E6"/>
              </w:rPr>
              <w:fldChar w:fldCharType="begin">
                <w:ffData>
                  <w:name w:val=""/>
                  <w:enabled/>
                  <w:calcOnExit w:val="0"/>
                  <w:checkBox>
                    <w:size w:val="20"/>
                    <w:default w:val="1"/>
                  </w:checkBox>
                </w:ffData>
              </w:fldChar>
            </w:r>
            <w:r w:rsidRPr="005D7E1B">
              <w:rPr>
                <w:rFonts w:asciiTheme="minorBidi" w:hAnsiTheme="minorBidi" w:cstheme="minorBidi"/>
                <w:shd w:val="clear" w:color="auto" w:fill="E6E6E6"/>
              </w:rPr>
              <w:instrText xml:space="preserve"> FORMCHECKBOX </w:instrText>
            </w:r>
            <w:r w:rsidR="00000000">
              <w:rPr>
                <w:rFonts w:asciiTheme="minorBidi" w:hAnsiTheme="minorBidi" w:cstheme="minorBidi"/>
                <w:shd w:val="clear" w:color="auto" w:fill="E6E6E6"/>
              </w:rPr>
            </w:r>
            <w:r w:rsidR="00000000">
              <w:rPr>
                <w:rFonts w:asciiTheme="minorBidi" w:hAnsiTheme="minorBidi" w:cstheme="minorBidi"/>
                <w:shd w:val="clear" w:color="auto" w:fill="E6E6E6"/>
              </w:rPr>
              <w:fldChar w:fldCharType="separate"/>
            </w:r>
            <w:r w:rsidRPr="005D7E1B">
              <w:rPr>
                <w:rFonts w:asciiTheme="minorBidi" w:hAnsiTheme="minorBidi" w:cstheme="minorBidi"/>
                <w:shd w:val="clear" w:color="auto" w:fill="E6E6E6"/>
              </w:rPr>
              <w:fldChar w:fldCharType="end"/>
            </w:r>
            <w:r w:rsidRPr="3161B3F5">
              <w:rPr>
                <w:rFonts w:asciiTheme="minorBidi" w:hAnsiTheme="minorBidi" w:cstheme="minorBidi"/>
              </w:rPr>
              <w:fldChar w:fldCharType="begin"/>
            </w:r>
            <w:r w:rsidRPr="3161B3F5">
              <w:rPr>
                <w:rFonts w:asciiTheme="minorBidi" w:hAnsiTheme="minorBidi" w:cstheme="minorBidi"/>
              </w:rPr>
              <w:instrText xml:space="preserve"> FORMCHECKBOX </w:instrText>
            </w:r>
            <w:r w:rsidR="00000000">
              <w:rPr>
                <w:rFonts w:asciiTheme="minorBidi" w:hAnsiTheme="minorBidi" w:cstheme="minorBidi"/>
              </w:rPr>
              <w:fldChar w:fldCharType="separate"/>
            </w:r>
            <w:r w:rsidRPr="3161B3F5">
              <w:rPr>
                <w:rFonts w:asciiTheme="minorBidi" w:hAnsiTheme="minorBidi" w:cstheme="minorBidi"/>
              </w:rPr>
              <w:fldChar w:fldCharType="end"/>
            </w:r>
            <w:r w:rsidRPr="005D7E1B">
              <w:rPr>
                <w:rFonts w:asciiTheme="minorBidi" w:hAnsiTheme="minorBidi" w:cstheme="minorBidi"/>
              </w:rPr>
              <w:t xml:space="preserve"> Leakage emissions</w:t>
            </w:r>
          </w:p>
        </w:tc>
      </w:tr>
      <w:tr w:rsidR="00065EB4" w:rsidRPr="00B32E2B" w14:paraId="2D79BFFC" w14:textId="77777777" w:rsidTr="00F36908">
        <w:trPr>
          <w:trHeight w:val="300"/>
        </w:trPr>
        <w:tc>
          <w:tcPr>
            <w:tcW w:w="2552" w:type="dxa"/>
          </w:tcPr>
          <w:p w14:paraId="380D9DE6" w14:textId="77777777" w:rsidR="00925217" w:rsidRPr="00B32E2B" w:rsidRDefault="71BBC291" w:rsidP="00F36908">
            <w:pPr>
              <w:pStyle w:val="SDMTableBoxParaNotNumbered"/>
              <w:spacing w:before="60" w:after="60"/>
            </w:pPr>
            <w:r>
              <w:t>Measurement and updating frequency</w:t>
            </w:r>
          </w:p>
        </w:tc>
        <w:tc>
          <w:tcPr>
            <w:tcW w:w="6662" w:type="dxa"/>
            <w:gridSpan w:val="4"/>
          </w:tcPr>
          <w:p w14:paraId="3377CC38" w14:textId="77777777" w:rsidR="00F74E46" w:rsidRDefault="00000000" w:rsidP="00F36908">
            <w:pPr>
              <w:pStyle w:val="SDMTableBoxParaNotNumbered"/>
              <w:spacing w:before="60" w:after="60"/>
              <w:rPr>
                <w:i/>
                <w:iCs/>
                <w:lang w:eastAsia="en-US"/>
              </w:rPr>
            </w:pPr>
            <m:oMath>
              <m:sSub>
                <m:sSubPr>
                  <m:ctrlPr>
                    <w:rPr>
                      <w:rFonts w:ascii="Cambria Math" w:hAnsi="Cambria Math"/>
                      <w:i/>
                    </w:rPr>
                  </m:ctrlPr>
                </m:sSubPr>
                <m:e>
                  <m:r>
                    <m:rPr>
                      <m:sty m:val="bi"/>
                    </m:rPr>
                    <w:rPr>
                      <w:rFonts w:ascii="Cambria Math" w:hAnsi="Cambria Math"/>
                    </w:rPr>
                    <m:t>EG</m:t>
                  </m:r>
                </m:e>
                <m:sub>
                  <m:r>
                    <m:rPr>
                      <m:sty m:val="bi"/>
                    </m:rPr>
                    <w:rPr>
                      <w:rFonts w:ascii="Cambria Math" w:hAnsi="Cambria Math"/>
                    </w:rPr>
                    <m:t>p,t</m:t>
                  </m:r>
                </m:sub>
              </m:sSub>
            </m:oMath>
            <w:r w:rsidR="6DC055E6" w:rsidRPr="6BB59D32">
              <w:rPr>
                <w:b/>
                <w:bCs/>
                <w:i/>
                <w:iCs/>
              </w:rPr>
              <w:t>:</w:t>
            </w:r>
            <w:r w:rsidR="6DC055E6">
              <w:t xml:space="preserve"> </w:t>
            </w:r>
            <w:r w:rsidR="6DC055E6" w:rsidRPr="00E33DD3">
              <w:t>Continuous measurement and at least monthly recording</w:t>
            </w:r>
          </w:p>
          <w:p w14:paraId="33A3C999" w14:textId="3CA8D172" w:rsidR="00925217" w:rsidRPr="00B32E2B" w:rsidRDefault="00000000" w:rsidP="00F36908">
            <w:pPr>
              <w:pStyle w:val="SDMTableBoxParaNotNumbered"/>
              <w:spacing w:before="60" w:after="60"/>
            </w:pPr>
            <m:oMath>
              <m:sSub>
                <m:sSubPr>
                  <m:ctrlPr>
                    <w:rPr>
                      <w:rFonts w:ascii="Cambria Math" w:hAnsi="Cambria Math"/>
                      <w:i/>
                    </w:rPr>
                  </m:ctrlPr>
                </m:sSubPr>
                <m:e>
                  <m:r>
                    <m:rPr>
                      <m:sty m:val="bi"/>
                    </m:rPr>
                    <w:rPr>
                      <w:rFonts w:ascii="Cambria Math" w:hAnsi="Cambria Math"/>
                    </w:rPr>
                    <m:t>EG</m:t>
                  </m:r>
                </m:e>
                <m:sub>
                  <m:r>
                    <m:rPr>
                      <m:sty m:val="bi"/>
                    </m:rPr>
                    <w:rPr>
                      <w:rFonts w:ascii="Cambria Math" w:hAnsi="Cambria Math"/>
                    </w:rPr>
                    <m:t>p</m:t>
                  </m:r>
                  <m:r>
                    <w:rPr>
                      <w:rFonts w:ascii="Cambria Math" w:hAnsi="Cambria Math"/>
                    </w:rPr>
                    <m:t>,</m:t>
                  </m:r>
                  <m:r>
                    <m:rPr>
                      <m:sty m:val="bi"/>
                    </m:rPr>
                    <w:rPr>
                      <w:rFonts w:ascii="Cambria Math" w:hAnsi="Cambria Math"/>
                    </w:rPr>
                    <m:t>h</m:t>
                  </m:r>
                </m:sub>
              </m:sSub>
            </m:oMath>
            <w:r w:rsidR="6DC055E6" w:rsidRPr="6BB59D32">
              <w:rPr>
                <w:b/>
                <w:bCs/>
                <w:i/>
                <w:iCs/>
              </w:rPr>
              <w:t>:</w:t>
            </w:r>
            <w:r w:rsidR="6DC055E6" w:rsidRPr="6BB59D32">
              <w:rPr>
                <w:i/>
                <w:iCs/>
              </w:rPr>
              <w:t xml:space="preserve"> </w:t>
            </w:r>
            <w:r w:rsidR="6DC055E6" w:rsidRPr="00E33DD3">
              <w:t xml:space="preserve">Continuous measurement and at least </w:t>
            </w:r>
            <w:r w:rsidR="6DC055E6">
              <w:t xml:space="preserve">hourly </w:t>
            </w:r>
            <w:r w:rsidR="6DC055E6" w:rsidRPr="00E33DD3">
              <w:t>recording</w:t>
            </w:r>
          </w:p>
        </w:tc>
      </w:tr>
      <w:tr w:rsidR="00065EB4" w:rsidRPr="00B32E2B" w14:paraId="4ACA980D" w14:textId="77777777" w:rsidTr="00F36908">
        <w:trPr>
          <w:trHeight w:val="300"/>
        </w:trPr>
        <w:tc>
          <w:tcPr>
            <w:tcW w:w="2552" w:type="dxa"/>
          </w:tcPr>
          <w:p w14:paraId="32C6F260" w14:textId="77777777" w:rsidR="00925217" w:rsidRPr="00B32E2B" w:rsidRDefault="00925217" w:rsidP="00F36908">
            <w:pPr>
              <w:pStyle w:val="SDMTableBoxParaNotNumbered"/>
              <w:spacing w:before="60" w:after="60"/>
            </w:pPr>
            <w:r w:rsidRPr="00B32E2B">
              <w:t>Measurement methods and procedures</w:t>
            </w:r>
          </w:p>
        </w:tc>
        <w:tc>
          <w:tcPr>
            <w:tcW w:w="6662" w:type="dxa"/>
            <w:gridSpan w:val="4"/>
          </w:tcPr>
          <w:p w14:paraId="154D1FD3" w14:textId="0B27CD07" w:rsidR="00925217" w:rsidRPr="00B32E2B" w:rsidRDefault="00925217" w:rsidP="00F36908">
            <w:pPr>
              <w:pStyle w:val="SDMTableBoxParaNotNumbered"/>
              <w:spacing w:before="60" w:after="60"/>
            </w:pPr>
            <w:r w:rsidRPr="00B32E2B">
              <w:t xml:space="preserve">Direct measurement or </w:t>
            </w:r>
            <w:r w:rsidR="00DE589D" w:rsidRPr="00B32E2B">
              <w:t>calculat</w:t>
            </w:r>
            <w:r w:rsidR="00DE589D">
              <w:t>ion</w:t>
            </w:r>
            <w:r w:rsidR="00DE589D" w:rsidRPr="00B32E2B">
              <w:t xml:space="preserve"> </w:t>
            </w:r>
            <w:r w:rsidRPr="00B32E2B">
              <w:t>based on measurements from more than one electricity meter</w:t>
            </w:r>
          </w:p>
        </w:tc>
      </w:tr>
      <w:tr w:rsidR="00065EB4" w:rsidRPr="00B32E2B" w14:paraId="07772528" w14:textId="77777777" w:rsidTr="00F36908">
        <w:trPr>
          <w:trHeight w:val="107"/>
        </w:trPr>
        <w:tc>
          <w:tcPr>
            <w:tcW w:w="2552" w:type="dxa"/>
          </w:tcPr>
          <w:p w14:paraId="5937FF9D" w14:textId="77777777" w:rsidR="00925217" w:rsidRPr="00B32E2B" w:rsidRDefault="00925217" w:rsidP="00F36908">
            <w:pPr>
              <w:pStyle w:val="SDMTableBoxParaNotNumbered"/>
              <w:spacing w:before="60" w:after="60"/>
            </w:pPr>
            <w:r w:rsidRPr="00B32E2B">
              <w:t>Entity/person responsible for the measurement</w:t>
            </w:r>
          </w:p>
        </w:tc>
        <w:tc>
          <w:tcPr>
            <w:tcW w:w="6662" w:type="dxa"/>
            <w:gridSpan w:val="4"/>
          </w:tcPr>
          <w:p w14:paraId="54562285" w14:textId="77777777" w:rsidR="00925217" w:rsidRPr="00B32E2B" w:rsidRDefault="00925217" w:rsidP="00F36908">
            <w:pPr>
              <w:pStyle w:val="SDMTableBoxParaNotNumbered"/>
              <w:spacing w:before="60" w:after="60"/>
            </w:pPr>
            <w:r w:rsidRPr="00B32E2B">
              <w:t>Activity participants</w:t>
            </w:r>
          </w:p>
        </w:tc>
      </w:tr>
      <w:tr w:rsidR="00F412BF" w:rsidRPr="00B32E2B" w14:paraId="4976FB9D" w14:textId="77777777" w:rsidTr="00F36908">
        <w:trPr>
          <w:trHeight w:val="107"/>
        </w:trPr>
        <w:tc>
          <w:tcPr>
            <w:tcW w:w="2552" w:type="dxa"/>
            <w:vMerge w:val="restart"/>
          </w:tcPr>
          <w:p w14:paraId="00D92509" w14:textId="77777777" w:rsidR="00925217" w:rsidRPr="00B32E2B" w:rsidRDefault="00925217" w:rsidP="00F36908">
            <w:pPr>
              <w:pStyle w:val="SDMTableBoxParaNotNumbered"/>
              <w:spacing w:before="60" w:after="60"/>
            </w:pPr>
            <w:r w:rsidRPr="00B32E2B">
              <w:t>Measuring instrument(s)</w:t>
            </w:r>
          </w:p>
        </w:tc>
        <w:tc>
          <w:tcPr>
            <w:tcW w:w="1470" w:type="dxa"/>
          </w:tcPr>
          <w:p w14:paraId="256E71E9" w14:textId="77777777" w:rsidR="00925217" w:rsidRPr="00B32E2B" w:rsidRDefault="00925217" w:rsidP="00F36908">
            <w:pPr>
              <w:pStyle w:val="SDMTableBoxParaNotNumbered"/>
              <w:spacing w:before="60" w:after="60"/>
              <w:rPr>
                <w:i/>
                <w:iCs/>
              </w:rPr>
            </w:pPr>
            <w:r w:rsidRPr="00B32E2B">
              <w:rPr>
                <w:i/>
                <w:iCs/>
              </w:rPr>
              <w:t>Type of instrument</w:t>
            </w:r>
          </w:p>
        </w:tc>
        <w:tc>
          <w:tcPr>
            <w:tcW w:w="5192" w:type="dxa"/>
            <w:gridSpan w:val="3"/>
          </w:tcPr>
          <w:p w14:paraId="1914AE7F" w14:textId="77777777" w:rsidR="00925217" w:rsidRPr="00B32E2B" w:rsidRDefault="00925217" w:rsidP="00F36908">
            <w:pPr>
              <w:pStyle w:val="SDMTableBoxParaNotNumbered"/>
              <w:spacing w:before="60" w:after="60"/>
            </w:pPr>
            <w:r w:rsidRPr="00B32E2B">
              <w:t>Electricity-meter(s)</w:t>
            </w:r>
          </w:p>
        </w:tc>
      </w:tr>
      <w:tr w:rsidR="00F412BF" w:rsidRPr="00B32E2B" w14:paraId="6D88956E" w14:textId="77777777" w:rsidTr="00F36908">
        <w:trPr>
          <w:trHeight w:val="104"/>
        </w:trPr>
        <w:tc>
          <w:tcPr>
            <w:tcW w:w="2552" w:type="dxa"/>
            <w:vMerge/>
          </w:tcPr>
          <w:p w14:paraId="749FA470" w14:textId="77777777" w:rsidR="00925217" w:rsidRPr="00B32E2B" w:rsidRDefault="00925217" w:rsidP="00F36908">
            <w:pPr>
              <w:pStyle w:val="SDMTableBoxParaNotNumbered"/>
              <w:spacing w:before="60" w:after="60"/>
            </w:pPr>
          </w:p>
        </w:tc>
        <w:tc>
          <w:tcPr>
            <w:tcW w:w="1470" w:type="dxa"/>
          </w:tcPr>
          <w:p w14:paraId="2B746283" w14:textId="77777777" w:rsidR="00925217" w:rsidRPr="00B32E2B" w:rsidRDefault="00925217" w:rsidP="00F36908">
            <w:pPr>
              <w:pStyle w:val="SDMTableBoxParaNotNumbered"/>
              <w:spacing w:before="60" w:after="60"/>
              <w:rPr>
                <w:i/>
                <w:iCs/>
              </w:rPr>
            </w:pPr>
            <w:r w:rsidRPr="00B32E2B">
              <w:rPr>
                <w:i/>
                <w:iCs/>
              </w:rPr>
              <w:t>Accuracy class</w:t>
            </w:r>
          </w:p>
        </w:tc>
        <w:tc>
          <w:tcPr>
            <w:tcW w:w="5192" w:type="dxa"/>
            <w:gridSpan w:val="3"/>
          </w:tcPr>
          <w:p w14:paraId="2AF3FEF4" w14:textId="120739E5" w:rsidR="00925217" w:rsidRPr="00B32E2B" w:rsidRDefault="12865A3D" w:rsidP="00F36908">
            <w:pPr>
              <w:pStyle w:val="SDMTableBoxParaNotNumbered"/>
              <w:spacing w:before="60" w:after="60"/>
            </w:pPr>
            <w:r>
              <w:t xml:space="preserve">At least </w:t>
            </w:r>
            <w:r w:rsidR="00DE589D">
              <w:t xml:space="preserve">accuracy class </w:t>
            </w:r>
            <w:r>
              <w:t xml:space="preserve">0.5, or in accordance with the </w:t>
            </w:r>
            <w:r w:rsidR="00DE589D">
              <w:t xml:space="preserve">specifications </w:t>
            </w:r>
            <w:r>
              <w:t>of the meter supplier or national requirements</w:t>
            </w:r>
          </w:p>
        </w:tc>
      </w:tr>
      <w:tr w:rsidR="00F412BF" w:rsidRPr="00B32E2B" w14:paraId="764495CC" w14:textId="77777777" w:rsidTr="00F36908">
        <w:trPr>
          <w:trHeight w:val="104"/>
        </w:trPr>
        <w:tc>
          <w:tcPr>
            <w:tcW w:w="2552" w:type="dxa"/>
            <w:vMerge/>
          </w:tcPr>
          <w:p w14:paraId="2BD97F0B" w14:textId="77777777" w:rsidR="00925217" w:rsidRPr="00B32E2B" w:rsidRDefault="00925217" w:rsidP="00F36908">
            <w:pPr>
              <w:pStyle w:val="SDMTableBoxParaNotNumbered"/>
              <w:spacing w:before="60" w:after="60"/>
            </w:pPr>
          </w:p>
        </w:tc>
        <w:tc>
          <w:tcPr>
            <w:tcW w:w="1470" w:type="dxa"/>
          </w:tcPr>
          <w:p w14:paraId="51EB99FE" w14:textId="77777777" w:rsidR="00925217" w:rsidRPr="00B32E2B" w:rsidRDefault="00925217" w:rsidP="00F36908">
            <w:pPr>
              <w:pStyle w:val="SDMTableBoxParaNotNumbered"/>
              <w:spacing w:before="60" w:after="60"/>
              <w:rPr>
                <w:i/>
                <w:iCs/>
              </w:rPr>
            </w:pPr>
            <w:r w:rsidRPr="00B32E2B">
              <w:rPr>
                <w:i/>
                <w:iCs/>
              </w:rPr>
              <w:t>Calibration requirements</w:t>
            </w:r>
          </w:p>
        </w:tc>
        <w:tc>
          <w:tcPr>
            <w:tcW w:w="5192" w:type="dxa"/>
            <w:gridSpan w:val="3"/>
          </w:tcPr>
          <w:p w14:paraId="567F8CAC" w14:textId="3A44BC84" w:rsidR="00925217" w:rsidRPr="00B32E2B" w:rsidRDefault="12865A3D" w:rsidP="00F36908">
            <w:pPr>
              <w:pStyle w:val="SDMTableBoxParaNotNumbered"/>
              <w:spacing w:before="60" w:after="60"/>
              <w:rPr>
                <w:rFonts w:ascii="Calibri" w:hAnsi="Calibri" w:cs="Calibri"/>
              </w:rPr>
            </w:pPr>
            <w:r>
              <w:t>Every</w:t>
            </w:r>
            <w:r w:rsidDel="00DE589D">
              <w:t xml:space="preserve"> </w:t>
            </w:r>
            <w:r w:rsidR="00DE589D">
              <w:t xml:space="preserve">three </w:t>
            </w:r>
            <w:r>
              <w:t>years or in accordance with national standards or requirements set by the meter supplier, including the</w:t>
            </w:r>
            <w:r w:rsidR="002B3545">
              <w:t xml:space="preserve"> required calibration</w:t>
            </w:r>
            <w:r>
              <w:t xml:space="preserve"> frequency</w:t>
            </w:r>
          </w:p>
        </w:tc>
      </w:tr>
      <w:tr w:rsidR="00F412BF" w:rsidRPr="00B32E2B" w14:paraId="624E10B3" w14:textId="77777777" w:rsidTr="00F36908">
        <w:trPr>
          <w:trHeight w:val="104"/>
        </w:trPr>
        <w:tc>
          <w:tcPr>
            <w:tcW w:w="2552" w:type="dxa"/>
            <w:vMerge/>
          </w:tcPr>
          <w:p w14:paraId="4033A1DB" w14:textId="77777777" w:rsidR="00925217" w:rsidRPr="00B32E2B" w:rsidRDefault="00925217" w:rsidP="00F36908">
            <w:pPr>
              <w:pStyle w:val="SDMTableBoxParaNotNumbered"/>
              <w:spacing w:before="60" w:after="60"/>
            </w:pPr>
          </w:p>
        </w:tc>
        <w:tc>
          <w:tcPr>
            <w:tcW w:w="1470" w:type="dxa"/>
          </w:tcPr>
          <w:p w14:paraId="17D51405" w14:textId="77777777" w:rsidR="00925217" w:rsidRPr="00B32E2B" w:rsidRDefault="00925217" w:rsidP="00F36908">
            <w:pPr>
              <w:pStyle w:val="SDMTableBoxParaNotNumbered"/>
              <w:spacing w:before="60" w:after="60"/>
              <w:rPr>
                <w:i/>
                <w:iCs/>
              </w:rPr>
            </w:pPr>
            <w:r w:rsidRPr="00B32E2B">
              <w:rPr>
                <w:i/>
                <w:iCs/>
              </w:rPr>
              <w:t>Location</w:t>
            </w:r>
          </w:p>
        </w:tc>
        <w:tc>
          <w:tcPr>
            <w:tcW w:w="5192" w:type="dxa"/>
            <w:gridSpan w:val="3"/>
          </w:tcPr>
          <w:p w14:paraId="646DC5E7" w14:textId="34926A4C" w:rsidR="00925217" w:rsidRPr="00B32E2B" w:rsidRDefault="12865A3D" w:rsidP="00F36908">
            <w:pPr>
              <w:pStyle w:val="SDMTableBoxParaNotNumbered"/>
              <w:spacing w:before="60" w:after="60"/>
            </w:pPr>
            <w:r>
              <w:t>Entrance of the captive consumer</w:t>
            </w:r>
            <w:r w:rsidR="002B3545">
              <w:t>, where applicable</w:t>
            </w:r>
          </w:p>
        </w:tc>
      </w:tr>
      <w:tr w:rsidR="00065EB4" w:rsidRPr="00B32E2B" w14:paraId="2F68B032" w14:textId="77777777" w:rsidTr="00F36908">
        <w:trPr>
          <w:trHeight w:val="300"/>
        </w:trPr>
        <w:tc>
          <w:tcPr>
            <w:tcW w:w="2552" w:type="dxa"/>
          </w:tcPr>
          <w:p w14:paraId="67E37E70" w14:textId="77777777" w:rsidR="00925217" w:rsidRPr="00B32E2B" w:rsidRDefault="00925217" w:rsidP="00F36908">
            <w:pPr>
              <w:pStyle w:val="SDMTableBoxParaNotNumbered"/>
              <w:spacing w:before="60" w:after="60"/>
            </w:pPr>
            <w:r w:rsidRPr="00B32E2B">
              <w:t>QA/QC procedures</w:t>
            </w:r>
          </w:p>
        </w:tc>
        <w:tc>
          <w:tcPr>
            <w:tcW w:w="6662" w:type="dxa"/>
            <w:gridSpan w:val="4"/>
          </w:tcPr>
          <w:p w14:paraId="1D767F9B" w14:textId="3389C718" w:rsidR="00925217" w:rsidRPr="00B32E2B" w:rsidRDefault="00925217" w:rsidP="00F36908">
            <w:pPr>
              <w:pStyle w:val="SDMTableBoxParaNotNumbered"/>
              <w:spacing w:before="60" w:after="60"/>
            </w:pPr>
            <w:r w:rsidRPr="00B32E2B">
              <w:t xml:space="preserve">The electricity meter </w:t>
            </w:r>
            <w:r w:rsidR="00A50279">
              <w:t>shall</w:t>
            </w:r>
            <w:r w:rsidRPr="00B32E2B">
              <w:t xml:space="preserve"> be subject to regular maintenance and testing in accordance with the stipulation of the meter supplier or national requirements.</w:t>
            </w:r>
          </w:p>
          <w:p w14:paraId="660A2CE1" w14:textId="748ED97E" w:rsidR="00925217" w:rsidRPr="00B32E2B" w:rsidRDefault="12865A3D" w:rsidP="00F36908">
            <w:pPr>
              <w:pStyle w:val="SDMTableBoxParaNotNumbered"/>
              <w:spacing w:before="60" w:after="60"/>
            </w:pPr>
            <w:r>
              <w:t>The electricity generation (gross or net) shall be cross-checked with records of electricity sale (e.g.</w:t>
            </w:r>
            <w:r w:rsidR="1D9FD470">
              <w:t>,</w:t>
            </w:r>
            <w:r>
              <w:t xml:space="preserve"> sales receipt</w:t>
            </w:r>
            <w:r w:rsidR="002B3545">
              <w:t>s</w:t>
            </w:r>
            <w:r>
              <w:t>)</w:t>
            </w:r>
          </w:p>
        </w:tc>
      </w:tr>
      <w:tr w:rsidR="00065EB4" w:rsidRPr="00B32E2B" w14:paraId="06885D2C" w14:textId="77777777" w:rsidTr="00F36908">
        <w:trPr>
          <w:trHeight w:val="300"/>
        </w:trPr>
        <w:tc>
          <w:tcPr>
            <w:tcW w:w="2552" w:type="dxa"/>
          </w:tcPr>
          <w:p w14:paraId="5E3C3CB0" w14:textId="77777777" w:rsidR="00925217" w:rsidRPr="00B32E2B" w:rsidRDefault="00925217" w:rsidP="0038031D">
            <w:pPr>
              <w:pStyle w:val="SDMTableBoxParaNotNumbered"/>
              <w:keepNext/>
              <w:spacing w:before="60" w:after="60"/>
            </w:pPr>
            <w:r w:rsidRPr="00B32E2B">
              <w:t>Treatment of uncertainty</w:t>
            </w:r>
          </w:p>
        </w:tc>
        <w:tc>
          <w:tcPr>
            <w:tcW w:w="6662" w:type="dxa"/>
            <w:gridSpan w:val="4"/>
          </w:tcPr>
          <w:p w14:paraId="47F11390" w14:textId="772859DD" w:rsidR="00925217" w:rsidRPr="00B32E2B" w:rsidRDefault="12865A3D" w:rsidP="0038031D">
            <w:pPr>
              <w:pStyle w:val="SDMTableBoxParaNotNumbered"/>
              <w:keepNext/>
              <w:spacing w:before="60" w:after="60"/>
            </w:pPr>
            <w:r>
              <w:t>Uncertainties are determined based on the measuring instruments</w:t>
            </w:r>
          </w:p>
        </w:tc>
      </w:tr>
      <w:tr w:rsidR="00065EB4" w:rsidRPr="00131981" w14:paraId="5D67E30E" w14:textId="77777777" w:rsidTr="00F36908">
        <w:trPr>
          <w:trHeight w:val="300"/>
        </w:trPr>
        <w:tc>
          <w:tcPr>
            <w:tcW w:w="2552" w:type="dxa"/>
          </w:tcPr>
          <w:p w14:paraId="386B1D01" w14:textId="77777777" w:rsidR="00925217" w:rsidRPr="00B32E2B" w:rsidRDefault="00925217" w:rsidP="00F36908">
            <w:pPr>
              <w:pStyle w:val="SDMTableBoxParaNotNumbered"/>
              <w:spacing w:before="60" w:after="60"/>
            </w:pPr>
            <w:r w:rsidRPr="00B32E2B">
              <w:t>Additional comment</w:t>
            </w:r>
          </w:p>
        </w:tc>
        <w:tc>
          <w:tcPr>
            <w:tcW w:w="6662" w:type="dxa"/>
            <w:gridSpan w:val="4"/>
          </w:tcPr>
          <w:p w14:paraId="004475CD" w14:textId="586B2F0E" w:rsidR="00925217" w:rsidRPr="008C2BFB" w:rsidRDefault="003C6C34" w:rsidP="00F36908">
            <w:pPr>
              <w:pStyle w:val="SDMTableBoxParaNotNumbered"/>
              <w:spacing w:before="60" w:after="60"/>
            </w:pPr>
            <w:r>
              <w:t xml:space="preserve">For Article 6.4 activities under </w:t>
            </w:r>
            <w:r w:rsidR="00442A5D">
              <w:t>scenario</w:t>
            </w:r>
            <w:r w:rsidR="00B00B97">
              <w:t> </w:t>
            </w:r>
            <w:r>
              <w:t xml:space="preserve">A or </w:t>
            </w:r>
            <w:r w:rsidR="00442A5D">
              <w:t>scenario</w:t>
            </w:r>
            <w:r w:rsidR="00B00B97">
              <w:t> </w:t>
            </w:r>
            <w:r>
              <w:t xml:space="preserve">C, this parameter </w:t>
            </w:r>
            <w:r w:rsidR="00442A5D">
              <w:t>shall</w:t>
            </w:r>
            <w:r>
              <w:t xml:space="preserve"> be updated </w:t>
            </w:r>
            <w:r w:rsidR="00442A5D">
              <w:t xml:space="preserve">in accordance with the provisions in section </w:t>
            </w:r>
            <w:r w:rsidR="00442A5D">
              <w:fldChar w:fldCharType="begin"/>
            </w:r>
            <w:r w:rsidR="00442A5D">
              <w:instrText xml:space="preserve"> REF _Ref219921815 \r \h  \* MERGEFORMAT </w:instrText>
            </w:r>
            <w:r w:rsidR="00442A5D">
              <w:fldChar w:fldCharType="separate"/>
            </w:r>
            <w:r w:rsidR="00D811A8">
              <w:rPr>
                <w:cs/>
              </w:rPr>
              <w:t>‎</w:t>
            </w:r>
            <w:r w:rsidR="00D811A8">
              <w:t>0</w:t>
            </w:r>
            <w:r w:rsidR="00442A5D">
              <w:fldChar w:fldCharType="end"/>
            </w:r>
            <w:r w:rsidR="00442A5D">
              <w:fldChar w:fldCharType="begin"/>
            </w:r>
            <w:r w:rsidR="00442A5D">
              <w:instrText xml:space="preserve"> REF _Ref219921825 \n \h  \* MERGEFORMAT </w:instrText>
            </w:r>
            <w:r w:rsidR="00442A5D">
              <w:fldChar w:fldCharType="separate"/>
            </w:r>
            <w:r w:rsidR="00D811A8">
              <w:rPr>
                <w:cs/>
              </w:rPr>
              <w:t>‎</w:t>
            </w:r>
            <w:r w:rsidR="00D811A8">
              <w:t>5.7.1.2</w:t>
            </w:r>
            <w:r w:rsidR="00442A5D">
              <w:fldChar w:fldCharType="end"/>
            </w:r>
            <w:r w:rsidR="00442A5D">
              <w:t xml:space="preserve"> </w:t>
            </w:r>
            <w:r>
              <w:t>at the renewal of the crediting period if activity participants cho</w:t>
            </w:r>
            <w:r w:rsidR="0078461A">
              <w:t>o</w:t>
            </w:r>
            <w:r>
              <w:t xml:space="preserve">se to determine </w:t>
            </w:r>
            <w:r w:rsidR="0078461A">
              <w:t xml:space="preserve">the </w:t>
            </w:r>
            <w:r>
              <w:t xml:space="preserve">OM </w:t>
            </w:r>
            <w:r w:rsidR="0078461A">
              <w:t xml:space="preserve">emission factor </w:t>
            </w:r>
            <w:r>
              <w:t>ex</w:t>
            </w:r>
            <w:r w:rsidR="005A1BB7">
              <w:t> </w:t>
            </w:r>
            <w:r>
              <w:t>ante</w:t>
            </w:r>
          </w:p>
        </w:tc>
      </w:tr>
    </w:tbl>
    <w:p w14:paraId="757E8905" w14:textId="12F8601C" w:rsidR="00925217" w:rsidRPr="004A0D82" w:rsidRDefault="00925217" w:rsidP="007066AD">
      <w:pPr>
        <w:pStyle w:val="CaptionFullPage"/>
      </w:pPr>
      <w:r w:rsidRPr="004A0D82">
        <w:t>Data / Parameter table</w:t>
      </w:r>
      <w:r w:rsidR="004C17BF">
        <w:t> </w:t>
      </w:r>
      <w:r>
        <w:fldChar w:fldCharType="begin"/>
      </w:r>
      <w:r>
        <w:instrText>SEQ Data_/_Parameter_table \* ARABIC</w:instrText>
      </w:r>
      <w:r>
        <w:fldChar w:fldCharType="separate"/>
      </w:r>
      <w:r w:rsidR="00D811A8">
        <w:rPr>
          <w:noProof/>
        </w:rPr>
        <w:t>7</w:t>
      </w:r>
      <w:r>
        <w:fldChar w:fldCharType="end"/>
      </w:r>
      <w:r w:rsidRPr="004A0D82">
        <w:t>.</w:t>
      </w:r>
    </w:p>
    <w:tbl>
      <w:tblPr>
        <w:tblStyle w:val="TableGrid"/>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472"/>
        <w:gridCol w:w="861"/>
        <w:gridCol w:w="2113"/>
        <w:gridCol w:w="2216"/>
      </w:tblGrid>
      <w:tr w:rsidR="00815B88" w:rsidRPr="004A0D82" w14:paraId="5C45C441" w14:textId="77777777" w:rsidTr="00E12AF4">
        <w:trPr>
          <w:trHeight w:val="300"/>
        </w:trPr>
        <w:tc>
          <w:tcPr>
            <w:tcW w:w="2552" w:type="dxa"/>
          </w:tcPr>
          <w:p w14:paraId="125B737D" w14:textId="77777777" w:rsidR="00925217" w:rsidRPr="004A0D82" w:rsidRDefault="00925217" w:rsidP="0038031D">
            <w:pPr>
              <w:pStyle w:val="SDMTableBoxParaNotNumbered"/>
              <w:keepNext/>
              <w:spacing w:before="60" w:after="60"/>
            </w:pPr>
            <w:r w:rsidRPr="004A0D82">
              <w:t>Data/parameter</w:t>
            </w:r>
          </w:p>
        </w:tc>
        <w:tc>
          <w:tcPr>
            <w:tcW w:w="6662" w:type="dxa"/>
            <w:gridSpan w:val="4"/>
          </w:tcPr>
          <w:p w14:paraId="596A40D3" w14:textId="6B3879F6" w:rsidR="00925217" w:rsidRPr="00E12AF4" w:rsidRDefault="00000000" w:rsidP="0038031D">
            <w:pPr>
              <w:pStyle w:val="SDMTableBoxParaNotNumbered"/>
              <w:keepNext/>
              <w:spacing w:before="60" w:after="60"/>
              <w:rPr>
                <w:i/>
                <w:iCs/>
              </w:rPr>
            </w:pPr>
            <m:oMathPara>
              <m:oMathParaPr>
                <m:jc m:val="left"/>
              </m:oMathParaPr>
              <m:oMath>
                <m:sSub>
                  <m:sSubPr>
                    <m:ctrlPr>
                      <w:rPr>
                        <w:rFonts w:ascii="Cambria Math" w:hAnsi="Cambria Math"/>
                        <w:i/>
                      </w:rPr>
                    </m:ctrlPr>
                  </m:sSubPr>
                  <m:e>
                    <m:r>
                      <m:rPr>
                        <m:sty m:val="bi"/>
                      </m:rPr>
                      <w:rPr>
                        <w:rFonts w:ascii="Cambria Math" w:hAnsi="Cambria Math"/>
                      </w:rPr>
                      <m:t>HG</m:t>
                    </m:r>
                  </m:e>
                  <m:sub>
                    <m:r>
                      <m:rPr>
                        <m:sty m:val="bi"/>
                      </m:rPr>
                      <w:rPr>
                        <w:rFonts w:ascii="Cambria Math" w:hAnsi="Cambria Math"/>
                      </w:rPr>
                      <m:t>p</m:t>
                    </m:r>
                    <m:r>
                      <w:rPr>
                        <w:rFonts w:ascii="Cambria Math" w:hAnsi="Cambria Math"/>
                      </w:rPr>
                      <m:t>,</m:t>
                    </m:r>
                    <m:r>
                      <m:rPr>
                        <m:sty m:val="bi"/>
                      </m:rPr>
                      <w:rPr>
                        <w:rFonts w:ascii="Cambria Math" w:hAnsi="Cambria Math"/>
                      </w:rPr>
                      <m:t>t</m:t>
                    </m:r>
                  </m:sub>
                </m:sSub>
              </m:oMath>
            </m:oMathPara>
          </w:p>
        </w:tc>
      </w:tr>
      <w:tr w:rsidR="005B3CCA" w:rsidRPr="004A0D82" w14:paraId="1953760C" w14:textId="77777777" w:rsidTr="00E12AF4">
        <w:trPr>
          <w:trHeight w:val="300"/>
        </w:trPr>
        <w:tc>
          <w:tcPr>
            <w:tcW w:w="2552" w:type="dxa"/>
          </w:tcPr>
          <w:p w14:paraId="7B86D723" w14:textId="77777777" w:rsidR="00925217" w:rsidRPr="004A0D82" w:rsidRDefault="00925217" w:rsidP="00E12AF4">
            <w:pPr>
              <w:pStyle w:val="SDMTableBoxParaNotNumbered"/>
              <w:spacing w:before="60" w:after="60"/>
            </w:pPr>
            <w:r w:rsidRPr="004A0D82">
              <w:t>Description</w:t>
            </w:r>
          </w:p>
        </w:tc>
        <w:tc>
          <w:tcPr>
            <w:tcW w:w="6662" w:type="dxa"/>
            <w:gridSpan w:val="4"/>
          </w:tcPr>
          <w:p w14:paraId="7EF85EA2" w14:textId="276DDB26" w:rsidR="00925217" w:rsidRPr="004A0D82" w:rsidRDefault="00925217" w:rsidP="00E12AF4">
            <w:pPr>
              <w:pStyle w:val="SDMTableBoxParaNotNumbered"/>
              <w:spacing w:before="60" w:after="60"/>
            </w:pPr>
            <w:r w:rsidRPr="004A0D82">
              <w:rPr>
                <w:lang w:eastAsia="en-US"/>
              </w:rPr>
              <w:t xml:space="preserve">Quantity of heat co-generated </w:t>
            </w:r>
            <w:r w:rsidR="00CB3E64">
              <w:rPr>
                <w:lang w:eastAsia="en-US"/>
              </w:rPr>
              <w:t>by</w:t>
            </w:r>
            <w:r w:rsidR="00CB3E64" w:rsidRPr="004A0D82">
              <w:rPr>
                <w:lang w:eastAsia="en-US"/>
              </w:rPr>
              <w:t xml:space="preserve"> </w:t>
            </w:r>
            <w:r w:rsidR="71964A1E">
              <w:t>fossil-fuel fired</w:t>
            </w:r>
            <w:r w:rsidR="71964A1E" w:rsidRPr="140C7488">
              <w:rPr>
                <w:lang w:eastAsia="en-US"/>
              </w:rPr>
              <w:t xml:space="preserve"> </w:t>
            </w:r>
            <w:r w:rsidRPr="004A0D82">
              <w:rPr>
                <w:lang w:eastAsia="en-US"/>
              </w:rPr>
              <w:t>captive power plant</w:t>
            </w:r>
            <w:r w:rsidR="00B141B0">
              <w:rPr>
                <w:lang w:eastAsia="en-US"/>
              </w:rPr>
              <w:t> </w:t>
            </w:r>
            <w:r w:rsidR="595270C2" w:rsidRPr="1DF7F594">
              <w:rPr>
                <w:i/>
                <w:iCs/>
                <w:lang w:eastAsia="en-US"/>
              </w:rPr>
              <w:t>p</w:t>
            </w:r>
            <w:r w:rsidRPr="004A0D82">
              <w:rPr>
                <w:lang w:eastAsia="en-US"/>
              </w:rPr>
              <w:t xml:space="preserve"> in the period</w:t>
            </w:r>
            <w:r w:rsidR="00B141B0">
              <w:rPr>
                <w:lang w:eastAsia="en-US"/>
              </w:rPr>
              <w:t> </w:t>
            </w:r>
            <w:r w:rsidRPr="004A0D82">
              <w:rPr>
                <w:i/>
                <w:iCs/>
                <w:lang w:eastAsia="en-US"/>
              </w:rPr>
              <w:t>t</w:t>
            </w:r>
          </w:p>
        </w:tc>
      </w:tr>
      <w:tr w:rsidR="005B3CCA" w:rsidRPr="004A0D82" w14:paraId="06974F1A" w14:textId="77777777" w:rsidTr="00E12AF4">
        <w:trPr>
          <w:trHeight w:val="300"/>
        </w:trPr>
        <w:tc>
          <w:tcPr>
            <w:tcW w:w="2552" w:type="dxa"/>
          </w:tcPr>
          <w:p w14:paraId="31E47451" w14:textId="77777777" w:rsidR="00925217" w:rsidRPr="004A0D82" w:rsidRDefault="00925217" w:rsidP="00E12AF4">
            <w:pPr>
              <w:pStyle w:val="SDMTableBoxParaNotNumbered"/>
              <w:spacing w:before="60" w:after="60"/>
            </w:pPr>
            <w:r w:rsidRPr="004A0D82">
              <w:t>Data unit</w:t>
            </w:r>
          </w:p>
        </w:tc>
        <w:tc>
          <w:tcPr>
            <w:tcW w:w="6662" w:type="dxa"/>
            <w:gridSpan w:val="4"/>
          </w:tcPr>
          <w:p w14:paraId="244F059E" w14:textId="5322DA6C" w:rsidR="00925217" w:rsidRPr="004A0D82" w:rsidRDefault="12865A3D" w:rsidP="00E12AF4">
            <w:pPr>
              <w:pStyle w:val="SDMTableBoxParaNotNumbered"/>
              <w:spacing w:before="60" w:after="60"/>
            </w:pPr>
            <w:r>
              <w:t>GJ</w:t>
            </w:r>
            <w:r w:rsidR="009D2617" w:rsidRPr="007D447E">
              <w:t xml:space="preserve"> in period</w:t>
            </w:r>
            <w:r w:rsidR="009D2617" w:rsidRPr="6BB59D32">
              <w:rPr>
                <w:i/>
                <w:iCs/>
              </w:rPr>
              <w:t> t</w:t>
            </w:r>
          </w:p>
        </w:tc>
      </w:tr>
      <w:tr w:rsidR="00815B88" w:rsidRPr="004A0D82" w14:paraId="37FA6421" w14:textId="77777777" w:rsidTr="00E12AF4">
        <w:trPr>
          <w:trHeight w:val="300"/>
        </w:trPr>
        <w:tc>
          <w:tcPr>
            <w:tcW w:w="2552" w:type="dxa"/>
          </w:tcPr>
          <w:p w14:paraId="75C23D9B" w14:textId="77777777" w:rsidR="00925217" w:rsidRPr="004A0D82" w:rsidRDefault="00925217" w:rsidP="00E12AF4">
            <w:pPr>
              <w:pStyle w:val="SDMTableBoxParaNotNumbered"/>
              <w:spacing w:before="60" w:after="60"/>
            </w:pPr>
            <w:r w:rsidRPr="004A0D82">
              <w:t>Equations referred</w:t>
            </w:r>
          </w:p>
        </w:tc>
        <w:tc>
          <w:tcPr>
            <w:tcW w:w="6662" w:type="dxa"/>
            <w:gridSpan w:val="4"/>
          </w:tcPr>
          <w:p w14:paraId="37C2671C" w14:textId="77777777" w:rsidR="00925217" w:rsidRPr="004A0D82" w:rsidRDefault="00925217" w:rsidP="00E12AF4">
            <w:pPr>
              <w:pStyle w:val="SDMTableBoxParaNotNumbered"/>
              <w:spacing w:before="60" w:after="60"/>
            </w:pPr>
          </w:p>
        </w:tc>
      </w:tr>
      <w:tr w:rsidR="00241146" w:rsidRPr="00131981" w14:paraId="7E7E65C4" w14:textId="77777777" w:rsidTr="00E12AF4">
        <w:trPr>
          <w:trHeight w:val="300"/>
        </w:trPr>
        <w:tc>
          <w:tcPr>
            <w:tcW w:w="2552" w:type="dxa"/>
            <w:tcBorders>
              <w:right w:val="single" w:sz="4" w:space="0" w:color="auto"/>
            </w:tcBorders>
          </w:tcPr>
          <w:p w14:paraId="03EF50F2" w14:textId="77777777" w:rsidR="00241146" w:rsidRPr="00131981" w:rsidRDefault="00241146" w:rsidP="00E12AF4">
            <w:pPr>
              <w:pStyle w:val="SDMTableBoxParaNotNumbered"/>
              <w:spacing w:before="60" w:after="60"/>
            </w:pPr>
            <w:r w:rsidRPr="00131981">
              <w:t>Purpose of data</w:t>
            </w:r>
          </w:p>
        </w:tc>
        <w:tc>
          <w:tcPr>
            <w:tcW w:w="2333" w:type="dxa"/>
            <w:gridSpan w:val="2"/>
            <w:tcBorders>
              <w:left w:val="single" w:sz="4" w:space="0" w:color="auto"/>
              <w:right w:val="nil"/>
            </w:tcBorders>
          </w:tcPr>
          <w:p w14:paraId="0F00F795" w14:textId="77777777" w:rsidR="00241146" w:rsidRPr="005D7E1B" w:rsidRDefault="00241146" w:rsidP="00E12AF4">
            <w:pPr>
              <w:pStyle w:val="SDMTableBoxParaNotNumbered"/>
              <w:spacing w:before="60" w:after="60"/>
            </w:pPr>
            <w:r w:rsidRPr="005D7E1B">
              <w:rPr>
                <w:rFonts w:asciiTheme="minorBidi" w:hAnsiTheme="minorBidi" w:cstheme="minorBidi"/>
                <w:shd w:val="clear" w:color="auto" w:fill="E6E6E6"/>
              </w:rPr>
              <w:fldChar w:fldCharType="begin">
                <w:ffData>
                  <w:name w:val=""/>
                  <w:enabled/>
                  <w:calcOnExit w:val="0"/>
                  <w:checkBox>
                    <w:size w:val="20"/>
                    <w:default w:val="1"/>
                  </w:checkBox>
                </w:ffData>
              </w:fldChar>
            </w:r>
            <w:r w:rsidRPr="005D7E1B">
              <w:rPr>
                <w:rFonts w:asciiTheme="minorBidi" w:hAnsiTheme="minorBidi" w:cstheme="minorBidi"/>
                <w:shd w:val="clear" w:color="auto" w:fill="E6E6E6"/>
              </w:rPr>
              <w:instrText xml:space="preserve"> FORMCHECKBOX </w:instrText>
            </w:r>
            <w:r w:rsidR="00000000">
              <w:rPr>
                <w:rFonts w:asciiTheme="minorBidi" w:hAnsiTheme="minorBidi" w:cstheme="minorBidi"/>
                <w:shd w:val="clear" w:color="auto" w:fill="E6E6E6"/>
              </w:rPr>
            </w:r>
            <w:r w:rsidR="00000000">
              <w:rPr>
                <w:rFonts w:asciiTheme="minorBidi" w:hAnsiTheme="minorBidi" w:cstheme="minorBidi"/>
                <w:shd w:val="clear" w:color="auto" w:fill="E6E6E6"/>
              </w:rPr>
              <w:fldChar w:fldCharType="separate"/>
            </w:r>
            <w:r w:rsidRPr="005D7E1B">
              <w:rPr>
                <w:rFonts w:asciiTheme="minorBidi" w:hAnsiTheme="minorBidi" w:cstheme="minorBidi"/>
                <w:shd w:val="clear" w:color="auto" w:fill="E6E6E6"/>
              </w:rPr>
              <w:fldChar w:fldCharType="end"/>
            </w:r>
            <w:r>
              <w:rPr>
                <w:rFonts w:asciiTheme="minorBidi" w:hAnsiTheme="minorBidi" w:cstheme="minorBidi"/>
                <w:shd w:val="clear" w:color="auto" w:fill="E6E6E6"/>
              </w:rPr>
              <w:t xml:space="preserve"> </w:t>
            </w:r>
            <w:r w:rsidRPr="005D7E1B">
              <w:rPr>
                <w:rFonts w:asciiTheme="minorBidi" w:hAnsiTheme="minorBidi" w:cstheme="minorBidi"/>
              </w:rPr>
              <w:t>Baseline emissions</w:t>
            </w:r>
          </w:p>
        </w:tc>
        <w:tc>
          <w:tcPr>
            <w:tcW w:w="2113" w:type="dxa"/>
            <w:tcBorders>
              <w:left w:val="nil"/>
              <w:right w:val="nil"/>
            </w:tcBorders>
          </w:tcPr>
          <w:p w14:paraId="3326D44A" w14:textId="77777777" w:rsidR="00241146" w:rsidRPr="005D7E1B" w:rsidRDefault="00241146" w:rsidP="00E12AF4">
            <w:pPr>
              <w:pStyle w:val="SDMTableBoxParaNotNumbered"/>
              <w:spacing w:before="60" w:after="60"/>
            </w:pPr>
            <w:r w:rsidRPr="005D7E1B">
              <w:rPr>
                <w:rFonts w:asciiTheme="minorBidi" w:hAnsiTheme="minorBidi" w:cstheme="minorBidi"/>
                <w:shd w:val="clear" w:color="auto" w:fill="E6E6E6"/>
              </w:rPr>
              <w:fldChar w:fldCharType="begin">
                <w:ffData>
                  <w:name w:val=""/>
                  <w:enabled/>
                  <w:calcOnExit w:val="0"/>
                  <w:checkBox>
                    <w:size w:val="20"/>
                    <w:default w:val="1"/>
                  </w:checkBox>
                </w:ffData>
              </w:fldChar>
            </w:r>
            <w:r w:rsidRPr="005D7E1B">
              <w:rPr>
                <w:rFonts w:asciiTheme="minorBidi" w:hAnsiTheme="minorBidi" w:cstheme="minorBidi"/>
                <w:shd w:val="clear" w:color="auto" w:fill="E6E6E6"/>
              </w:rPr>
              <w:instrText xml:space="preserve"> FORMCHECKBOX </w:instrText>
            </w:r>
            <w:r w:rsidR="00000000">
              <w:rPr>
                <w:rFonts w:asciiTheme="minorBidi" w:hAnsiTheme="minorBidi" w:cstheme="minorBidi"/>
                <w:shd w:val="clear" w:color="auto" w:fill="E6E6E6"/>
              </w:rPr>
            </w:r>
            <w:r w:rsidR="00000000">
              <w:rPr>
                <w:rFonts w:asciiTheme="minorBidi" w:hAnsiTheme="minorBidi" w:cstheme="minorBidi"/>
                <w:shd w:val="clear" w:color="auto" w:fill="E6E6E6"/>
              </w:rPr>
              <w:fldChar w:fldCharType="separate"/>
            </w:r>
            <w:r w:rsidRPr="005D7E1B">
              <w:rPr>
                <w:rFonts w:asciiTheme="minorBidi" w:hAnsiTheme="minorBidi" w:cstheme="minorBidi"/>
                <w:shd w:val="clear" w:color="auto" w:fill="E6E6E6"/>
              </w:rPr>
              <w:fldChar w:fldCharType="end"/>
            </w:r>
            <w:r w:rsidRPr="3161B3F5">
              <w:rPr>
                <w:rFonts w:asciiTheme="minorBidi" w:hAnsiTheme="minorBidi" w:cstheme="minorBidi"/>
              </w:rPr>
              <w:fldChar w:fldCharType="begin"/>
            </w:r>
            <w:r w:rsidRPr="3161B3F5">
              <w:rPr>
                <w:rFonts w:asciiTheme="minorBidi" w:hAnsiTheme="minorBidi" w:cstheme="minorBidi"/>
              </w:rPr>
              <w:instrText xml:space="preserve"> FORMCHECKBOX </w:instrText>
            </w:r>
            <w:r w:rsidR="00000000">
              <w:rPr>
                <w:rFonts w:asciiTheme="minorBidi" w:hAnsiTheme="minorBidi" w:cstheme="minorBidi"/>
              </w:rPr>
              <w:fldChar w:fldCharType="separate"/>
            </w:r>
            <w:r w:rsidRPr="3161B3F5">
              <w:rPr>
                <w:rFonts w:asciiTheme="minorBidi" w:hAnsiTheme="minorBidi" w:cstheme="minorBidi"/>
              </w:rPr>
              <w:fldChar w:fldCharType="end"/>
            </w:r>
            <w:r w:rsidRPr="005D7E1B">
              <w:rPr>
                <w:rFonts w:asciiTheme="minorBidi" w:hAnsiTheme="minorBidi" w:cstheme="minorBidi"/>
              </w:rPr>
              <w:t xml:space="preserve"> Project emissions</w:t>
            </w:r>
          </w:p>
        </w:tc>
        <w:tc>
          <w:tcPr>
            <w:tcW w:w="2216" w:type="dxa"/>
            <w:tcBorders>
              <w:left w:val="nil"/>
            </w:tcBorders>
          </w:tcPr>
          <w:p w14:paraId="73AAE775" w14:textId="77777777" w:rsidR="00241146" w:rsidRPr="005D7E1B" w:rsidRDefault="00241146" w:rsidP="00E12AF4">
            <w:pPr>
              <w:pStyle w:val="SDMTableBoxParaNotNumbered"/>
              <w:spacing w:before="60" w:after="60"/>
            </w:pPr>
            <w:r w:rsidRPr="005D7E1B">
              <w:rPr>
                <w:rFonts w:asciiTheme="minorBidi" w:hAnsiTheme="minorBidi" w:cstheme="minorBidi"/>
                <w:shd w:val="clear" w:color="auto" w:fill="E6E6E6"/>
              </w:rPr>
              <w:fldChar w:fldCharType="begin">
                <w:ffData>
                  <w:name w:val=""/>
                  <w:enabled/>
                  <w:calcOnExit w:val="0"/>
                  <w:checkBox>
                    <w:size w:val="20"/>
                    <w:default w:val="1"/>
                  </w:checkBox>
                </w:ffData>
              </w:fldChar>
            </w:r>
            <w:r w:rsidRPr="005D7E1B">
              <w:rPr>
                <w:rFonts w:asciiTheme="minorBidi" w:hAnsiTheme="minorBidi" w:cstheme="minorBidi"/>
                <w:shd w:val="clear" w:color="auto" w:fill="E6E6E6"/>
              </w:rPr>
              <w:instrText xml:space="preserve"> FORMCHECKBOX </w:instrText>
            </w:r>
            <w:r w:rsidR="00000000">
              <w:rPr>
                <w:rFonts w:asciiTheme="minorBidi" w:hAnsiTheme="minorBidi" w:cstheme="minorBidi"/>
                <w:shd w:val="clear" w:color="auto" w:fill="E6E6E6"/>
              </w:rPr>
            </w:r>
            <w:r w:rsidR="00000000">
              <w:rPr>
                <w:rFonts w:asciiTheme="minorBidi" w:hAnsiTheme="minorBidi" w:cstheme="minorBidi"/>
                <w:shd w:val="clear" w:color="auto" w:fill="E6E6E6"/>
              </w:rPr>
              <w:fldChar w:fldCharType="separate"/>
            </w:r>
            <w:r w:rsidRPr="005D7E1B">
              <w:rPr>
                <w:rFonts w:asciiTheme="minorBidi" w:hAnsiTheme="minorBidi" w:cstheme="minorBidi"/>
                <w:shd w:val="clear" w:color="auto" w:fill="E6E6E6"/>
              </w:rPr>
              <w:fldChar w:fldCharType="end"/>
            </w:r>
            <w:r w:rsidRPr="3161B3F5">
              <w:rPr>
                <w:rFonts w:asciiTheme="minorBidi" w:hAnsiTheme="minorBidi" w:cstheme="minorBidi"/>
              </w:rPr>
              <w:fldChar w:fldCharType="begin"/>
            </w:r>
            <w:r w:rsidRPr="3161B3F5">
              <w:rPr>
                <w:rFonts w:asciiTheme="minorBidi" w:hAnsiTheme="minorBidi" w:cstheme="minorBidi"/>
              </w:rPr>
              <w:instrText xml:space="preserve"> FORMCHECKBOX </w:instrText>
            </w:r>
            <w:r w:rsidR="00000000">
              <w:rPr>
                <w:rFonts w:asciiTheme="minorBidi" w:hAnsiTheme="minorBidi" w:cstheme="minorBidi"/>
              </w:rPr>
              <w:fldChar w:fldCharType="separate"/>
            </w:r>
            <w:r w:rsidRPr="3161B3F5">
              <w:rPr>
                <w:rFonts w:asciiTheme="minorBidi" w:hAnsiTheme="minorBidi" w:cstheme="minorBidi"/>
              </w:rPr>
              <w:fldChar w:fldCharType="end"/>
            </w:r>
            <w:r w:rsidRPr="005D7E1B">
              <w:rPr>
                <w:rFonts w:asciiTheme="minorBidi" w:hAnsiTheme="minorBidi" w:cstheme="minorBidi"/>
              </w:rPr>
              <w:t xml:space="preserve"> Leakage emissions</w:t>
            </w:r>
          </w:p>
        </w:tc>
      </w:tr>
      <w:tr w:rsidR="00815B88" w:rsidRPr="004A0D82" w14:paraId="2C8DB49E" w14:textId="77777777" w:rsidTr="00E12AF4">
        <w:trPr>
          <w:trHeight w:val="300"/>
        </w:trPr>
        <w:tc>
          <w:tcPr>
            <w:tcW w:w="2552" w:type="dxa"/>
          </w:tcPr>
          <w:p w14:paraId="36441FD6" w14:textId="77777777" w:rsidR="00925217" w:rsidRPr="004A0D82" w:rsidRDefault="6DC055E6" w:rsidP="00E12AF4">
            <w:pPr>
              <w:pStyle w:val="SDMTableBoxParaNotNumbered"/>
              <w:spacing w:before="60" w:after="60"/>
            </w:pPr>
            <w:r>
              <w:t>Measurement and updating frequency</w:t>
            </w:r>
          </w:p>
        </w:tc>
        <w:tc>
          <w:tcPr>
            <w:tcW w:w="6662" w:type="dxa"/>
            <w:gridSpan w:val="4"/>
          </w:tcPr>
          <w:p w14:paraId="6E862D88" w14:textId="67E68832" w:rsidR="00925217" w:rsidRPr="004A0D82" w:rsidRDefault="007742B7" w:rsidP="00E12AF4">
            <w:pPr>
              <w:pStyle w:val="SDMTableBoxParaNotNumbered"/>
              <w:spacing w:before="60" w:after="60"/>
            </w:pPr>
            <w:r w:rsidRPr="004A0D82">
              <w:t>Continuous</w:t>
            </w:r>
            <w:r>
              <w:t xml:space="preserve"> measurement</w:t>
            </w:r>
            <w:r w:rsidR="00925217" w:rsidRPr="004A0D82">
              <w:t>, aggregated at least annually</w:t>
            </w:r>
          </w:p>
        </w:tc>
      </w:tr>
      <w:tr w:rsidR="00815B88" w:rsidRPr="004A0D82" w14:paraId="38A76EBE" w14:textId="77777777" w:rsidTr="00E12AF4">
        <w:trPr>
          <w:trHeight w:val="300"/>
        </w:trPr>
        <w:tc>
          <w:tcPr>
            <w:tcW w:w="2552" w:type="dxa"/>
          </w:tcPr>
          <w:p w14:paraId="5356CEC4" w14:textId="77777777" w:rsidR="00925217" w:rsidRPr="004A0D82" w:rsidRDefault="00925217" w:rsidP="00E12AF4">
            <w:pPr>
              <w:pStyle w:val="SDMTableBoxParaNotNumbered"/>
              <w:spacing w:before="60" w:after="60"/>
            </w:pPr>
            <w:r w:rsidRPr="004A0D82">
              <w:t>Measurement methods and procedures</w:t>
            </w:r>
          </w:p>
        </w:tc>
        <w:tc>
          <w:tcPr>
            <w:tcW w:w="6662" w:type="dxa"/>
            <w:gridSpan w:val="4"/>
          </w:tcPr>
          <w:p w14:paraId="444705FA" w14:textId="04E783A2" w:rsidR="00925217" w:rsidRPr="004A0D82" w:rsidRDefault="00925217" w:rsidP="00E12AF4">
            <w:pPr>
              <w:pStyle w:val="SDMTableBoxParaNotNumbered"/>
              <w:spacing w:before="60" w:after="60"/>
            </w:pPr>
            <w:r w:rsidRPr="004A0D82">
              <w:t xml:space="preserve">Determined as the difference </w:t>
            </w:r>
            <w:r w:rsidR="007742B7">
              <w:t xml:space="preserve">between </w:t>
            </w:r>
            <w:r w:rsidRPr="004A0D82">
              <w:t xml:space="preserve">the enthalpy of the steam or hot water generated </w:t>
            </w:r>
            <w:r w:rsidR="00D712C7">
              <w:t>and</w:t>
            </w:r>
            <w:r w:rsidR="00D712C7" w:rsidRPr="004A0D82">
              <w:t xml:space="preserve"> </w:t>
            </w:r>
            <w:r w:rsidRPr="004A0D82">
              <w:t xml:space="preserve">the enthalpy of the </w:t>
            </w:r>
            <w:r w:rsidR="002D52E5" w:rsidRPr="004A0D82">
              <w:t>feedwater</w:t>
            </w:r>
            <w:r w:rsidRPr="004A0D82">
              <w:t xml:space="preserve"> and any condensate return. The respective enthalpies</w:t>
            </w:r>
            <w:r w:rsidR="00A50279">
              <w:t xml:space="preserve"> </w:t>
            </w:r>
            <w:r w:rsidR="00D712C7">
              <w:t>shall</w:t>
            </w:r>
            <w:r w:rsidRPr="004A0D82">
              <w:t xml:space="preserve"> be determined based on the mass (or volume) flows, the temperatures</w:t>
            </w:r>
            <w:r w:rsidR="003A509A">
              <w:t>,</w:t>
            </w:r>
            <w:r w:rsidRPr="004A0D82">
              <w:t xml:space="preserve"> and, in case of superheated steam, the pressure.</w:t>
            </w:r>
          </w:p>
          <w:p w14:paraId="73BD1A50" w14:textId="1203C4A7" w:rsidR="00925217" w:rsidRPr="004A0D82" w:rsidRDefault="12865A3D" w:rsidP="00E12AF4">
            <w:pPr>
              <w:pStyle w:val="SDMTableBoxParaNotNumbered"/>
              <w:spacing w:before="60" w:after="60"/>
            </w:pPr>
            <w:r>
              <w:t>Steam tables or appropriate thermodynamic equations may be used to calculate the enthalpy as a function of temperature and pressure</w:t>
            </w:r>
          </w:p>
        </w:tc>
      </w:tr>
      <w:tr w:rsidR="00815B88" w:rsidRPr="004A0D82" w14:paraId="0E555683" w14:textId="77777777" w:rsidTr="00E12AF4">
        <w:trPr>
          <w:trHeight w:val="107"/>
        </w:trPr>
        <w:tc>
          <w:tcPr>
            <w:tcW w:w="2552" w:type="dxa"/>
          </w:tcPr>
          <w:p w14:paraId="0A503649" w14:textId="77777777" w:rsidR="00925217" w:rsidRPr="004A0D82" w:rsidRDefault="00925217" w:rsidP="00E12AF4">
            <w:pPr>
              <w:pStyle w:val="SDMTableBoxParaNotNumbered"/>
              <w:spacing w:before="60" w:after="60"/>
            </w:pPr>
            <w:r w:rsidRPr="004A0D82">
              <w:t>Entity/person responsible for the measurement</w:t>
            </w:r>
          </w:p>
        </w:tc>
        <w:tc>
          <w:tcPr>
            <w:tcW w:w="6662" w:type="dxa"/>
            <w:gridSpan w:val="4"/>
          </w:tcPr>
          <w:p w14:paraId="423F3808" w14:textId="77777777" w:rsidR="00925217" w:rsidRPr="004A0D82" w:rsidRDefault="00925217" w:rsidP="00E12AF4">
            <w:pPr>
              <w:pStyle w:val="SDMTableBoxParaNotNumbered"/>
              <w:spacing w:before="60" w:after="60"/>
            </w:pPr>
            <w:r w:rsidRPr="004A0D82">
              <w:t>Activity participants</w:t>
            </w:r>
          </w:p>
        </w:tc>
      </w:tr>
      <w:tr w:rsidR="00634EFD" w:rsidRPr="004A0D82" w14:paraId="23976F65" w14:textId="77777777" w:rsidTr="00E12AF4">
        <w:trPr>
          <w:trHeight w:val="107"/>
        </w:trPr>
        <w:tc>
          <w:tcPr>
            <w:tcW w:w="2552" w:type="dxa"/>
            <w:vMerge w:val="restart"/>
          </w:tcPr>
          <w:p w14:paraId="7AE49DA1" w14:textId="77777777" w:rsidR="00925217" w:rsidRPr="004A0D82" w:rsidRDefault="00925217" w:rsidP="00E12AF4">
            <w:pPr>
              <w:pStyle w:val="SDMTableBoxParaNotNumbered"/>
              <w:spacing w:before="60" w:after="60"/>
            </w:pPr>
            <w:r w:rsidRPr="004A0D82">
              <w:t>Measuring instrument(s)</w:t>
            </w:r>
          </w:p>
        </w:tc>
        <w:tc>
          <w:tcPr>
            <w:tcW w:w="1472" w:type="dxa"/>
          </w:tcPr>
          <w:p w14:paraId="2F80129D" w14:textId="77777777" w:rsidR="00925217" w:rsidRPr="004A0D82" w:rsidRDefault="00925217" w:rsidP="00E12AF4">
            <w:pPr>
              <w:pStyle w:val="SDMTableBoxParaNotNumbered"/>
              <w:spacing w:before="60" w:after="60"/>
              <w:rPr>
                <w:i/>
                <w:iCs/>
              </w:rPr>
            </w:pPr>
            <w:r w:rsidRPr="004A0D82">
              <w:rPr>
                <w:i/>
                <w:iCs/>
              </w:rPr>
              <w:t>Type of instrument</w:t>
            </w:r>
          </w:p>
        </w:tc>
        <w:tc>
          <w:tcPr>
            <w:tcW w:w="5190" w:type="dxa"/>
            <w:gridSpan w:val="3"/>
          </w:tcPr>
          <w:p w14:paraId="5F56E4E1" w14:textId="77777777" w:rsidR="00925217" w:rsidRPr="004A0D82" w:rsidRDefault="00925217" w:rsidP="00E12AF4">
            <w:pPr>
              <w:pStyle w:val="SDMTableBoxParaNotNumbered"/>
              <w:spacing w:before="60" w:after="60"/>
            </w:pPr>
            <w:r w:rsidRPr="004A0D82">
              <w:t>N/A</w:t>
            </w:r>
          </w:p>
        </w:tc>
      </w:tr>
      <w:tr w:rsidR="00593A00" w:rsidRPr="004A0D82" w14:paraId="599AFDDD" w14:textId="77777777" w:rsidTr="00E12AF4">
        <w:trPr>
          <w:trHeight w:val="104"/>
        </w:trPr>
        <w:tc>
          <w:tcPr>
            <w:tcW w:w="2552" w:type="dxa"/>
            <w:vMerge/>
          </w:tcPr>
          <w:p w14:paraId="03993F80" w14:textId="77777777" w:rsidR="00925217" w:rsidRPr="004A0D82" w:rsidRDefault="00925217" w:rsidP="00E12AF4">
            <w:pPr>
              <w:pStyle w:val="SDMTableBoxParaNotNumbered"/>
              <w:spacing w:before="60" w:after="60"/>
            </w:pPr>
          </w:p>
        </w:tc>
        <w:tc>
          <w:tcPr>
            <w:tcW w:w="1472" w:type="dxa"/>
          </w:tcPr>
          <w:p w14:paraId="2925C1C1" w14:textId="77777777" w:rsidR="00925217" w:rsidRPr="004A0D82" w:rsidRDefault="12865A3D" w:rsidP="00E12AF4">
            <w:pPr>
              <w:pStyle w:val="SDMTableBoxParaNotNumbered"/>
              <w:spacing w:before="60" w:after="60"/>
              <w:rPr>
                <w:i/>
                <w:iCs/>
              </w:rPr>
            </w:pPr>
            <w:r w:rsidRPr="6BB59D32">
              <w:rPr>
                <w:i/>
                <w:iCs/>
              </w:rPr>
              <w:t>Accuracy class</w:t>
            </w:r>
          </w:p>
        </w:tc>
        <w:tc>
          <w:tcPr>
            <w:tcW w:w="5190" w:type="dxa"/>
            <w:gridSpan w:val="3"/>
          </w:tcPr>
          <w:p w14:paraId="2886E20E" w14:textId="77777777" w:rsidR="00925217" w:rsidRPr="004A0D82" w:rsidRDefault="12865A3D" w:rsidP="00E12AF4">
            <w:pPr>
              <w:pStyle w:val="SDMTableBoxParaNotNumbered"/>
              <w:spacing w:before="60" w:after="60"/>
            </w:pPr>
            <w:r>
              <w:t>N/A</w:t>
            </w:r>
          </w:p>
        </w:tc>
      </w:tr>
      <w:tr w:rsidR="00593A00" w:rsidRPr="004A0D82" w14:paraId="41F41E05" w14:textId="77777777" w:rsidTr="00E12AF4">
        <w:trPr>
          <w:trHeight w:val="104"/>
        </w:trPr>
        <w:tc>
          <w:tcPr>
            <w:tcW w:w="2552" w:type="dxa"/>
            <w:vMerge/>
          </w:tcPr>
          <w:p w14:paraId="2A09EBC4" w14:textId="77777777" w:rsidR="00925217" w:rsidRPr="004A0D82" w:rsidRDefault="00925217" w:rsidP="00E12AF4">
            <w:pPr>
              <w:pStyle w:val="SDMTableBoxParaNotNumbered"/>
              <w:spacing w:before="60" w:after="60"/>
            </w:pPr>
          </w:p>
        </w:tc>
        <w:tc>
          <w:tcPr>
            <w:tcW w:w="1472" w:type="dxa"/>
          </w:tcPr>
          <w:p w14:paraId="59A687EE" w14:textId="77777777" w:rsidR="00925217" w:rsidRPr="004A0D82" w:rsidRDefault="12865A3D" w:rsidP="00E12AF4">
            <w:pPr>
              <w:pStyle w:val="SDMTableBoxParaNotNumbered"/>
              <w:spacing w:before="60" w:after="60"/>
              <w:rPr>
                <w:i/>
                <w:iCs/>
              </w:rPr>
            </w:pPr>
            <w:r w:rsidRPr="6BB59D32">
              <w:rPr>
                <w:i/>
                <w:iCs/>
              </w:rPr>
              <w:t>Calibration requirements</w:t>
            </w:r>
          </w:p>
        </w:tc>
        <w:tc>
          <w:tcPr>
            <w:tcW w:w="5190" w:type="dxa"/>
            <w:gridSpan w:val="3"/>
          </w:tcPr>
          <w:p w14:paraId="64B9AB79" w14:textId="77777777" w:rsidR="00925217" w:rsidRPr="004A0D82" w:rsidRDefault="12865A3D" w:rsidP="00E12AF4">
            <w:pPr>
              <w:pStyle w:val="SDMTableBoxParaNotNumbered"/>
              <w:spacing w:before="60" w:after="60"/>
              <w:rPr>
                <w:rFonts w:ascii="Calibri" w:hAnsi="Calibri" w:cs="Calibri"/>
              </w:rPr>
            </w:pPr>
            <w:r>
              <w:t>N/A</w:t>
            </w:r>
          </w:p>
        </w:tc>
      </w:tr>
      <w:tr w:rsidR="00593A00" w:rsidRPr="004A0D82" w14:paraId="2BEA701D" w14:textId="77777777" w:rsidTr="00E12AF4">
        <w:trPr>
          <w:trHeight w:val="104"/>
        </w:trPr>
        <w:tc>
          <w:tcPr>
            <w:tcW w:w="2552" w:type="dxa"/>
            <w:vMerge/>
          </w:tcPr>
          <w:p w14:paraId="4D307038" w14:textId="77777777" w:rsidR="00925217" w:rsidRPr="004A0D82" w:rsidRDefault="00925217" w:rsidP="00E12AF4">
            <w:pPr>
              <w:pStyle w:val="SDMTableBoxParaNotNumbered"/>
              <w:spacing w:before="60" w:after="60"/>
            </w:pPr>
          </w:p>
        </w:tc>
        <w:tc>
          <w:tcPr>
            <w:tcW w:w="1472" w:type="dxa"/>
          </w:tcPr>
          <w:p w14:paraId="564DFC58" w14:textId="77777777" w:rsidR="00925217" w:rsidRPr="004A0D82" w:rsidRDefault="12865A3D" w:rsidP="00E12AF4">
            <w:pPr>
              <w:pStyle w:val="SDMTableBoxParaNotNumbered"/>
              <w:spacing w:before="60" w:after="60"/>
              <w:rPr>
                <w:i/>
                <w:iCs/>
              </w:rPr>
            </w:pPr>
            <w:r w:rsidRPr="6BB59D32">
              <w:rPr>
                <w:i/>
                <w:iCs/>
              </w:rPr>
              <w:t>Location</w:t>
            </w:r>
          </w:p>
        </w:tc>
        <w:tc>
          <w:tcPr>
            <w:tcW w:w="5190" w:type="dxa"/>
            <w:gridSpan w:val="3"/>
          </w:tcPr>
          <w:p w14:paraId="08D69A4F" w14:textId="77777777" w:rsidR="00925217" w:rsidRPr="004A0D82" w:rsidRDefault="12865A3D" w:rsidP="00E12AF4">
            <w:pPr>
              <w:pStyle w:val="SDMTableBoxParaNotNumbered"/>
              <w:spacing w:before="60" w:after="60"/>
            </w:pPr>
            <w:r>
              <w:t>N/A</w:t>
            </w:r>
          </w:p>
        </w:tc>
      </w:tr>
      <w:tr w:rsidR="005B3CCA" w:rsidRPr="004A0D82" w14:paraId="44DD5FD5" w14:textId="77777777" w:rsidTr="00E12AF4">
        <w:trPr>
          <w:trHeight w:val="300"/>
        </w:trPr>
        <w:tc>
          <w:tcPr>
            <w:tcW w:w="2552" w:type="dxa"/>
          </w:tcPr>
          <w:p w14:paraId="5BDBD0D7" w14:textId="77777777" w:rsidR="00925217" w:rsidRPr="004A0D82" w:rsidRDefault="00925217" w:rsidP="00E12AF4">
            <w:pPr>
              <w:pStyle w:val="SDMTableBoxParaNotNumbered"/>
              <w:spacing w:before="60" w:after="60"/>
            </w:pPr>
            <w:r w:rsidRPr="004A0D82">
              <w:t>QA/QC procedures</w:t>
            </w:r>
          </w:p>
        </w:tc>
        <w:tc>
          <w:tcPr>
            <w:tcW w:w="6662" w:type="dxa"/>
            <w:gridSpan w:val="4"/>
          </w:tcPr>
          <w:p w14:paraId="1AE7ACD0" w14:textId="359BF005" w:rsidR="00925217" w:rsidRPr="004A0D82" w:rsidRDefault="12865A3D" w:rsidP="00E12AF4">
            <w:pPr>
              <w:pStyle w:val="SDMTableBoxParaNotNumbered"/>
              <w:spacing w:before="60" w:after="60"/>
            </w:pPr>
            <w:r>
              <w:t>Cross</w:t>
            </w:r>
            <w:r w:rsidR="002226E0">
              <w:t>-</w:t>
            </w:r>
            <w:r>
              <w:t xml:space="preserve">check measurement results with records for sold heat and other </w:t>
            </w:r>
            <w:r w:rsidR="00CC18AE">
              <w:t xml:space="preserve">relevant </w:t>
            </w:r>
            <w:r>
              <w:t>energy measurements</w:t>
            </w:r>
            <w:r w:rsidR="00CC18AE">
              <w:t>,</w:t>
            </w:r>
            <w:r>
              <w:t xml:space="preserve"> where </w:t>
            </w:r>
            <w:r w:rsidR="00CC18AE">
              <w:t>applicable</w:t>
            </w:r>
          </w:p>
        </w:tc>
      </w:tr>
      <w:tr w:rsidR="00585539" w:rsidRPr="004A0D82" w14:paraId="71F1DFD8" w14:textId="77777777" w:rsidTr="00E12AF4">
        <w:trPr>
          <w:trHeight w:val="300"/>
        </w:trPr>
        <w:tc>
          <w:tcPr>
            <w:tcW w:w="2552" w:type="dxa"/>
          </w:tcPr>
          <w:p w14:paraId="7BB25806" w14:textId="77777777" w:rsidR="00925217" w:rsidRPr="004A0D82" w:rsidRDefault="00925217" w:rsidP="0038031D">
            <w:pPr>
              <w:pStyle w:val="SDMTableBoxParaNotNumbered"/>
              <w:keepNext/>
              <w:spacing w:before="60" w:after="60"/>
            </w:pPr>
            <w:r w:rsidRPr="004A0D82">
              <w:t>Treatment of uncertainty</w:t>
            </w:r>
          </w:p>
        </w:tc>
        <w:tc>
          <w:tcPr>
            <w:tcW w:w="6662" w:type="dxa"/>
            <w:gridSpan w:val="4"/>
          </w:tcPr>
          <w:p w14:paraId="03E7E2BB" w14:textId="3A53AFE1" w:rsidR="00925217" w:rsidRPr="004A0D82" w:rsidRDefault="12865A3D" w:rsidP="0038031D">
            <w:pPr>
              <w:pStyle w:val="SDMTableBoxParaNotNumbered"/>
              <w:keepNext/>
              <w:spacing w:before="60" w:after="60"/>
            </w:pPr>
            <w:r>
              <w:t>Uncertainties are determined based on the measuring instruments</w:t>
            </w:r>
          </w:p>
        </w:tc>
      </w:tr>
      <w:tr w:rsidR="00585539" w:rsidRPr="00131981" w14:paraId="4C17664F" w14:textId="77777777" w:rsidTr="00E12AF4">
        <w:trPr>
          <w:trHeight w:val="300"/>
        </w:trPr>
        <w:tc>
          <w:tcPr>
            <w:tcW w:w="2552" w:type="dxa"/>
          </w:tcPr>
          <w:p w14:paraId="67255F59" w14:textId="77777777" w:rsidR="00925217" w:rsidRPr="004A0D82" w:rsidRDefault="00925217" w:rsidP="00E12AF4">
            <w:pPr>
              <w:pStyle w:val="SDMTableBoxParaNotNumbered"/>
              <w:spacing w:before="60" w:after="60"/>
            </w:pPr>
            <w:r w:rsidRPr="004A0D82">
              <w:t>Additional comment</w:t>
            </w:r>
          </w:p>
        </w:tc>
        <w:tc>
          <w:tcPr>
            <w:tcW w:w="6662" w:type="dxa"/>
            <w:gridSpan w:val="4"/>
          </w:tcPr>
          <w:p w14:paraId="1FC7B92B" w14:textId="60E58B7D" w:rsidR="00925217" w:rsidRPr="008C2BFB" w:rsidRDefault="00925217" w:rsidP="00E12AF4">
            <w:pPr>
              <w:pStyle w:val="SDMTableBoxParaNotNumbered"/>
              <w:spacing w:before="60" w:after="60"/>
            </w:pPr>
            <w:r w:rsidRPr="004A0D82">
              <w:t>-</w:t>
            </w:r>
          </w:p>
        </w:tc>
      </w:tr>
    </w:tbl>
    <w:p w14:paraId="38BCCDAD" w14:textId="0B838FF0" w:rsidR="00925217" w:rsidRPr="00800962" w:rsidRDefault="00925217" w:rsidP="007066AD">
      <w:pPr>
        <w:pStyle w:val="CaptionFullPage"/>
      </w:pPr>
      <w:r w:rsidRPr="00800962">
        <w:t>Data / Parameter table</w:t>
      </w:r>
      <w:r w:rsidR="004C17BF">
        <w:t> </w:t>
      </w:r>
      <w:r>
        <w:fldChar w:fldCharType="begin"/>
      </w:r>
      <w:r>
        <w:instrText>SEQ Data_/_Parameter_table \* ARABIC</w:instrText>
      </w:r>
      <w:r>
        <w:fldChar w:fldCharType="separate"/>
      </w:r>
      <w:r w:rsidR="00D811A8">
        <w:rPr>
          <w:noProof/>
        </w:rPr>
        <w:t>8</w:t>
      </w:r>
      <w:r>
        <w:fldChar w:fldCharType="end"/>
      </w:r>
      <w:r w:rsidRPr="00800962">
        <w:t>.</w:t>
      </w:r>
    </w:p>
    <w:tbl>
      <w:tblPr>
        <w:tblStyle w:val="TableGrid"/>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984"/>
        <w:gridCol w:w="349"/>
        <w:gridCol w:w="2113"/>
        <w:gridCol w:w="2216"/>
      </w:tblGrid>
      <w:tr w:rsidR="00925217" w:rsidRPr="00800962" w14:paraId="04AE0D42" w14:textId="77777777" w:rsidTr="00E12AF4">
        <w:trPr>
          <w:trHeight w:val="300"/>
        </w:trPr>
        <w:tc>
          <w:tcPr>
            <w:tcW w:w="2552" w:type="dxa"/>
          </w:tcPr>
          <w:p w14:paraId="3E2B2BAE" w14:textId="77777777" w:rsidR="00925217" w:rsidRPr="00800962" w:rsidRDefault="00925217" w:rsidP="0038031D">
            <w:pPr>
              <w:pStyle w:val="SDMTableBoxParaNotNumbered"/>
              <w:keepNext/>
              <w:spacing w:before="60" w:after="60"/>
              <w:rPr>
                <w:rFonts w:cs="Arial"/>
                <w:b/>
              </w:rPr>
            </w:pPr>
            <w:r w:rsidRPr="00800962">
              <w:t>Data/parameter</w:t>
            </w:r>
          </w:p>
        </w:tc>
        <w:tc>
          <w:tcPr>
            <w:tcW w:w="6662" w:type="dxa"/>
            <w:gridSpan w:val="4"/>
          </w:tcPr>
          <w:p w14:paraId="19379724" w14:textId="7B223AD8" w:rsidR="00925217" w:rsidRPr="00E12AF4" w:rsidRDefault="00000000" w:rsidP="0038031D">
            <w:pPr>
              <w:pStyle w:val="SDMTableBoxParaNotNumbered"/>
              <w:keepNext/>
              <w:spacing w:before="60" w:after="60"/>
              <w:rPr>
                <w:rFonts w:cs="Arial"/>
                <w:b/>
                <w:i/>
              </w:rPr>
            </w:pPr>
            <m:oMathPara>
              <m:oMathParaPr>
                <m:jc m:val="left"/>
              </m:oMathParaPr>
              <m:oMath>
                <m:sSub>
                  <m:sSubPr>
                    <m:ctrlPr>
                      <w:rPr>
                        <w:rFonts w:ascii="Cambria Math" w:hAnsi="Cambria Math"/>
                        <w:b/>
                        <w:bCs/>
                        <w:i/>
                      </w:rPr>
                    </m:ctrlPr>
                  </m:sSubPr>
                  <m:e>
                    <m:r>
                      <m:rPr>
                        <m:sty m:val="bi"/>
                      </m:rPr>
                      <w:rPr>
                        <w:rFonts w:ascii="Cambria Math" w:hAnsi="Cambria Math"/>
                      </w:rPr>
                      <m:t>η</m:t>
                    </m:r>
                  </m:e>
                  <m:sub>
                    <m:r>
                      <m:rPr>
                        <m:sty m:val="bi"/>
                      </m:rPr>
                      <w:rPr>
                        <w:rFonts w:ascii="Cambria Math" w:hAnsi="Cambria Math"/>
                      </w:rPr>
                      <m:t>boiler</m:t>
                    </m:r>
                  </m:sub>
                </m:sSub>
              </m:oMath>
            </m:oMathPara>
          </w:p>
        </w:tc>
      </w:tr>
      <w:tr w:rsidR="00925217" w:rsidRPr="00800962" w14:paraId="252362ED" w14:textId="77777777" w:rsidTr="00E12AF4">
        <w:trPr>
          <w:trHeight w:val="300"/>
        </w:trPr>
        <w:tc>
          <w:tcPr>
            <w:tcW w:w="2552" w:type="dxa"/>
          </w:tcPr>
          <w:p w14:paraId="243F53E7" w14:textId="77777777" w:rsidR="00925217" w:rsidRPr="00800962" w:rsidRDefault="00925217" w:rsidP="00E12AF4">
            <w:pPr>
              <w:pStyle w:val="SDMTableBoxParaNotNumbered"/>
              <w:spacing w:before="60" w:after="60"/>
            </w:pPr>
            <w:r w:rsidRPr="00800962">
              <w:t>Description</w:t>
            </w:r>
          </w:p>
        </w:tc>
        <w:tc>
          <w:tcPr>
            <w:tcW w:w="6662" w:type="dxa"/>
            <w:gridSpan w:val="4"/>
          </w:tcPr>
          <w:p w14:paraId="2C827DDD" w14:textId="3D3D4902" w:rsidR="00925217" w:rsidRPr="00800962" w:rsidRDefault="00925217" w:rsidP="00E12AF4">
            <w:pPr>
              <w:pStyle w:val="SDMTableBoxParaNotNumbered"/>
              <w:spacing w:before="60" w:after="60"/>
            </w:pPr>
            <w:r w:rsidRPr="00800962">
              <w:rPr>
                <w:lang w:eastAsia="en-US"/>
              </w:rPr>
              <w:t xml:space="preserve">Efficiency of the boiler in which heat is assumed to be generated in the absence of a </w:t>
            </w:r>
            <w:r w:rsidR="0BD52DFA">
              <w:t>fossil-fuel fired</w:t>
            </w:r>
            <w:r w:rsidR="0BD52DFA" w:rsidRPr="140C7488">
              <w:rPr>
                <w:lang w:eastAsia="en-US"/>
              </w:rPr>
              <w:t xml:space="preserve"> </w:t>
            </w:r>
            <w:r w:rsidR="3E077328" w:rsidRPr="02DD93C3">
              <w:rPr>
                <w:lang w:eastAsia="en-US"/>
              </w:rPr>
              <w:t xml:space="preserve">captive </w:t>
            </w:r>
            <w:r w:rsidRPr="00800962">
              <w:rPr>
                <w:lang w:eastAsia="en-US"/>
              </w:rPr>
              <w:t>cogeneration plant</w:t>
            </w:r>
          </w:p>
        </w:tc>
      </w:tr>
      <w:tr w:rsidR="00925217" w:rsidRPr="00800962" w14:paraId="1046A618" w14:textId="77777777" w:rsidTr="00E12AF4">
        <w:trPr>
          <w:trHeight w:val="300"/>
        </w:trPr>
        <w:tc>
          <w:tcPr>
            <w:tcW w:w="2552" w:type="dxa"/>
          </w:tcPr>
          <w:p w14:paraId="5996D731" w14:textId="77777777" w:rsidR="00925217" w:rsidRPr="00800962" w:rsidRDefault="00925217" w:rsidP="00E12AF4">
            <w:pPr>
              <w:pStyle w:val="SDMTableBoxParaNotNumbered"/>
              <w:spacing w:before="60" w:after="60"/>
            </w:pPr>
            <w:r w:rsidRPr="00800962">
              <w:t>Data unit</w:t>
            </w:r>
          </w:p>
        </w:tc>
        <w:tc>
          <w:tcPr>
            <w:tcW w:w="6662" w:type="dxa"/>
            <w:gridSpan w:val="4"/>
          </w:tcPr>
          <w:p w14:paraId="0ACA5C61" w14:textId="77777777" w:rsidR="00925217" w:rsidRPr="00800962" w:rsidRDefault="00925217" w:rsidP="00E12AF4">
            <w:pPr>
              <w:pStyle w:val="SDMTableBoxParaNotNumbered"/>
              <w:spacing w:before="60" w:after="60"/>
            </w:pPr>
            <w:r w:rsidRPr="00800962">
              <w:t>%</w:t>
            </w:r>
          </w:p>
        </w:tc>
      </w:tr>
      <w:tr w:rsidR="00925217" w:rsidRPr="00800962" w14:paraId="0AC38815" w14:textId="77777777" w:rsidTr="00E12AF4">
        <w:trPr>
          <w:trHeight w:val="300"/>
        </w:trPr>
        <w:tc>
          <w:tcPr>
            <w:tcW w:w="2552" w:type="dxa"/>
          </w:tcPr>
          <w:p w14:paraId="015EAAAF" w14:textId="77777777" w:rsidR="00925217" w:rsidRPr="00800962" w:rsidRDefault="00925217" w:rsidP="00E12AF4">
            <w:pPr>
              <w:pStyle w:val="SDMTableBoxParaNotNumbered"/>
              <w:spacing w:before="60" w:after="60"/>
            </w:pPr>
            <w:r w:rsidRPr="00800962">
              <w:t>Equations referred</w:t>
            </w:r>
          </w:p>
        </w:tc>
        <w:tc>
          <w:tcPr>
            <w:tcW w:w="6662" w:type="dxa"/>
            <w:gridSpan w:val="4"/>
            <w:tcBorders>
              <w:bottom w:val="single" w:sz="4" w:space="0" w:color="auto"/>
            </w:tcBorders>
          </w:tcPr>
          <w:p w14:paraId="27C6A563" w14:textId="77777777" w:rsidR="00925217" w:rsidRPr="00800962" w:rsidRDefault="00925217" w:rsidP="00E12AF4">
            <w:pPr>
              <w:pStyle w:val="SDMTableBoxParaNotNumbered"/>
              <w:spacing w:before="60" w:after="60"/>
            </w:pPr>
          </w:p>
        </w:tc>
      </w:tr>
      <w:tr w:rsidR="00241146" w:rsidRPr="00131981" w14:paraId="151CBE3C" w14:textId="77777777" w:rsidTr="00E12AF4">
        <w:trPr>
          <w:trHeight w:val="300"/>
        </w:trPr>
        <w:tc>
          <w:tcPr>
            <w:tcW w:w="2552" w:type="dxa"/>
            <w:tcBorders>
              <w:right w:val="single" w:sz="4" w:space="0" w:color="auto"/>
            </w:tcBorders>
          </w:tcPr>
          <w:p w14:paraId="523F4BAD" w14:textId="77777777" w:rsidR="00241146" w:rsidRPr="00131981" w:rsidRDefault="00241146" w:rsidP="00E12AF4">
            <w:pPr>
              <w:pStyle w:val="SDMTableBoxParaNotNumbered"/>
              <w:spacing w:before="60" w:after="60"/>
            </w:pPr>
            <w:r w:rsidRPr="00131981">
              <w:t>Purpose of data</w:t>
            </w:r>
          </w:p>
        </w:tc>
        <w:tc>
          <w:tcPr>
            <w:tcW w:w="2333" w:type="dxa"/>
            <w:gridSpan w:val="2"/>
            <w:tcBorders>
              <w:left w:val="single" w:sz="4" w:space="0" w:color="auto"/>
              <w:right w:val="nil"/>
            </w:tcBorders>
          </w:tcPr>
          <w:p w14:paraId="614713C6" w14:textId="77777777" w:rsidR="00241146" w:rsidRPr="005D7E1B" w:rsidRDefault="00241146" w:rsidP="00E12AF4">
            <w:pPr>
              <w:pStyle w:val="SDMTableBoxParaNotNumbered"/>
              <w:spacing w:before="60" w:after="60"/>
            </w:pPr>
            <w:r w:rsidRPr="005D7E1B">
              <w:rPr>
                <w:rFonts w:asciiTheme="minorBidi" w:hAnsiTheme="minorBidi" w:cstheme="minorBidi"/>
                <w:shd w:val="clear" w:color="auto" w:fill="E6E6E6"/>
              </w:rPr>
              <w:fldChar w:fldCharType="begin">
                <w:ffData>
                  <w:name w:val=""/>
                  <w:enabled/>
                  <w:calcOnExit w:val="0"/>
                  <w:checkBox>
                    <w:size w:val="20"/>
                    <w:default w:val="1"/>
                  </w:checkBox>
                </w:ffData>
              </w:fldChar>
            </w:r>
            <w:r w:rsidRPr="005D7E1B">
              <w:rPr>
                <w:rFonts w:asciiTheme="minorBidi" w:hAnsiTheme="minorBidi" w:cstheme="minorBidi"/>
                <w:shd w:val="clear" w:color="auto" w:fill="E6E6E6"/>
              </w:rPr>
              <w:instrText xml:space="preserve"> FORMCHECKBOX </w:instrText>
            </w:r>
            <w:r w:rsidR="00000000">
              <w:rPr>
                <w:rFonts w:asciiTheme="minorBidi" w:hAnsiTheme="minorBidi" w:cstheme="minorBidi"/>
                <w:shd w:val="clear" w:color="auto" w:fill="E6E6E6"/>
              </w:rPr>
            </w:r>
            <w:r w:rsidR="00000000">
              <w:rPr>
                <w:rFonts w:asciiTheme="minorBidi" w:hAnsiTheme="minorBidi" w:cstheme="minorBidi"/>
                <w:shd w:val="clear" w:color="auto" w:fill="E6E6E6"/>
              </w:rPr>
              <w:fldChar w:fldCharType="separate"/>
            </w:r>
            <w:r w:rsidRPr="005D7E1B">
              <w:rPr>
                <w:rFonts w:asciiTheme="minorBidi" w:hAnsiTheme="minorBidi" w:cstheme="minorBidi"/>
                <w:shd w:val="clear" w:color="auto" w:fill="E6E6E6"/>
              </w:rPr>
              <w:fldChar w:fldCharType="end"/>
            </w:r>
            <w:r>
              <w:rPr>
                <w:rFonts w:asciiTheme="minorBidi" w:hAnsiTheme="minorBidi" w:cstheme="minorBidi"/>
                <w:shd w:val="clear" w:color="auto" w:fill="E6E6E6"/>
              </w:rPr>
              <w:t xml:space="preserve"> </w:t>
            </w:r>
            <w:r w:rsidRPr="005D7E1B">
              <w:rPr>
                <w:rFonts w:asciiTheme="minorBidi" w:hAnsiTheme="minorBidi" w:cstheme="minorBidi"/>
              </w:rPr>
              <w:t>Baseline emissions</w:t>
            </w:r>
          </w:p>
        </w:tc>
        <w:tc>
          <w:tcPr>
            <w:tcW w:w="2113" w:type="dxa"/>
            <w:tcBorders>
              <w:left w:val="nil"/>
              <w:right w:val="nil"/>
            </w:tcBorders>
          </w:tcPr>
          <w:p w14:paraId="7ECE6A4B" w14:textId="77777777" w:rsidR="00241146" w:rsidRPr="005D7E1B" w:rsidRDefault="00241146" w:rsidP="00E12AF4">
            <w:pPr>
              <w:pStyle w:val="SDMTableBoxParaNotNumbered"/>
              <w:spacing w:before="60" w:after="60"/>
            </w:pPr>
            <w:r w:rsidRPr="005D7E1B">
              <w:rPr>
                <w:rFonts w:asciiTheme="minorBidi" w:hAnsiTheme="minorBidi" w:cstheme="minorBidi"/>
                <w:shd w:val="clear" w:color="auto" w:fill="E6E6E6"/>
              </w:rPr>
              <w:fldChar w:fldCharType="begin">
                <w:ffData>
                  <w:name w:val=""/>
                  <w:enabled/>
                  <w:calcOnExit w:val="0"/>
                  <w:checkBox>
                    <w:size w:val="20"/>
                    <w:default w:val="1"/>
                  </w:checkBox>
                </w:ffData>
              </w:fldChar>
            </w:r>
            <w:r w:rsidRPr="005D7E1B">
              <w:rPr>
                <w:rFonts w:asciiTheme="minorBidi" w:hAnsiTheme="minorBidi" w:cstheme="minorBidi"/>
                <w:shd w:val="clear" w:color="auto" w:fill="E6E6E6"/>
              </w:rPr>
              <w:instrText xml:space="preserve"> FORMCHECKBOX </w:instrText>
            </w:r>
            <w:r w:rsidR="00000000">
              <w:rPr>
                <w:rFonts w:asciiTheme="minorBidi" w:hAnsiTheme="minorBidi" w:cstheme="minorBidi"/>
                <w:shd w:val="clear" w:color="auto" w:fill="E6E6E6"/>
              </w:rPr>
            </w:r>
            <w:r w:rsidR="00000000">
              <w:rPr>
                <w:rFonts w:asciiTheme="minorBidi" w:hAnsiTheme="minorBidi" w:cstheme="minorBidi"/>
                <w:shd w:val="clear" w:color="auto" w:fill="E6E6E6"/>
              </w:rPr>
              <w:fldChar w:fldCharType="separate"/>
            </w:r>
            <w:r w:rsidRPr="005D7E1B">
              <w:rPr>
                <w:rFonts w:asciiTheme="minorBidi" w:hAnsiTheme="minorBidi" w:cstheme="minorBidi"/>
                <w:shd w:val="clear" w:color="auto" w:fill="E6E6E6"/>
              </w:rPr>
              <w:fldChar w:fldCharType="end"/>
            </w:r>
            <w:r w:rsidRPr="3161B3F5">
              <w:rPr>
                <w:rFonts w:asciiTheme="minorBidi" w:hAnsiTheme="minorBidi" w:cstheme="minorBidi"/>
              </w:rPr>
              <w:fldChar w:fldCharType="begin"/>
            </w:r>
            <w:r w:rsidRPr="3161B3F5">
              <w:rPr>
                <w:rFonts w:asciiTheme="minorBidi" w:hAnsiTheme="minorBidi" w:cstheme="minorBidi"/>
              </w:rPr>
              <w:instrText xml:space="preserve"> FORMCHECKBOX </w:instrText>
            </w:r>
            <w:r w:rsidR="00000000">
              <w:rPr>
                <w:rFonts w:asciiTheme="minorBidi" w:hAnsiTheme="minorBidi" w:cstheme="minorBidi"/>
              </w:rPr>
              <w:fldChar w:fldCharType="separate"/>
            </w:r>
            <w:r w:rsidRPr="3161B3F5">
              <w:rPr>
                <w:rFonts w:asciiTheme="minorBidi" w:hAnsiTheme="minorBidi" w:cstheme="minorBidi"/>
              </w:rPr>
              <w:fldChar w:fldCharType="end"/>
            </w:r>
            <w:r w:rsidRPr="005D7E1B">
              <w:rPr>
                <w:rFonts w:asciiTheme="minorBidi" w:hAnsiTheme="minorBidi" w:cstheme="minorBidi"/>
              </w:rPr>
              <w:t xml:space="preserve"> Project emissions</w:t>
            </w:r>
          </w:p>
        </w:tc>
        <w:tc>
          <w:tcPr>
            <w:tcW w:w="2216" w:type="dxa"/>
            <w:tcBorders>
              <w:left w:val="nil"/>
            </w:tcBorders>
          </w:tcPr>
          <w:p w14:paraId="4FD0B781" w14:textId="77777777" w:rsidR="00241146" w:rsidRPr="005D7E1B" w:rsidRDefault="00241146" w:rsidP="00E12AF4">
            <w:pPr>
              <w:pStyle w:val="SDMTableBoxParaNotNumbered"/>
              <w:spacing w:before="60" w:after="60"/>
            </w:pPr>
            <w:r w:rsidRPr="005D7E1B">
              <w:rPr>
                <w:rFonts w:asciiTheme="minorBidi" w:hAnsiTheme="minorBidi" w:cstheme="minorBidi"/>
                <w:shd w:val="clear" w:color="auto" w:fill="E6E6E6"/>
              </w:rPr>
              <w:fldChar w:fldCharType="begin">
                <w:ffData>
                  <w:name w:val=""/>
                  <w:enabled/>
                  <w:calcOnExit w:val="0"/>
                  <w:checkBox>
                    <w:size w:val="20"/>
                    <w:default w:val="1"/>
                  </w:checkBox>
                </w:ffData>
              </w:fldChar>
            </w:r>
            <w:r w:rsidRPr="005D7E1B">
              <w:rPr>
                <w:rFonts w:asciiTheme="minorBidi" w:hAnsiTheme="minorBidi" w:cstheme="minorBidi"/>
                <w:shd w:val="clear" w:color="auto" w:fill="E6E6E6"/>
              </w:rPr>
              <w:instrText xml:space="preserve"> FORMCHECKBOX </w:instrText>
            </w:r>
            <w:r w:rsidR="00000000">
              <w:rPr>
                <w:rFonts w:asciiTheme="minorBidi" w:hAnsiTheme="minorBidi" w:cstheme="minorBidi"/>
                <w:shd w:val="clear" w:color="auto" w:fill="E6E6E6"/>
              </w:rPr>
            </w:r>
            <w:r w:rsidR="00000000">
              <w:rPr>
                <w:rFonts w:asciiTheme="minorBidi" w:hAnsiTheme="minorBidi" w:cstheme="minorBidi"/>
                <w:shd w:val="clear" w:color="auto" w:fill="E6E6E6"/>
              </w:rPr>
              <w:fldChar w:fldCharType="separate"/>
            </w:r>
            <w:r w:rsidRPr="005D7E1B">
              <w:rPr>
                <w:rFonts w:asciiTheme="minorBidi" w:hAnsiTheme="minorBidi" w:cstheme="minorBidi"/>
                <w:shd w:val="clear" w:color="auto" w:fill="E6E6E6"/>
              </w:rPr>
              <w:fldChar w:fldCharType="end"/>
            </w:r>
            <w:r w:rsidRPr="3161B3F5">
              <w:rPr>
                <w:rFonts w:asciiTheme="minorBidi" w:hAnsiTheme="minorBidi" w:cstheme="minorBidi"/>
              </w:rPr>
              <w:fldChar w:fldCharType="begin"/>
            </w:r>
            <w:r w:rsidRPr="3161B3F5">
              <w:rPr>
                <w:rFonts w:asciiTheme="minorBidi" w:hAnsiTheme="minorBidi" w:cstheme="minorBidi"/>
              </w:rPr>
              <w:instrText xml:space="preserve"> FORMCHECKBOX </w:instrText>
            </w:r>
            <w:r w:rsidR="00000000">
              <w:rPr>
                <w:rFonts w:asciiTheme="minorBidi" w:hAnsiTheme="minorBidi" w:cstheme="minorBidi"/>
              </w:rPr>
              <w:fldChar w:fldCharType="separate"/>
            </w:r>
            <w:r w:rsidRPr="3161B3F5">
              <w:rPr>
                <w:rFonts w:asciiTheme="minorBidi" w:hAnsiTheme="minorBidi" w:cstheme="minorBidi"/>
              </w:rPr>
              <w:fldChar w:fldCharType="end"/>
            </w:r>
            <w:r w:rsidRPr="005D7E1B">
              <w:rPr>
                <w:rFonts w:asciiTheme="minorBidi" w:hAnsiTheme="minorBidi" w:cstheme="minorBidi"/>
              </w:rPr>
              <w:t xml:space="preserve"> Leakage emissions</w:t>
            </w:r>
          </w:p>
        </w:tc>
      </w:tr>
      <w:tr w:rsidR="00925217" w:rsidRPr="00800962" w14:paraId="64C7A165" w14:textId="77777777" w:rsidTr="00E12AF4">
        <w:trPr>
          <w:trHeight w:val="300"/>
        </w:trPr>
        <w:tc>
          <w:tcPr>
            <w:tcW w:w="2552" w:type="dxa"/>
          </w:tcPr>
          <w:p w14:paraId="1F30D757" w14:textId="77777777" w:rsidR="00925217" w:rsidRPr="00800962" w:rsidRDefault="3A25738E" w:rsidP="00E12AF4">
            <w:pPr>
              <w:pStyle w:val="SDMTableBoxParaNotNumbered"/>
              <w:spacing w:before="60" w:after="60"/>
            </w:pPr>
            <w:r>
              <w:t>Measurement and updating frequency</w:t>
            </w:r>
          </w:p>
        </w:tc>
        <w:tc>
          <w:tcPr>
            <w:tcW w:w="6662" w:type="dxa"/>
            <w:gridSpan w:val="4"/>
          </w:tcPr>
          <w:p w14:paraId="2FC1DE3A" w14:textId="53CB1DB8" w:rsidR="00925217" w:rsidRPr="00800962" w:rsidRDefault="12865A3D" w:rsidP="00E12AF4">
            <w:pPr>
              <w:pStyle w:val="SDMTableBoxParaNotNumbered"/>
              <w:spacing w:before="60" w:after="60"/>
            </w:pPr>
            <w:r>
              <w:t>If option</w:t>
            </w:r>
            <w:r w:rsidR="004C17BF">
              <w:t> </w:t>
            </w:r>
            <w:r w:rsidR="000F51F6">
              <w:t>1</w:t>
            </w:r>
            <w:r>
              <w:t xml:space="preserve"> below is chosen: </w:t>
            </w:r>
            <w:r w:rsidR="00B551FB">
              <w:t xml:space="preserve">once </w:t>
            </w:r>
            <w:r>
              <w:t>at the start of the Article 6.4 activity</w:t>
            </w:r>
            <w:r w:rsidR="70D8C998">
              <w:t>.</w:t>
            </w:r>
          </w:p>
          <w:p w14:paraId="3B7724B2" w14:textId="5CFA32A3" w:rsidR="00925217" w:rsidRPr="00800962" w:rsidRDefault="12865A3D" w:rsidP="00E12AF4">
            <w:pPr>
              <w:pStyle w:val="SDMTableBoxParaNotNumbered"/>
              <w:spacing w:before="60" w:after="60"/>
            </w:pPr>
            <w:r>
              <w:t>If option</w:t>
            </w:r>
            <w:r w:rsidR="004C17BF">
              <w:t> </w:t>
            </w:r>
            <w:r w:rsidR="00F31A00">
              <w:t>2</w:t>
            </w:r>
            <w:r>
              <w:t xml:space="preserve"> below is chosen: </w:t>
            </w:r>
            <w:r w:rsidR="00C963F4">
              <w:t xml:space="preserve">not </w:t>
            </w:r>
            <w:r>
              <w:t>applicable</w:t>
            </w:r>
          </w:p>
        </w:tc>
      </w:tr>
      <w:tr w:rsidR="00925217" w:rsidRPr="00800962" w14:paraId="090AC5D4" w14:textId="77777777" w:rsidTr="00E12AF4">
        <w:trPr>
          <w:trHeight w:val="300"/>
        </w:trPr>
        <w:tc>
          <w:tcPr>
            <w:tcW w:w="2552" w:type="dxa"/>
          </w:tcPr>
          <w:p w14:paraId="59878CA3" w14:textId="77777777" w:rsidR="00925217" w:rsidRPr="00800962" w:rsidRDefault="00925217" w:rsidP="00E12AF4">
            <w:pPr>
              <w:pStyle w:val="SDMTableBoxParaNotNumbered"/>
              <w:spacing w:before="60" w:after="60"/>
            </w:pPr>
            <w:r w:rsidRPr="00800962">
              <w:t>Measurement methods and procedures</w:t>
            </w:r>
          </w:p>
        </w:tc>
        <w:tc>
          <w:tcPr>
            <w:tcW w:w="6662" w:type="dxa"/>
            <w:gridSpan w:val="4"/>
          </w:tcPr>
          <w:p w14:paraId="5287DAC6" w14:textId="09A0C82B" w:rsidR="00925217" w:rsidRPr="00800962" w:rsidRDefault="00AC0680" w:rsidP="00E12AF4">
            <w:pPr>
              <w:pStyle w:val="SDMTableBoxParaNotNumbered"/>
              <w:spacing w:before="60" w:after="60"/>
            </w:pPr>
            <w:r w:rsidRPr="00385CF5">
              <w:rPr>
                <w:u w:val="single"/>
              </w:rPr>
              <w:t>Option</w:t>
            </w:r>
            <w:r w:rsidR="004C17BF">
              <w:rPr>
                <w:u w:val="single"/>
              </w:rPr>
              <w:t> </w:t>
            </w:r>
            <w:r w:rsidR="00385CF5" w:rsidRPr="00385CF5">
              <w:rPr>
                <w:u w:val="single"/>
              </w:rPr>
              <w:t>1</w:t>
            </w:r>
            <w:r w:rsidRPr="00385CF5">
              <w:rPr>
                <w:u w:val="single"/>
              </w:rPr>
              <w:t>:</w:t>
            </w:r>
            <w:r w:rsidR="12865A3D">
              <w:t xml:space="preserve"> Measurement of the efficiency </w:t>
            </w:r>
            <w:r w:rsidR="00A71C1A">
              <w:t>where</w:t>
            </w:r>
            <w:r w:rsidR="12865A3D">
              <w:t xml:space="preserve"> a heat-only boiler is installed and </w:t>
            </w:r>
            <w:r w:rsidR="00445E10">
              <w:t>operated</w:t>
            </w:r>
            <w:r w:rsidR="12865A3D">
              <w:t xml:space="preserve"> at the site of the </w:t>
            </w:r>
            <w:r w:rsidR="328A1917">
              <w:t>fossil-fuel fired</w:t>
            </w:r>
            <w:r w:rsidR="12865A3D">
              <w:t xml:space="preserve"> captive power plant(s)</w:t>
            </w:r>
            <w:r w:rsidR="00445E10">
              <w:t>,</w:t>
            </w:r>
            <w:r w:rsidR="12865A3D">
              <w:t xml:space="preserve"> using </w:t>
            </w:r>
            <w:r w:rsidR="00445E10">
              <w:t xml:space="preserve">relevant </w:t>
            </w:r>
            <w:r w:rsidR="12865A3D">
              <w:t>national or international standards</w:t>
            </w:r>
            <w:r w:rsidR="62F1C8B6">
              <w:t>;</w:t>
            </w:r>
            <w:r w:rsidR="00445E10">
              <w:t xml:space="preserve"> or</w:t>
            </w:r>
          </w:p>
          <w:p w14:paraId="40E0BEF6" w14:textId="79B303D4" w:rsidR="00925217" w:rsidRPr="00800962" w:rsidRDefault="00AC0680" w:rsidP="00E12AF4">
            <w:pPr>
              <w:pStyle w:val="SDMTableBoxParaNotNumbered"/>
              <w:spacing w:before="60" w:after="60"/>
            </w:pPr>
            <w:r w:rsidRPr="00385CF5">
              <w:rPr>
                <w:u w:val="single"/>
              </w:rPr>
              <w:t>Option</w:t>
            </w:r>
            <w:r w:rsidR="004C17BF">
              <w:rPr>
                <w:u w:val="single"/>
              </w:rPr>
              <w:t> </w:t>
            </w:r>
            <w:r w:rsidR="00385CF5" w:rsidRPr="00385CF5">
              <w:rPr>
                <w:u w:val="single"/>
              </w:rPr>
              <w:t>2</w:t>
            </w:r>
            <w:r w:rsidRPr="00385CF5">
              <w:rPr>
                <w:u w:val="single"/>
              </w:rPr>
              <w:t>:</w:t>
            </w:r>
            <w:r w:rsidR="12865A3D">
              <w:t xml:space="preserve"> Assume a default value of 100</w:t>
            </w:r>
            <w:r w:rsidR="00445E10">
              <w:t xml:space="preserve"> per cent </w:t>
            </w:r>
            <w:r w:rsidR="5BE6110B">
              <w:t xml:space="preserve">for </w:t>
            </w:r>
            <w:r w:rsidR="00445E10">
              <w:t>case</w:t>
            </w:r>
            <w:r w:rsidR="004C17BF">
              <w:t> </w:t>
            </w:r>
            <w:r w:rsidR="5BE6110B">
              <w:t>1</w:t>
            </w:r>
            <w:r w:rsidR="12865A3D">
              <w:t xml:space="preserve"> and 60</w:t>
            </w:r>
            <w:r w:rsidR="00445E10">
              <w:t xml:space="preserve"> per cent </w:t>
            </w:r>
            <w:r w:rsidR="2B0E2AEC">
              <w:t xml:space="preserve">for </w:t>
            </w:r>
            <w:r w:rsidR="00445E10">
              <w:t>case</w:t>
            </w:r>
            <w:r w:rsidR="004C17BF">
              <w:t> </w:t>
            </w:r>
            <w:r w:rsidR="08E33E56">
              <w:t>2</w:t>
            </w:r>
          </w:p>
        </w:tc>
      </w:tr>
      <w:tr w:rsidR="00925217" w:rsidRPr="00800962" w14:paraId="0799D968" w14:textId="77777777" w:rsidTr="00E12AF4">
        <w:trPr>
          <w:trHeight w:val="107"/>
        </w:trPr>
        <w:tc>
          <w:tcPr>
            <w:tcW w:w="2552" w:type="dxa"/>
          </w:tcPr>
          <w:p w14:paraId="7D53FD0D" w14:textId="77777777" w:rsidR="00925217" w:rsidRPr="00800962" w:rsidRDefault="00925217" w:rsidP="00E12AF4">
            <w:pPr>
              <w:pStyle w:val="SDMTableBoxParaNotNumbered"/>
              <w:spacing w:before="60" w:after="60"/>
            </w:pPr>
            <w:r w:rsidRPr="00800962">
              <w:t>Entity/person responsible for the measurement</w:t>
            </w:r>
          </w:p>
        </w:tc>
        <w:tc>
          <w:tcPr>
            <w:tcW w:w="6662" w:type="dxa"/>
            <w:gridSpan w:val="4"/>
          </w:tcPr>
          <w:p w14:paraId="1A1FCDEA" w14:textId="5BB8379C" w:rsidR="00925217" w:rsidRPr="00800962" w:rsidRDefault="12865A3D" w:rsidP="00E12AF4">
            <w:pPr>
              <w:pStyle w:val="SDMTableBoxParaNotNumbered"/>
              <w:spacing w:before="60" w:after="60"/>
            </w:pPr>
            <w:r>
              <w:t>If option</w:t>
            </w:r>
            <w:r w:rsidR="004C17BF">
              <w:t> </w:t>
            </w:r>
            <w:r w:rsidR="000F51F6">
              <w:t>1</w:t>
            </w:r>
            <w:r>
              <w:t xml:space="preserve"> is chosen: activity participants</w:t>
            </w:r>
            <w:r w:rsidR="004C17BF">
              <w:t>.</w:t>
            </w:r>
          </w:p>
          <w:p w14:paraId="512B5CF4" w14:textId="667CA4BE" w:rsidR="00925217" w:rsidRPr="00800962" w:rsidRDefault="12865A3D" w:rsidP="00E12AF4">
            <w:pPr>
              <w:pStyle w:val="SDMTableBoxParaNotNumbered"/>
              <w:spacing w:before="60" w:after="60"/>
            </w:pPr>
            <w:r>
              <w:t>If option</w:t>
            </w:r>
            <w:r w:rsidR="004C17BF">
              <w:t> </w:t>
            </w:r>
            <w:r w:rsidR="000F51F6">
              <w:t>2</w:t>
            </w:r>
            <w:r>
              <w:t xml:space="preserve"> is chosen: not applicable</w:t>
            </w:r>
          </w:p>
        </w:tc>
      </w:tr>
      <w:tr w:rsidR="00925217" w:rsidRPr="00800962" w14:paraId="5198B582" w14:textId="77777777" w:rsidTr="00E12AF4">
        <w:trPr>
          <w:trHeight w:val="107"/>
        </w:trPr>
        <w:tc>
          <w:tcPr>
            <w:tcW w:w="2552" w:type="dxa"/>
            <w:vMerge w:val="restart"/>
          </w:tcPr>
          <w:p w14:paraId="34361950" w14:textId="77777777" w:rsidR="00925217" w:rsidRPr="00800962" w:rsidRDefault="00925217" w:rsidP="00E12AF4">
            <w:pPr>
              <w:pStyle w:val="SDMTableBoxParaNotNumbered"/>
              <w:spacing w:before="60" w:after="60"/>
            </w:pPr>
            <w:r w:rsidRPr="00800962">
              <w:t>Measuring instrument(s)</w:t>
            </w:r>
          </w:p>
        </w:tc>
        <w:tc>
          <w:tcPr>
            <w:tcW w:w="1984" w:type="dxa"/>
          </w:tcPr>
          <w:p w14:paraId="1A75E430" w14:textId="77777777" w:rsidR="00925217" w:rsidRPr="00800962" w:rsidRDefault="00925217" w:rsidP="00E12AF4">
            <w:pPr>
              <w:pStyle w:val="SDMTableBoxParaNotNumbered"/>
              <w:spacing w:before="60" w:after="60"/>
              <w:rPr>
                <w:i/>
              </w:rPr>
            </w:pPr>
            <w:r w:rsidRPr="00800962">
              <w:rPr>
                <w:i/>
              </w:rPr>
              <w:t>Type of instrument</w:t>
            </w:r>
          </w:p>
        </w:tc>
        <w:tc>
          <w:tcPr>
            <w:tcW w:w="4678" w:type="dxa"/>
            <w:gridSpan w:val="3"/>
          </w:tcPr>
          <w:p w14:paraId="37BFBBE9" w14:textId="77777777" w:rsidR="00925217" w:rsidRPr="00800962" w:rsidRDefault="00925217" w:rsidP="00E12AF4">
            <w:pPr>
              <w:pStyle w:val="SDMTableBoxParaNotNumbered"/>
              <w:spacing w:before="60" w:after="60"/>
            </w:pPr>
            <w:r w:rsidRPr="00800962">
              <w:t>N/A</w:t>
            </w:r>
          </w:p>
        </w:tc>
      </w:tr>
      <w:tr w:rsidR="00D94618" w:rsidRPr="00800962" w14:paraId="2EAC71E5" w14:textId="77777777" w:rsidTr="00E12AF4">
        <w:trPr>
          <w:trHeight w:val="104"/>
        </w:trPr>
        <w:tc>
          <w:tcPr>
            <w:tcW w:w="2552" w:type="dxa"/>
            <w:vMerge/>
          </w:tcPr>
          <w:p w14:paraId="6A780A3A" w14:textId="77777777" w:rsidR="00925217" w:rsidRPr="00800962" w:rsidRDefault="00925217" w:rsidP="00E12AF4">
            <w:pPr>
              <w:pStyle w:val="SDMTableBoxParaNotNumbered"/>
              <w:spacing w:before="60" w:after="60"/>
            </w:pPr>
          </w:p>
        </w:tc>
        <w:tc>
          <w:tcPr>
            <w:tcW w:w="1984" w:type="dxa"/>
          </w:tcPr>
          <w:p w14:paraId="1A2D3049" w14:textId="77777777" w:rsidR="00925217" w:rsidRPr="00800962" w:rsidRDefault="00925217" w:rsidP="00E12AF4">
            <w:pPr>
              <w:pStyle w:val="SDMTableBoxParaNotNumbered"/>
              <w:spacing w:before="60" w:after="60"/>
              <w:rPr>
                <w:i/>
                <w:iCs/>
              </w:rPr>
            </w:pPr>
            <w:r w:rsidRPr="00800962">
              <w:rPr>
                <w:i/>
                <w:iCs/>
              </w:rPr>
              <w:t>Accuracy class</w:t>
            </w:r>
          </w:p>
        </w:tc>
        <w:tc>
          <w:tcPr>
            <w:tcW w:w="4678" w:type="dxa"/>
            <w:gridSpan w:val="3"/>
          </w:tcPr>
          <w:p w14:paraId="52A2127F" w14:textId="77777777" w:rsidR="00925217" w:rsidRPr="00800962" w:rsidRDefault="00925217" w:rsidP="00E12AF4">
            <w:pPr>
              <w:pStyle w:val="SDMTableBoxParaNotNumbered"/>
              <w:spacing w:before="60" w:after="60"/>
            </w:pPr>
            <w:r w:rsidRPr="00800962">
              <w:t>N/A</w:t>
            </w:r>
          </w:p>
        </w:tc>
      </w:tr>
      <w:tr w:rsidR="00D94618" w:rsidRPr="00800962" w14:paraId="126C81F4" w14:textId="77777777" w:rsidTr="00E12AF4">
        <w:trPr>
          <w:trHeight w:val="104"/>
        </w:trPr>
        <w:tc>
          <w:tcPr>
            <w:tcW w:w="2552" w:type="dxa"/>
            <w:vMerge/>
          </w:tcPr>
          <w:p w14:paraId="289A3D47" w14:textId="77777777" w:rsidR="00925217" w:rsidRPr="00800962" w:rsidRDefault="00925217" w:rsidP="00E12AF4">
            <w:pPr>
              <w:pStyle w:val="SDMTableBoxParaNotNumbered"/>
              <w:spacing w:before="60" w:after="60"/>
            </w:pPr>
          </w:p>
        </w:tc>
        <w:tc>
          <w:tcPr>
            <w:tcW w:w="1984" w:type="dxa"/>
          </w:tcPr>
          <w:p w14:paraId="402D9387" w14:textId="77777777" w:rsidR="00925217" w:rsidRPr="00800962" w:rsidRDefault="00925217" w:rsidP="00E12AF4">
            <w:pPr>
              <w:pStyle w:val="SDMTableBoxParaNotNumbered"/>
              <w:spacing w:before="60" w:after="60"/>
              <w:rPr>
                <w:i/>
                <w:iCs/>
              </w:rPr>
            </w:pPr>
            <w:r w:rsidRPr="00800962">
              <w:rPr>
                <w:i/>
                <w:iCs/>
              </w:rPr>
              <w:t>Calibration requirements</w:t>
            </w:r>
          </w:p>
        </w:tc>
        <w:tc>
          <w:tcPr>
            <w:tcW w:w="4678" w:type="dxa"/>
            <w:gridSpan w:val="3"/>
          </w:tcPr>
          <w:p w14:paraId="2F816781" w14:textId="77777777" w:rsidR="00925217" w:rsidRPr="00800962" w:rsidRDefault="00925217" w:rsidP="00E12AF4">
            <w:pPr>
              <w:pStyle w:val="SDMTableBoxParaNotNumbered"/>
              <w:spacing w:before="60" w:after="60"/>
              <w:rPr>
                <w:rFonts w:ascii="Calibri" w:hAnsi="Calibri" w:cs="Calibri"/>
              </w:rPr>
            </w:pPr>
            <w:r w:rsidRPr="00800962">
              <w:t>N/A</w:t>
            </w:r>
          </w:p>
        </w:tc>
      </w:tr>
      <w:tr w:rsidR="00D94618" w:rsidRPr="00800962" w14:paraId="182A86AF" w14:textId="77777777" w:rsidTr="00E12AF4">
        <w:trPr>
          <w:trHeight w:val="104"/>
        </w:trPr>
        <w:tc>
          <w:tcPr>
            <w:tcW w:w="2552" w:type="dxa"/>
            <w:vMerge/>
          </w:tcPr>
          <w:p w14:paraId="67C2290F" w14:textId="77777777" w:rsidR="00925217" w:rsidRPr="00800962" w:rsidRDefault="00925217" w:rsidP="00E12AF4">
            <w:pPr>
              <w:pStyle w:val="SDMTableBoxParaNotNumbered"/>
              <w:spacing w:before="60" w:after="60"/>
            </w:pPr>
          </w:p>
        </w:tc>
        <w:tc>
          <w:tcPr>
            <w:tcW w:w="1984" w:type="dxa"/>
          </w:tcPr>
          <w:p w14:paraId="1EADFFDD" w14:textId="77777777" w:rsidR="00925217" w:rsidRPr="00800962" w:rsidRDefault="00925217" w:rsidP="00E12AF4">
            <w:pPr>
              <w:pStyle w:val="SDMTableBoxParaNotNumbered"/>
              <w:spacing w:before="60" w:after="60"/>
              <w:rPr>
                <w:i/>
                <w:iCs/>
              </w:rPr>
            </w:pPr>
            <w:r w:rsidRPr="00800962">
              <w:rPr>
                <w:i/>
                <w:iCs/>
              </w:rPr>
              <w:t>Location</w:t>
            </w:r>
          </w:p>
        </w:tc>
        <w:tc>
          <w:tcPr>
            <w:tcW w:w="4678" w:type="dxa"/>
            <w:gridSpan w:val="3"/>
          </w:tcPr>
          <w:p w14:paraId="143D8BD8" w14:textId="77777777" w:rsidR="00925217" w:rsidRPr="00800962" w:rsidRDefault="00925217" w:rsidP="00E12AF4">
            <w:pPr>
              <w:pStyle w:val="SDMTableBoxParaNotNumbered"/>
              <w:spacing w:before="60" w:after="60"/>
            </w:pPr>
            <w:r w:rsidRPr="00800962">
              <w:t>N/A</w:t>
            </w:r>
          </w:p>
        </w:tc>
      </w:tr>
      <w:tr w:rsidR="00925217" w:rsidRPr="00800962" w14:paraId="1BDE348D" w14:textId="77777777" w:rsidTr="00E12AF4">
        <w:trPr>
          <w:trHeight w:val="300"/>
        </w:trPr>
        <w:tc>
          <w:tcPr>
            <w:tcW w:w="2552" w:type="dxa"/>
          </w:tcPr>
          <w:p w14:paraId="327D974E" w14:textId="77777777" w:rsidR="00925217" w:rsidRPr="00800962" w:rsidRDefault="00925217" w:rsidP="00E12AF4">
            <w:pPr>
              <w:pStyle w:val="SDMTableBoxParaNotNumbered"/>
              <w:spacing w:before="60" w:after="60"/>
            </w:pPr>
            <w:r w:rsidRPr="00800962">
              <w:t>QA/QC procedures</w:t>
            </w:r>
          </w:p>
        </w:tc>
        <w:tc>
          <w:tcPr>
            <w:tcW w:w="6662" w:type="dxa"/>
            <w:gridSpan w:val="4"/>
          </w:tcPr>
          <w:p w14:paraId="172259DD" w14:textId="77777777" w:rsidR="00925217" w:rsidRPr="00800962" w:rsidRDefault="00925217" w:rsidP="00E12AF4">
            <w:pPr>
              <w:pStyle w:val="SDMTableBoxParaNotNumbered"/>
              <w:spacing w:before="60" w:after="60"/>
            </w:pPr>
            <w:r w:rsidRPr="00800962">
              <w:t>-</w:t>
            </w:r>
          </w:p>
        </w:tc>
      </w:tr>
      <w:tr w:rsidR="00925217" w:rsidRPr="00800962" w14:paraId="07C534CC" w14:textId="77777777" w:rsidTr="00E12AF4">
        <w:trPr>
          <w:trHeight w:val="300"/>
        </w:trPr>
        <w:tc>
          <w:tcPr>
            <w:tcW w:w="2552" w:type="dxa"/>
          </w:tcPr>
          <w:p w14:paraId="3692C0B7" w14:textId="77777777" w:rsidR="00925217" w:rsidRPr="00800962" w:rsidRDefault="00925217" w:rsidP="0038031D">
            <w:pPr>
              <w:pStyle w:val="SDMTableBoxParaNotNumbered"/>
              <w:keepNext/>
              <w:spacing w:before="60" w:after="60"/>
            </w:pPr>
            <w:r w:rsidRPr="00800962">
              <w:t>Treatment of uncertainty</w:t>
            </w:r>
          </w:p>
        </w:tc>
        <w:tc>
          <w:tcPr>
            <w:tcW w:w="6662" w:type="dxa"/>
            <w:gridSpan w:val="4"/>
          </w:tcPr>
          <w:p w14:paraId="36F80EDD" w14:textId="74DD377D" w:rsidR="00925217" w:rsidRPr="00800962" w:rsidRDefault="4BD1A30B" w:rsidP="0038031D">
            <w:pPr>
              <w:pStyle w:val="SDMTableBoxParaNotNumbered"/>
              <w:keepNext/>
              <w:spacing w:before="60" w:after="60"/>
            </w:pPr>
            <w:r>
              <w:t>If option</w:t>
            </w:r>
            <w:r w:rsidR="004C17BF">
              <w:t> </w:t>
            </w:r>
            <w:r w:rsidR="00385CF5">
              <w:t>1</w:t>
            </w:r>
            <w:r>
              <w:t xml:space="preserve"> is chosen: </w:t>
            </w:r>
            <w:r w:rsidR="12865A3D">
              <w:t xml:space="preserve">Uncertainties </w:t>
            </w:r>
            <w:r w:rsidR="0053081E">
              <w:t xml:space="preserve">shall be </w:t>
            </w:r>
            <w:r w:rsidR="12865A3D">
              <w:t>determined based on the measuring instruments</w:t>
            </w:r>
            <w:r w:rsidR="21535788">
              <w:t>.</w:t>
            </w:r>
          </w:p>
          <w:p w14:paraId="655EFAB7" w14:textId="45851021" w:rsidR="00925217" w:rsidRPr="00800962" w:rsidRDefault="07B9F287" w:rsidP="0038031D">
            <w:pPr>
              <w:pStyle w:val="SDMTableBoxParaNotNumbered"/>
              <w:keepNext/>
              <w:spacing w:before="60" w:after="60"/>
            </w:pPr>
            <w:r>
              <w:t>If option</w:t>
            </w:r>
            <w:r w:rsidR="004C17BF">
              <w:t> </w:t>
            </w:r>
            <w:r w:rsidR="00385CF5">
              <w:t>2</w:t>
            </w:r>
            <w:r>
              <w:t xml:space="preserve"> is chosen: </w:t>
            </w:r>
            <w:r w:rsidR="001203AB">
              <w:t xml:space="preserve">Not </w:t>
            </w:r>
            <w:r>
              <w:t>applicabl</w:t>
            </w:r>
            <w:r w:rsidR="706BF057">
              <w:t>e</w:t>
            </w:r>
          </w:p>
        </w:tc>
      </w:tr>
      <w:tr w:rsidR="00925217" w:rsidRPr="00800962" w14:paraId="40E3D241" w14:textId="77777777" w:rsidTr="00E12AF4">
        <w:trPr>
          <w:trHeight w:val="300"/>
        </w:trPr>
        <w:tc>
          <w:tcPr>
            <w:tcW w:w="2552" w:type="dxa"/>
          </w:tcPr>
          <w:p w14:paraId="33872251" w14:textId="77777777" w:rsidR="00925217" w:rsidRPr="00800962" w:rsidRDefault="00925217" w:rsidP="00E12AF4">
            <w:pPr>
              <w:pStyle w:val="SDMTableBoxParaNotNumbered"/>
              <w:spacing w:before="60" w:after="60"/>
            </w:pPr>
            <w:r w:rsidRPr="00800962">
              <w:t>Additional comment</w:t>
            </w:r>
          </w:p>
        </w:tc>
        <w:tc>
          <w:tcPr>
            <w:tcW w:w="6662" w:type="dxa"/>
            <w:gridSpan w:val="4"/>
          </w:tcPr>
          <w:p w14:paraId="623C5DB5" w14:textId="317CF600" w:rsidR="00925217" w:rsidRPr="00800962" w:rsidRDefault="00925217" w:rsidP="00E12AF4">
            <w:pPr>
              <w:pStyle w:val="SDMTableBoxParaNotNumbered"/>
              <w:spacing w:before="60" w:after="60"/>
            </w:pPr>
            <w:r w:rsidRPr="00800962">
              <w:t>-</w:t>
            </w:r>
          </w:p>
        </w:tc>
      </w:tr>
    </w:tbl>
    <w:p w14:paraId="7F05D7DC" w14:textId="22024606" w:rsidR="00B12F6C" w:rsidRPr="00800962" w:rsidRDefault="7C49396F" w:rsidP="007066AD">
      <w:pPr>
        <w:pStyle w:val="CaptionFullPage"/>
      </w:pPr>
      <w:bookmarkStart w:id="742" w:name="_Ref220958291"/>
      <w:r>
        <w:t>Data / Parameter table</w:t>
      </w:r>
      <w:r w:rsidR="004C17BF">
        <w:t> </w:t>
      </w:r>
      <w:r w:rsidR="00B12F6C" w:rsidRPr="6BB59D32">
        <w:fldChar w:fldCharType="begin"/>
      </w:r>
      <w:r w:rsidR="00B12F6C">
        <w:instrText xml:space="preserve"> SEQ Data_/_Parameter_table \* ARABIC </w:instrText>
      </w:r>
      <w:r w:rsidR="00B12F6C" w:rsidRPr="6BB59D32">
        <w:fldChar w:fldCharType="separate"/>
      </w:r>
      <w:r w:rsidR="00D811A8">
        <w:rPr>
          <w:noProof/>
        </w:rPr>
        <w:t>9</w:t>
      </w:r>
      <w:r w:rsidR="00B12F6C" w:rsidRPr="6BB59D32">
        <w:rPr>
          <w:noProof/>
        </w:rPr>
        <w:fldChar w:fldCharType="end"/>
      </w:r>
      <w:r>
        <w:t>.</w:t>
      </w:r>
      <w:bookmarkEnd w:id="742"/>
    </w:p>
    <w:tbl>
      <w:tblPr>
        <w:tblStyle w:val="TableGrid"/>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758"/>
        <w:gridCol w:w="575"/>
        <w:gridCol w:w="2113"/>
        <w:gridCol w:w="2216"/>
      </w:tblGrid>
      <w:tr w:rsidR="00B312F0" w:rsidRPr="005A04B7" w14:paraId="05E6E8A8" w14:textId="77777777" w:rsidTr="00E12AF4">
        <w:trPr>
          <w:trHeight w:val="300"/>
        </w:trPr>
        <w:tc>
          <w:tcPr>
            <w:tcW w:w="2552" w:type="dxa"/>
            <w:hideMark/>
          </w:tcPr>
          <w:p w14:paraId="1E37015E" w14:textId="77777777" w:rsidR="00F575EE" w:rsidRPr="005A04B7" w:rsidRDefault="00F575EE" w:rsidP="00E12AF4">
            <w:pPr>
              <w:pStyle w:val="SDMTableBoxParaNotNumbered"/>
              <w:keepNext/>
              <w:spacing w:before="60" w:after="60"/>
              <w:rPr>
                <w:rFonts w:cs="Arial"/>
              </w:rPr>
            </w:pPr>
            <w:r w:rsidRPr="005A04B7">
              <w:rPr>
                <w:rFonts w:cs="Arial"/>
              </w:rPr>
              <w:t>Data/parameter</w:t>
            </w:r>
          </w:p>
        </w:tc>
        <w:tc>
          <w:tcPr>
            <w:tcW w:w="6662" w:type="dxa"/>
            <w:gridSpan w:val="4"/>
            <w:hideMark/>
          </w:tcPr>
          <w:p w14:paraId="3F3C4319" w14:textId="77777777" w:rsidR="00F575EE" w:rsidRPr="005A04B7" w:rsidRDefault="00000000" w:rsidP="00E12AF4">
            <w:pPr>
              <w:pStyle w:val="SDMTableBoxParaNotNumbered"/>
              <w:keepNext/>
              <w:spacing w:before="60" w:after="60"/>
              <w:rPr>
                <w:rFonts w:cs="Arial"/>
                <w:i/>
              </w:rPr>
            </w:pPr>
            <m:oMathPara>
              <m:oMathParaPr>
                <m:jc m:val="left"/>
              </m:oMathParaPr>
              <m:oMath>
                <m:sSub>
                  <m:sSubPr>
                    <m:ctrlPr>
                      <w:rPr>
                        <w:rFonts w:ascii="Cambria Math" w:eastAsiaTheme="minorEastAsia" w:hAnsi="Cambria Math" w:cs="Arial"/>
                        <w:i/>
                        <w:lang w:val="en-GB"/>
                      </w:rPr>
                    </m:ctrlPr>
                  </m:sSubPr>
                  <m:e>
                    <m:r>
                      <m:rPr>
                        <m:sty m:val="bi"/>
                      </m:rPr>
                      <w:rPr>
                        <w:rFonts w:ascii="Cambria Math" w:hAnsi="Cambria Math" w:cs="Arial"/>
                      </w:rPr>
                      <m:t>η</m:t>
                    </m:r>
                  </m:e>
                  <m:sub>
                    <m:r>
                      <m:rPr>
                        <m:sty m:val="bi"/>
                      </m:rPr>
                      <w:rPr>
                        <w:rFonts w:ascii="Cambria Math" w:hAnsi="Cambria Math" w:cs="Arial"/>
                      </w:rPr>
                      <m:t>p</m:t>
                    </m:r>
                    <m:r>
                      <w:rPr>
                        <w:rFonts w:ascii="Cambria Math" w:hAnsi="Cambria Math" w:cs="Arial"/>
                      </w:rPr>
                      <m:t>,</m:t>
                    </m:r>
                    <m:r>
                      <m:rPr>
                        <m:sty m:val="bi"/>
                      </m:rPr>
                      <w:rPr>
                        <w:rFonts w:ascii="Cambria Math" w:hAnsi="Cambria Math" w:cs="Arial"/>
                      </w:rPr>
                      <m:t>t</m:t>
                    </m:r>
                  </m:sub>
                </m:sSub>
              </m:oMath>
            </m:oMathPara>
          </w:p>
        </w:tc>
      </w:tr>
      <w:tr w:rsidR="00B312F0" w:rsidRPr="005A04B7" w14:paraId="6EB9E78A" w14:textId="77777777" w:rsidTr="00E12AF4">
        <w:trPr>
          <w:trHeight w:val="300"/>
        </w:trPr>
        <w:tc>
          <w:tcPr>
            <w:tcW w:w="2552" w:type="dxa"/>
            <w:hideMark/>
          </w:tcPr>
          <w:p w14:paraId="06782EF4" w14:textId="77777777" w:rsidR="00F575EE" w:rsidRPr="005A04B7" w:rsidRDefault="00F575EE" w:rsidP="00E12AF4">
            <w:pPr>
              <w:pStyle w:val="SDMTableBoxParaNotNumbered"/>
              <w:spacing w:before="60" w:after="60"/>
              <w:rPr>
                <w:rFonts w:cs="Arial"/>
              </w:rPr>
            </w:pPr>
            <w:r w:rsidRPr="005A04B7">
              <w:rPr>
                <w:rFonts w:cs="Arial"/>
              </w:rPr>
              <w:t>Description</w:t>
            </w:r>
          </w:p>
        </w:tc>
        <w:tc>
          <w:tcPr>
            <w:tcW w:w="6662" w:type="dxa"/>
            <w:gridSpan w:val="4"/>
            <w:hideMark/>
          </w:tcPr>
          <w:p w14:paraId="4BAE09C7" w14:textId="3035F214" w:rsidR="00F575EE" w:rsidRPr="005A04B7" w:rsidRDefault="3A64834E" w:rsidP="00E12AF4">
            <w:pPr>
              <w:pStyle w:val="SDMTableBoxParaNotNumbered"/>
              <w:spacing w:before="60" w:after="60"/>
              <w:rPr>
                <w:rFonts w:cs="Arial"/>
              </w:rPr>
            </w:pPr>
            <w:r w:rsidRPr="005A04B7">
              <w:rPr>
                <w:rFonts w:cs="Arial"/>
              </w:rPr>
              <w:t>Average net energy conversion efficiency of power unit</w:t>
            </w:r>
            <w:r w:rsidR="005A1BB7" w:rsidRPr="005A04B7">
              <w:rPr>
                <w:rFonts w:cs="Arial"/>
                <w:i/>
                <w:iCs/>
              </w:rPr>
              <w:t> </w:t>
            </w:r>
            <w:r w:rsidR="45F5B6B8" w:rsidRPr="005A04B7">
              <w:rPr>
                <w:rFonts w:cs="Arial"/>
                <w:i/>
                <w:iCs/>
              </w:rPr>
              <w:t>p</w:t>
            </w:r>
            <w:r w:rsidRPr="005A04B7">
              <w:rPr>
                <w:rFonts w:cs="Arial"/>
              </w:rPr>
              <w:t xml:space="preserve"> in </w:t>
            </w:r>
            <w:r w:rsidR="35269FA6" w:rsidRPr="005A04B7">
              <w:rPr>
                <w:rFonts w:cs="Arial"/>
              </w:rPr>
              <w:t>the project electricity system</w:t>
            </w:r>
            <w:r w:rsidRPr="005A04B7">
              <w:rPr>
                <w:rFonts w:cs="Arial"/>
              </w:rPr>
              <w:t xml:space="preserve"> in </w:t>
            </w:r>
            <w:r w:rsidR="47CEE1BD" w:rsidRPr="005A04B7">
              <w:rPr>
                <w:rFonts w:cs="Arial"/>
              </w:rPr>
              <w:t>perio</w:t>
            </w:r>
            <w:r w:rsidR="35CE8995" w:rsidRPr="005A04B7">
              <w:rPr>
                <w:rFonts w:cs="Arial"/>
              </w:rPr>
              <w:t>d</w:t>
            </w:r>
            <w:r w:rsidR="005A1BB7" w:rsidRPr="005A04B7">
              <w:rPr>
                <w:rFonts w:cs="Arial"/>
              </w:rPr>
              <w:t> </w:t>
            </w:r>
            <w:r w:rsidR="47CEE1BD" w:rsidRPr="005A04B7">
              <w:rPr>
                <w:rFonts w:cs="Arial"/>
                <w:i/>
                <w:iCs/>
              </w:rPr>
              <w:t>t</w:t>
            </w:r>
          </w:p>
        </w:tc>
      </w:tr>
      <w:tr w:rsidR="00B312F0" w:rsidRPr="005A04B7" w14:paraId="75152720" w14:textId="77777777" w:rsidTr="00E12AF4">
        <w:trPr>
          <w:trHeight w:val="300"/>
        </w:trPr>
        <w:tc>
          <w:tcPr>
            <w:tcW w:w="2552" w:type="dxa"/>
            <w:hideMark/>
          </w:tcPr>
          <w:p w14:paraId="6CF48793" w14:textId="77777777" w:rsidR="00F575EE" w:rsidRPr="005A04B7" w:rsidRDefault="00F575EE" w:rsidP="00E12AF4">
            <w:pPr>
              <w:pStyle w:val="SDMTableBoxParaNotNumbered"/>
              <w:spacing w:before="60" w:after="60"/>
              <w:rPr>
                <w:rFonts w:cs="Arial"/>
              </w:rPr>
            </w:pPr>
            <w:r w:rsidRPr="005A04B7">
              <w:rPr>
                <w:rFonts w:cs="Arial"/>
              </w:rPr>
              <w:t>Data unit</w:t>
            </w:r>
          </w:p>
        </w:tc>
        <w:tc>
          <w:tcPr>
            <w:tcW w:w="6662" w:type="dxa"/>
            <w:gridSpan w:val="4"/>
            <w:hideMark/>
          </w:tcPr>
          <w:p w14:paraId="7C0208B6" w14:textId="77777777" w:rsidR="00F575EE" w:rsidRPr="005A04B7" w:rsidRDefault="00F575EE" w:rsidP="00E12AF4">
            <w:pPr>
              <w:pStyle w:val="SDMTableBoxParaNotNumbered"/>
              <w:spacing w:before="60" w:after="60"/>
              <w:rPr>
                <w:rFonts w:cs="Arial"/>
              </w:rPr>
            </w:pPr>
            <w:r w:rsidRPr="005A04B7">
              <w:rPr>
                <w:rFonts w:cs="Arial"/>
              </w:rPr>
              <w:t>%</w:t>
            </w:r>
          </w:p>
        </w:tc>
      </w:tr>
      <w:tr w:rsidR="00B312F0" w:rsidRPr="005A04B7" w14:paraId="6308697F" w14:textId="77777777" w:rsidTr="00E12AF4">
        <w:trPr>
          <w:trHeight w:val="300"/>
        </w:trPr>
        <w:tc>
          <w:tcPr>
            <w:tcW w:w="2552" w:type="dxa"/>
            <w:hideMark/>
          </w:tcPr>
          <w:p w14:paraId="478ADDF3" w14:textId="77777777" w:rsidR="00F575EE" w:rsidRPr="005A04B7" w:rsidRDefault="00F575EE" w:rsidP="00E12AF4">
            <w:pPr>
              <w:pStyle w:val="SDMTableBoxParaNotNumbered"/>
              <w:spacing w:before="60" w:after="60"/>
              <w:rPr>
                <w:rFonts w:cs="Arial"/>
              </w:rPr>
            </w:pPr>
            <w:r w:rsidRPr="005A04B7">
              <w:rPr>
                <w:rFonts w:cs="Arial"/>
              </w:rPr>
              <w:t>Equations referred</w:t>
            </w:r>
          </w:p>
        </w:tc>
        <w:tc>
          <w:tcPr>
            <w:tcW w:w="6662" w:type="dxa"/>
            <w:gridSpan w:val="4"/>
            <w:tcBorders>
              <w:bottom w:val="single" w:sz="4" w:space="0" w:color="auto"/>
            </w:tcBorders>
          </w:tcPr>
          <w:p w14:paraId="35719FB3" w14:textId="77777777" w:rsidR="00F575EE" w:rsidRPr="005A04B7" w:rsidRDefault="00F575EE" w:rsidP="00E12AF4">
            <w:pPr>
              <w:pStyle w:val="SDMTableBoxParaNotNumbered"/>
              <w:spacing w:before="60" w:after="60"/>
              <w:rPr>
                <w:rFonts w:cs="Arial"/>
              </w:rPr>
            </w:pPr>
          </w:p>
        </w:tc>
      </w:tr>
      <w:tr w:rsidR="007631D1" w:rsidRPr="005A04B7" w14:paraId="1278B4AC" w14:textId="77777777" w:rsidTr="00E12AF4">
        <w:trPr>
          <w:trHeight w:val="300"/>
        </w:trPr>
        <w:tc>
          <w:tcPr>
            <w:tcW w:w="2552" w:type="dxa"/>
            <w:tcBorders>
              <w:right w:val="single" w:sz="4" w:space="0" w:color="auto"/>
            </w:tcBorders>
          </w:tcPr>
          <w:p w14:paraId="1FFDC8FA" w14:textId="77777777" w:rsidR="007631D1" w:rsidRPr="005A04B7" w:rsidRDefault="007631D1" w:rsidP="00E12AF4">
            <w:pPr>
              <w:pStyle w:val="SDMTableBoxParaNotNumbered"/>
              <w:spacing w:before="60" w:after="60"/>
              <w:rPr>
                <w:rFonts w:cs="Arial"/>
              </w:rPr>
            </w:pPr>
            <w:r w:rsidRPr="005A04B7">
              <w:rPr>
                <w:rFonts w:cs="Arial"/>
              </w:rPr>
              <w:t>Purpose of data</w:t>
            </w:r>
          </w:p>
        </w:tc>
        <w:tc>
          <w:tcPr>
            <w:tcW w:w="2333" w:type="dxa"/>
            <w:gridSpan w:val="2"/>
            <w:tcBorders>
              <w:left w:val="single" w:sz="4" w:space="0" w:color="auto"/>
              <w:right w:val="nil"/>
            </w:tcBorders>
          </w:tcPr>
          <w:p w14:paraId="6613D750" w14:textId="77777777" w:rsidR="007631D1" w:rsidRPr="005A04B7" w:rsidRDefault="007631D1" w:rsidP="00E12AF4">
            <w:pPr>
              <w:pStyle w:val="SDMTableBoxParaNotNumbered"/>
              <w:spacing w:before="60" w:after="60"/>
              <w:rPr>
                <w:rFonts w:cs="Arial"/>
              </w:rPr>
            </w:pPr>
            <w:r w:rsidRPr="005A04B7">
              <w:rPr>
                <w:rFonts w:cs="Arial"/>
                <w:shd w:val="clear" w:color="auto" w:fill="E6E6E6"/>
              </w:rPr>
              <w:fldChar w:fldCharType="begin">
                <w:ffData>
                  <w:name w:val=""/>
                  <w:enabled/>
                  <w:calcOnExit w:val="0"/>
                  <w:checkBox>
                    <w:size w:val="20"/>
                    <w:default w:val="1"/>
                  </w:checkBox>
                </w:ffData>
              </w:fldChar>
            </w:r>
            <w:r w:rsidRPr="005A04B7">
              <w:rPr>
                <w:rFonts w:cs="Arial"/>
                <w:shd w:val="clear" w:color="auto" w:fill="E6E6E6"/>
              </w:rPr>
              <w:instrText xml:space="preserve"> FORMCHECKBOX </w:instrText>
            </w:r>
            <w:r w:rsidR="00000000">
              <w:rPr>
                <w:rFonts w:cs="Arial"/>
                <w:shd w:val="clear" w:color="auto" w:fill="E6E6E6"/>
              </w:rPr>
            </w:r>
            <w:r w:rsidR="00000000">
              <w:rPr>
                <w:rFonts w:cs="Arial"/>
                <w:shd w:val="clear" w:color="auto" w:fill="E6E6E6"/>
              </w:rPr>
              <w:fldChar w:fldCharType="separate"/>
            </w:r>
            <w:r w:rsidRPr="005A04B7">
              <w:rPr>
                <w:rFonts w:cs="Arial"/>
                <w:shd w:val="clear" w:color="auto" w:fill="E6E6E6"/>
              </w:rPr>
              <w:fldChar w:fldCharType="end"/>
            </w:r>
            <w:r w:rsidRPr="005A04B7">
              <w:rPr>
                <w:rFonts w:cs="Arial"/>
                <w:shd w:val="clear" w:color="auto" w:fill="E6E6E6"/>
              </w:rPr>
              <w:t xml:space="preserve"> </w:t>
            </w:r>
            <w:r w:rsidRPr="005A04B7">
              <w:rPr>
                <w:rFonts w:cs="Arial"/>
              </w:rPr>
              <w:t>Baseline emissions</w:t>
            </w:r>
          </w:p>
        </w:tc>
        <w:tc>
          <w:tcPr>
            <w:tcW w:w="2113" w:type="dxa"/>
            <w:tcBorders>
              <w:left w:val="nil"/>
              <w:right w:val="nil"/>
            </w:tcBorders>
          </w:tcPr>
          <w:p w14:paraId="2238169E" w14:textId="77777777" w:rsidR="007631D1" w:rsidRPr="005A04B7" w:rsidRDefault="007631D1" w:rsidP="00E12AF4">
            <w:pPr>
              <w:pStyle w:val="SDMTableBoxParaNotNumbered"/>
              <w:spacing w:before="60" w:after="60"/>
              <w:rPr>
                <w:rFonts w:cs="Arial"/>
              </w:rPr>
            </w:pPr>
            <w:r w:rsidRPr="005A04B7">
              <w:rPr>
                <w:rFonts w:cs="Arial"/>
                <w:shd w:val="clear" w:color="auto" w:fill="E6E6E6"/>
              </w:rPr>
              <w:fldChar w:fldCharType="begin">
                <w:ffData>
                  <w:name w:val=""/>
                  <w:enabled/>
                  <w:calcOnExit w:val="0"/>
                  <w:checkBox>
                    <w:size w:val="20"/>
                    <w:default w:val="1"/>
                  </w:checkBox>
                </w:ffData>
              </w:fldChar>
            </w:r>
            <w:r w:rsidRPr="005A04B7">
              <w:rPr>
                <w:rFonts w:cs="Arial"/>
                <w:shd w:val="clear" w:color="auto" w:fill="E6E6E6"/>
              </w:rPr>
              <w:instrText xml:space="preserve"> FORMCHECKBOX </w:instrText>
            </w:r>
            <w:r w:rsidR="00000000">
              <w:rPr>
                <w:rFonts w:cs="Arial"/>
                <w:shd w:val="clear" w:color="auto" w:fill="E6E6E6"/>
              </w:rPr>
            </w:r>
            <w:r w:rsidR="00000000">
              <w:rPr>
                <w:rFonts w:cs="Arial"/>
                <w:shd w:val="clear" w:color="auto" w:fill="E6E6E6"/>
              </w:rPr>
              <w:fldChar w:fldCharType="separate"/>
            </w:r>
            <w:r w:rsidRPr="005A04B7">
              <w:rPr>
                <w:rFonts w:cs="Arial"/>
                <w:shd w:val="clear" w:color="auto" w:fill="E6E6E6"/>
              </w:rPr>
              <w:fldChar w:fldCharType="end"/>
            </w:r>
            <w:r w:rsidRPr="005A04B7">
              <w:rPr>
                <w:rFonts w:cs="Arial"/>
              </w:rPr>
              <w:fldChar w:fldCharType="begin"/>
            </w:r>
            <w:r w:rsidRPr="005A04B7">
              <w:rPr>
                <w:rFonts w:cs="Arial"/>
              </w:rPr>
              <w:instrText xml:space="preserve"> FORMCHECKBOX </w:instrText>
            </w:r>
            <w:r w:rsidR="00000000">
              <w:rPr>
                <w:rFonts w:cs="Arial"/>
              </w:rPr>
              <w:fldChar w:fldCharType="separate"/>
            </w:r>
            <w:r w:rsidRPr="005A04B7">
              <w:rPr>
                <w:rFonts w:cs="Arial"/>
              </w:rPr>
              <w:fldChar w:fldCharType="end"/>
            </w:r>
            <w:r w:rsidRPr="005A04B7">
              <w:rPr>
                <w:rFonts w:cs="Arial"/>
              </w:rPr>
              <w:t xml:space="preserve"> Project emissions</w:t>
            </w:r>
          </w:p>
        </w:tc>
        <w:tc>
          <w:tcPr>
            <w:tcW w:w="2216" w:type="dxa"/>
            <w:tcBorders>
              <w:left w:val="nil"/>
            </w:tcBorders>
          </w:tcPr>
          <w:p w14:paraId="5CC87D38" w14:textId="77777777" w:rsidR="007631D1" w:rsidRPr="005A04B7" w:rsidRDefault="007631D1" w:rsidP="00E12AF4">
            <w:pPr>
              <w:pStyle w:val="SDMTableBoxParaNotNumbered"/>
              <w:spacing w:before="60" w:after="60"/>
              <w:rPr>
                <w:rFonts w:cs="Arial"/>
              </w:rPr>
            </w:pPr>
            <w:r w:rsidRPr="005A04B7">
              <w:rPr>
                <w:rFonts w:cs="Arial"/>
                <w:shd w:val="clear" w:color="auto" w:fill="E6E6E6"/>
              </w:rPr>
              <w:fldChar w:fldCharType="begin">
                <w:ffData>
                  <w:name w:val=""/>
                  <w:enabled/>
                  <w:calcOnExit w:val="0"/>
                  <w:checkBox>
                    <w:size w:val="20"/>
                    <w:default w:val="1"/>
                  </w:checkBox>
                </w:ffData>
              </w:fldChar>
            </w:r>
            <w:r w:rsidRPr="005A04B7">
              <w:rPr>
                <w:rFonts w:cs="Arial"/>
                <w:shd w:val="clear" w:color="auto" w:fill="E6E6E6"/>
              </w:rPr>
              <w:instrText xml:space="preserve"> FORMCHECKBOX </w:instrText>
            </w:r>
            <w:r w:rsidR="00000000">
              <w:rPr>
                <w:rFonts w:cs="Arial"/>
                <w:shd w:val="clear" w:color="auto" w:fill="E6E6E6"/>
              </w:rPr>
            </w:r>
            <w:r w:rsidR="00000000">
              <w:rPr>
                <w:rFonts w:cs="Arial"/>
                <w:shd w:val="clear" w:color="auto" w:fill="E6E6E6"/>
              </w:rPr>
              <w:fldChar w:fldCharType="separate"/>
            </w:r>
            <w:r w:rsidRPr="005A04B7">
              <w:rPr>
                <w:rFonts w:cs="Arial"/>
                <w:shd w:val="clear" w:color="auto" w:fill="E6E6E6"/>
              </w:rPr>
              <w:fldChar w:fldCharType="end"/>
            </w:r>
            <w:r w:rsidRPr="005A04B7">
              <w:rPr>
                <w:rFonts w:cs="Arial"/>
              </w:rPr>
              <w:fldChar w:fldCharType="begin"/>
            </w:r>
            <w:r w:rsidRPr="005A04B7">
              <w:rPr>
                <w:rFonts w:cs="Arial"/>
              </w:rPr>
              <w:instrText xml:space="preserve"> FORMCHECKBOX </w:instrText>
            </w:r>
            <w:r w:rsidR="00000000">
              <w:rPr>
                <w:rFonts w:cs="Arial"/>
              </w:rPr>
              <w:fldChar w:fldCharType="separate"/>
            </w:r>
            <w:r w:rsidRPr="005A04B7">
              <w:rPr>
                <w:rFonts w:cs="Arial"/>
              </w:rPr>
              <w:fldChar w:fldCharType="end"/>
            </w:r>
            <w:r w:rsidRPr="005A04B7">
              <w:rPr>
                <w:rFonts w:cs="Arial"/>
              </w:rPr>
              <w:t xml:space="preserve"> Leakage emissions</w:t>
            </w:r>
          </w:p>
        </w:tc>
      </w:tr>
      <w:tr w:rsidR="00B312F0" w:rsidRPr="005A04B7" w14:paraId="7CAE113F" w14:textId="77777777" w:rsidTr="00E12AF4">
        <w:trPr>
          <w:trHeight w:val="300"/>
        </w:trPr>
        <w:tc>
          <w:tcPr>
            <w:tcW w:w="2552" w:type="dxa"/>
            <w:hideMark/>
          </w:tcPr>
          <w:p w14:paraId="5CB45402" w14:textId="77777777" w:rsidR="00F575EE" w:rsidRPr="005A04B7" w:rsidRDefault="3A25738E" w:rsidP="00E12AF4">
            <w:pPr>
              <w:pStyle w:val="SDMTableBoxParaNotNumbered"/>
              <w:spacing w:before="60" w:after="60"/>
              <w:rPr>
                <w:rFonts w:cs="Arial"/>
              </w:rPr>
            </w:pPr>
            <w:r w:rsidRPr="005A04B7">
              <w:rPr>
                <w:rFonts w:cs="Arial"/>
              </w:rPr>
              <w:t>Measurement and updating frequency</w:t>
            </w:r>
          </w:p>
        </w:tc>
        <w:tc>
          <w:tcPr>
            <w:tcW w:w="6662" w:type="dxa"/>
            <w:gridSpan w:val="4"/>
            <w:hideMark/>
          </w:tcPr>
          <w:p w14:paraId="0D07BB6E" w14:textId="77777777" w:rsidR="00F575EE" w:rsidRPr="005A04B7" w:rsidRDefault="00F575EE" w:rsidP="00E12AF4">
            <w:pPr>
              <w:pStyle w:val="SDMTableBoxParaNotNumbered"/>
              <w:spacing w:before="60" w:after="60"/>
              <w:rPr>
                <w:rFonts w:cs="Arial"/>
                <w:lang w:val="en-GB"/>
              </w:rPr>
            </w:pPr>
            <w:r w:rsidRPr="005A04B7">
              <w:rPr>
                <w:rFonts w:cs="Arial"/>
              </w:rPr>
              <w:t>Once for the crediting period</w:t>
            </w:r>
          </w:p>
        </w:tc>
      </w:tr>
      <w:tr w:rsidR="005244B8" w:rsidRPr="005A04B7" w14:paraId="50BC94BC" w14:textId="77777777" w:rsidTr="00E12AF4">
        <w:trPr>
          <w:trHeight w:val="300"/>
        </w:trPr>
        <w:tc>
          <w:tcPr>
            <w:tcW w:w="2552" w:type="dxa"/>
            <w:hideMark/>
          </w:tcPr>
          <w:p w14:paraId="3CD8971F" w14:textId="77777777" w:rsidR="00F575EE" w:rsidRPr="005A04B7" w:rsidRDefault="00F575EE" w:rsidP="00E12AF4">
            <w:pPr>
              <w:pStyle w:val="SDMTableBoxParaNotNumbered"/>
              <w:spacing w:before="60" w:after="60"/>
              <w:rPr>
                <w:rFonts w:cs="Arial"/>
              </w:rPr>
            </w:pPr>
            <w:r w:rsidRPr="005A04B7">
              <w:rPr>
                <w:rFonts w:cs="Arial"/>
              </w:rPr>
              <w:t>Measurement methods and procedures</w:t>
            </w:r>
          </w:p>
        </w:tc>
        <w:tc>
          <w:tcPr>
            <w:tcW w:w="6662" w:type="dxa"/>
            <w:gridSpan w:val="4"/>
            <w:hideMark/>
          </w:tcPr>
          <w:p w14:paraId="4F1EE068" w14:textId="7AD9EE0E" w:rsidR="2E33EEA4" w:rsidRPr="005A04B7" w:rsidRDefault="6B40F82C" w:rsidP="00E12AF4">
            <w:pPr>
              <w:spacing w:before="60" w:after="60"/>
              <w:jc w:val="left"/>
              <w:rPr>
                <w:rFonts w:eastAsia="Arial" w:cs="Arial"/>
                <w:sz w:val="20"/>
                <w:lang w:val="en-GB"/>
              </w:rPr>
            </w:pPr>
            <w:r w:rsidRPr="005A04B7">
              <w:rPr>
                <w:rFonts w:eastAsia="Arial" w:cs="Arial"/>
                <w:sz w:val="20"/>
                <w:u w:val="single"/>
                <w:lang w:val="en-GB"/>
              </w:rPr>
              <w:t>Option</w:t>
            </w:r>
            <w:r w:rsidR="004C17BF">
              <w:rPr>
                <w:rFonts w:eastAsia="Arial" w:cs="Arial"/>
                <w:sz w:val="20"/>
                <w:u w:val="single"/>
                <w:lang w:val="en-GB"/>
              </w:rPr>
              <w:t> </w:t>
            </w:r>
            <w:r w:rsidRPr="005A04B7">
              <w:rPr>
                <w:rFonts w:eastAsia="Arial" w:cs="Arial"/>
                <w:sz w:val="20"/>
                <w:u w:val="single"/>
                <w:lang w:val="en-GB"/>
              </w:rPr>
              <w:t>1:</w:t>
            </w:r>
            <w:r w:rsidRPr="005A04B7">
              <w:rPr>
                <w:rFonts w:eastAsia="Arial" w:cs="Arial"/>
                <w:sz w:val="20"/>
                <w:lang w:val="en-GB"/>
              </w:rPr>
              <w:t xml:space="preserve"> Documented manufacturer’s specifications provided that the efficiency of the plant is not significantly increased through retrofits or rehabilitations); or</w:t>
            </w:r>
          </w:p>
          <w:p w14:paraId="1B3A4830" w14:textId="198ED676" w:rsidR="2E33EEA4" w:rsidRPr="005A04B7" w:rsidRDefault="6B40F82C" w:rsidP="00E12AF4">
            <w:pPr>
              <w:spacing w:before="60" w:after="60"/>
              <w:jc w:val="left"/>
              <w:rPr>
                <w:rFonts w:eastAsia="Arial" w:cs="Arial"/>
                <w:sz w:val="20"/>
                <w:lang w:val="en-GB"/>
              </w:rPr>
            </w:pPr>
            <w:r w:rsidRPr="005A04B7">
              <w:rPr>
                <w:rFonts w:eastAsia="Arial" w:cs="Arial"/>
                <w:sz w:val="20"/>
                <w:u w:val="single"/>
                <w:lang w:val="en-GB"/>
              </w:rPr>
              <w:t>Option</w:t>
            </w:r>
            <w:r w:rsidR="004C17BF">
              <w:rPr>
                <w:rFonts w:eastAsia="Arial" w:cs="Arial"/>
                <w:sz w:val="20"/>
                <w:u w:val="single"/>
                <w:lang w:val="en-GB"/>
              </w:rPr>
              <w:t> </w:t>
            </w:r>
            <w:r w:rsidRPr="005A04B7">
              <w:rPr>
                <w:rFonts w:eastAsia="Arial" w:cs="Arial"/>
                <w:sz w:val="20"/>
                <w:u w:val="single"/>
                <w:lang w:val="en-GB"/>
              </w:rPr>
              <w:t>2:</w:t>
            </w:r>
            <w:r w:rsidRPr="005A04B7">
              <w:rPr>
                <w:rFonts w:eastAsia="Arial" w:cs="Arial"/>
                <w:sz w:val="20"/>
                <w:lang w:val="en-GB"/>
              </w:rPr>
              <w:t xml:space="preserve"> For power plants connected to the electricity system: data from the utility, the dispatch centre, or official records, provided that such data can be deemed reliable; or</w:t>
            </w:r>
          </w:p>
          <w:p w14:paraId="43ABFA7C" w14:textId="2618CA0C" w:rsidR="2E33EEA4" w:rsidRPr="005A04B7" w:rsidRDefault="6B40F82C" w:rsidP="00C72647">
            <w:pPr>
              <w:keepNext/>
              <w:spacing w:before="60" w:after="60"/>
              <w:jc w:val="left"/>
              <w:rPr>
                <w:rFonts w:eastAsia="Arial" w:cs="Arial"/>
                <w:sz w:val="20"/>
                <w:lang w:val="en-GB"/>
              </w:rPr>
            </w:pPr>
            <w:r w:rsidRPr="005A04B7">
              <w:rPr>
                <w:rFonts w:eastAsia="Arial" w:cs="Arial"/>
                <w:sz w:val="20"/>
                <w:u w:val="single"/>
              </w:rPr>
              <w:t>Option</w:t>
            </w:r>
            <w:r w:rsidR="004C17BF">
              <w:rPr>
                <w:rFonts w:eastAsia="Arial" w:cs="Arial"/>
                <w:sz w:val="20"/>
                <w:u w:val="single"/>
              </w:rPr>
              <w:t> </w:t>
            </w:r>
            <w:r w:rsidRPr="005A04B7">
              <w:rPr>
                <w:rFonts w:eastAsia="Arial" w:cs="Arial"/>
                <w:sz w:val="20"/>
                <w:u w:val="single"/>
              </w:rPr>
              <w:t>3:</w:t>
            </w:r>
            <w:r w:rsidRPr="005A04B7">
              <w:rPr>
                <w:rFonts w:eastAsia="Arial" w:cs="Arial"/>
                <w:sz w:val="20"/>
              </w:rPr>
              <w:t xml:space="preserve"> </w:t>
            </w:r>
            <w:r w:rsidRPr="005A04B7">
              <w:rPr>
                <w:rFonts w:eastAsia="Arial" w:cs="Arial"/>
                <w:sz w:val="20"/>
                <w:lang w:val="en-GB"/>
              </w:rPr>
              <w:t xml:space="preserve">Use </w:t>
            </w:r>
            <w:r w:rsidR="00A03B64" w:rsidRPr="005A04B7">
              <w:rPr>
                <w:rFonts w:eastAsia="Arial" w:cs="Arial"/>
                <w:sz w:val="20"/>
                <w:lang w:val="en-GB"/>
              </w:rPr>
              <w:t xml:space="preserve">the following </w:t>
            </w:r>
            <w:r w:rsidRPr="005A04B7">
              <w:rPr>
                <w:rFonts w:eastAsia="Arial" w:cs="Arial"/>
                <w:sz w:val="20"/>
                <w:lang w:val="en-GB"/>
              </w:rPr>
              <w:t>default value</w:t>
            </w:r>
            <w:r w:rsidR="0075038E" w:rsidRPr="005A04B7">
              <w:rPr>
                <w:rFonts w:eastAsia="Arial" w:cs="Arial"/>
                <w:sz w:val="20"/>
                <w:lang w:val="en-GB"/>
              </w:rPr>
              <w:t>s</w:t>
            </w:r>
            <w:r w:rsidRPr="005A04B7">
              <w:rPr>
                <w:rFonts w:eastAsia="Arial" w:cs="Arial"/>
                <w:sz w:val="20"/>
                <w:lang w:val="en-GB"/>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76"/>
              <w:gridCol w:w="1372"/>
            </w:tblGrid>
            <w:tr w:rsidR="003D63F2" w:rsidRPr="005A04B7" w14:paraId="11C8795A" w14:textId="77777777" w:rsidTr="007066AD">
              <w:tc>
                <w:tcPr>
                  <w:tcW w:w="1452" w:type="dxa"/>
                  <w:tcBorders>
                    <w:bottom w:val="single" w:sz="12" w:space="0" w:color="000000"/>
                  </w:tcBorders>
                </w:tcPr>
                <w:p w14:paraId="68D76863" w14:textId="77777777" w:rsidR="003D63F2" w:rsidRPr="005A04B7" w:rsidRDefault="003D63F2" w:rsidP="00E12AF4">
                  <w:pPr>
                    <w:spacing w:before="60" w:after="60"/>
                    <w:jc w:val="left"/>
                    <w:rPr>
                      <w:rFonts w:eastAsia="Arial" w:cs="Arial"/>
                      <w:b/>
                      <w:bCs/>
                      <w:sz w:val="20"/>
                    </w:rPr>
                  </w:pPr>
                  <w:r w:rsidRPr="005A04B7">
                    <w:rPr>
                      <w:rFonts w:eastAsia="Arial" w:cs="Arial"/>
                      <w:b/>
                      <w:bCs/>
                      <w:sz w:val="20"/>
                    </w:rPr>
                    <w:t>Fuel type</w:t>
                  </w:r>
                </w:p>
              </w:tc>
              <w:tc>
                <w:tcPr>
                  <w:tcW w:w="1276" w:type="dxa"/>
                  <w:tcBorders>
                    <w:bottom w:val="single" w:sz="12" w:space="0" w:color="000000"/>
                  </w:tcBorders>
                </w:tcPr>
                <w:p w14:paraId="2ACC9208" w14:textId="08784025" w:rsidR="003D63F2" w:rsidRPr="005A04B7" w:rsidRDefault="003D63F2" w:rsidP="00E12AF4">
                  <w:pPr>
                    <w:spacing w:before="60" w:after="60"/>
                    <w:jc w:val="left"/>
                    <w:rPr>
                      <w:rFonts w:eastAsia="Arial" w:cs="Arial"/>
                      <w:b/>
                      <w:bCs/>
                      <w:sz w:val="20"/>
                    </w:rPr>
                  </w:pPr>
                  <w:r w:rsidRPr="005A04B7">
                    <w:rPr>
                      <w:rFonts w:eastAsia="Arial" w:cs="Arial"/>
                      <w:b/>
                      <w:bCs/>
                      <w:sz w:val="20"/>
                    </w:rPr>
                    <w:t>Case</w:t>
                  </w:r>
                  <w:r w:rsidR="004C17BF">
                    <w:rPr>
                      <w:rFonts w:eastAsia="Arial" w:cs="Arial"/>
                      <w:b/>
                      <w:bCs/>
                      <w:sz w:val="20"/>
                    </w:rPr>
                    <w:t> </w:t>
                  </w:r>
                  <w:r w:rsidRPr="005A04B7">
                    <w:rPr>
                      <w:rFonts w:eastAsia="Arial" w:cs="Arial"/>
                      <w:b/>
                      <w:bCs/>
                      <w:sz w:val="20"/>
                    </w:rPr>
                    <w:t>1</w:t>
                  </w:r>
                </w:p>
              </w:tc>
              <w:tc>
                <w:tcPr>
                  <w:tcW w:w="1372" w:type="dxa"/>
                  <w:tcBorders>
                    <w:bottom w:val="single" w:sz="12" w:space="0" w:color="000000"/>
                  </w:tcBorders>
                </w:tcPr>
                <w:p w14:paraId="050AFE3F" w14:textId="5161898E" w:rsidR="003D63F2" w:rsidRPr="005A04B7" w:rsidRDefault="003D63F2" w:rsidP="00E12AF4">
                  <w:pPr>
                    <w:spacing w:before="60" w:after="60"/>
                    <w:jc w:val="left"/>
                    <w:rPr>
                      <w:rFonts w:eastAsia="Arial" w:cs="Arial"/>
                      <w:b/>
                      <w:bCs/>
                      <w:sz w:val="20"/>
                    </w:rPr>
                  </w:pPr>
                  <w:r w:rsidRPr="005A04B7">
                    <w:rPr>
                      <w:rFonts w:eastAsia="Arial" w:cs="Arial"/>
                      <w:b/>
                      <w:bCs/>
                      <w:sz w:val="20"/>
                    </w:rPr>
                    <w:t>Case</w:t>
                  </w:r>
                  <w:r w:rsidR="004C17BF">
                    <w:rPr>
                      <w:rFonts w:eastAsia="Arial" w:cs="Arial"/>
                      <w:b/>
                      <w:bCs/>
                      <w:sz w:val="20"/>
                    </w:rPr>
                    <w:t> </w:t>
                  </w:r>
                  <w:r w:rsidRPr="005A04B7">
                    <w:rPr>
                      <w:rFonts w:eastAsia="Arial" w:cs="Arial"/>
                      <w:b/>
                      <w:bCs/>
                      <w:sz w:val="20"/>
                    </w:rPr>
                    <w:t>2</w:t>
                  </w:r>
                </w:p>
              </w:tc>
            </w:tr>
            <w:tr w:rsidR="003D63F2" w:rsidRPr="005A04B7" w14:paraId="2786D16D" w14:textId="77777777" w:rsidTr="007066AD">
              <w:tc>
                <w:tcPr>
                  <w:tcW w:w="1452" w:type="dxa"/>
                  <w:tcBorders>
                    <w:top w:val="single" w:sz="12" w:space="0" w:color="000000"/>
                  </w:tcBorders>
                </w:tcPr>
                <w:p w14:paraId="52E42997" w14:textId="77777777" w:rsidR="003D63F2" w:rsidRPr="005A04B7" w:rsidRDefault="003D63F2" w:rsidP="00E12AF4">
                  <w:pPr>
                    <w:spacing w:before="60" w:after="60"/>
                    <w:jc w:val="left"/>
                    <w:rPr>
                      <w:rFonts w:eastAsia="Arial" w:cs="Arial"/>
                      <w:sz w:val="20"/>
                    </w:rPr>
                  </w:pPr>
                  <w:r w:rsidRPr="005A04B7">
                    <w:rPr>
                      <w:rFonts w:eastAsia="Arial" w:cs="Arial"/>
                      <w:sz w:val="20"/>
                    </w:rPr>
                    <w:t>Coal</w:t>
                  </w:r>
                </w:p>
              </w:tc>
              <w:tc>
                <w:tcPr>
                  <w:tcW w:w="1276" w:type="dxa"/>
                  <w:tcBorders>
                    <w:top w:val="single" w:sz="12" w:space="0" w:color="000000"/>
                  </w:tcBorders>
                </w:tcPr>
                <w:p w14:paraId="161C7307" w14:textId="77777777" w:rsidR="003D63F2" w:rsidRPr="005A04B7" w:rsidRDefault="003D63F2" w:rsidP="00E12AF4">
                  <w:pPr>
                    <w:spacing w:before="60" w:after="60"/>
                    <w:jc w:val="left"/>
                    <w:rPr>
                      <w:rFonts w:eastAsia="Arial" w:cs="Arial"/>
                      <w:sz w:val="20"/>
                    </w:rPr>
                  </w:pPr>
                  <w:r w:rsidRPr="005A04B7">
                    <w:rPr>
                      <w:rFonts w:eastAsia="Arial" w:cs="Arial"/>
                      <w:sz w:val="20"/>
                    </w:rPr>
                    <w:t>30%</w:t>
                  </w:r>
                </w:p>
              </w:tc>
              <w:tc>
                <w:tcPr>
                  <w:tcW w:w="1372" w:type="dxa"/>
                  <w:tcBorders>
                    <w:top w:val="single" w:sz="12" w:space="0" w:color="000000"/>
                  </w:tcBorders>
                </w:tcPr>
                <w:p w14:paraId="5C759FF8" w14:textId="77777777" w:rsidR="003D63F2" w:rsidRPr="005A04B7" w:rsidRDefault="003D63F2" w:rsidP="00E12AF4">
                  <w:pPr>
                    <w:spacing w:before="60" w:after="60"/>
                    <w:jc w:val="left"/>
                    <w:rPr>
                      <w:rFonts w:eastAsia="Arial" w:cs="Arial"/>
                      <w:sz w:val="20"/>
                    </w:rPr>
                  </w:pPr>
                  <w:r w:rsidRPr="005A04B7">
                    <w:rPr>
                      <w:rFonts w:eastAsia="Arial" w:cs="Arial"/>
                      <w:sz w:val="20"/>
                    </w:rPr>
                    <w:t>45%</w:t>
                  </w:r>
                </w:p>
              </w:tc>
            </w:tr>
            <w:tr w:rsidR="003D63F2" w:rsidRPr="005A04B7" w14:paraId="7CBF8858" w14:textId="77777777" w:rsidTr="007066AD">
              <w:tc>
                <w:tcPr>
                  <w:tcW w:w="1452" w:type="dxa"/>
                </w:tcPr>
                <w:p w14:paraId="7A1CFE63" w14:textId="77777777" w:rsidR="003D63F2" w:rsidRPr="005A04B7" w:rsidRDefault="003D63F2" w:rsidP="00E12AF4">
                  <w:pPr>
                    <w:spacing w:before="60" w:after="60"/>
                    <w:jc w:val="left"/>
                    <w:rPr>
                      <w:rFonts w:eastAsia="Arial" w:cs="Arial"/>
                      <w:sz w:val="20"/>
                    </w:rPr>
                  </w:pPr>
                  <w:r w:rsidRPr="005A04B7">
                    <w:rPr>
                      <w:rFonts w:eastAsia="Arial" w:cs="Arial"/>
                      <w:sz w:val="20"/>
                    </w:rPr>
                    <w:t>Oil</w:t>
                  </w:r>
                </w:p>
              </w:tc>
              <w:tc>
                <w:tcPr>
                  <w:tcW w:w="1276" w:type="dxa"/>
                </w:tcPr>
                <w:p w14:paraId="45581A38" w14:textId="77777777" w:rsidR="003D63F2" w:rsidRPr="005A04B7" w:rsidRDefault="003D63F2" w:rsidP="00E12AF4">
                  <w:pPr>
                    <w:spacing w:before="60" w:after="60"/>
                    <w:jc w:val="left"/>
                    <w:rPr>
                      <w:rFonts w:eastAsia="Arial" w:cs="Arial"/>
                      <w:sz w:val="20"/>
                    </w:rPr>
                  </w:pPr>
                  <w:r w:rsidRPr="005A04B7">
                    <w:rPr>
                      <w:rFonts w:eastAsia="Arial" w:cs="Arial"/>
                      <w:sz w:val="20"/>
                    </w:rPr>
                    <w:t>30%</w:t>
                  </w:r>
                </w:p>
              </w:tc>
              <w:tc>
                <w:tcPr>
                  <w:tcW w:w="1372" w:type="dxa"/>
                </w:tcPr>
                <w:p w14:paraId="5FF2B2BB" w14:textId="77777777" w:rsidR="003D63F2" w:rsidRPr="005A04B7" w:rsidRDefault="003D63F2" w:rsidP="00E12AF4">
                  <w:pPr>
                    <w:spacing w:before="60" w:after="60"/>
                    <w:jc w:val="left"/>
                    <w:rPr>
                      <w:rFonts w:eastAsia="Arial" w:cs="Arial"/>
                      <w:sz w:val="20"/>
                    </w:rPr>
                  </w:pPr>
                  <w:r w:rsidRPr="005A04B7">
                    <w:rPr>
                      <w:rFonts w:eastAsia="Arial" w:cs="Arial"/>
                      <w:sz w:val="20"/>
                    </w:rPr>
                    <w:t>50%</w:t>
                  </w:r>
                </w:p>
              </w:tc>
            </w:tr>
            <w:tr w:rsidR="003D63F2" w:rsidRPr="005A04B7" w14:paraId="2538E13A" w14:textId="77777777" w:rsidTr="007066AD">
              <w:tc>
                <w:tcPr>
                  <w:tcW w:w="1452" w:type="dxa"/>
                </w:tcPr>
                <w:p w14:paraId="5ADEA50F" w14:textId="77777777" w:rsidR="003D63F2" w:rsidRPr="005A04B7" w:rsidRDefault="003D63F2" w:rsidP="00E12AF4">
                  <w:pPr>
                    <w:spacing w:before="60" w:after="60"/>
                    <w:jc w:val="left"/>
                    <w:rPr>
                      <w:rFonts w:eastAsia="Arial" w:cs="Arial"/>
                      <w:sz w:val="20"/>
                    </w:rPr>
                  </w:pPr>
                  <w:r w:rsidRPr="005A04B7">
                    <w:rPr>
                      <w:rFonts w:eastAsia="Arial" w:cs="Arial"/>
                      <w:sz w:val="20"/>
                    </w:rPr>
                    <w:t>Natural gas</w:t>
                  </w:r>
                </w:p>
              </w:tc>
              <w:tc>
                <w:tcPr>
                  <w:tcW w:w="1276" w:type="dxa"/>
                </w:tcPr>
                <w:p w14:paraId="2A6F0B7D" w14:textId="77777777" w:rsidR="003D63F2" w:rsidRPr="005A04B7" w:rsidRDefault="003D63F2" w:rsidP="00E12AF4">
                  <w:pPr>
                    <w:spacing w:before="60" w:after="60"/>
                    <w:jc w:val="left"/>
                    <w:rPr>
                      <w:rFonts w:eastAsia="Arial" w:cs="Arial"/>
                      <w:sz w:val="20"/>
                    </w:rPr>
                  </w:pPr>
                  <w:r w:rsidRPr="005A04B7">
                    <w:rPr>
                      <w:rFonts w:eastAsia="Arial" w:cs="Arial"/>
                      <w:sz w:val="20"/>
                    </w:rPr>
                    <w:t>30%</w:t>
                  </w:r>
                </w:p>
              </w:tc>
              <w:tc>
                <w:tcPr>
                  <w:tcW w:w="1372" w:type="dxa"/>
                </w:tcPr>
                <w:p w14:paraId="0118887D" w14:textId="77777777" w:rsidR="003D63F2" w:rsidRPr="005A04B7" w:rsidRDefault="003D63F2" w:rsidP="00E12AF4">
                  <w:pPr>
                    <w:spacing w:before="60" w:after="60"/>
                    <w:jc w:val="left"/>
                    <w:rPr>
                      <w:rFonts w:eastAsia="Arial" w:cs="Arial"/>
                      <w:sz w:val="20"/>
                    </w:rPr>
                  </w:pPr>
                  <w:r w:rsidRPr="005A04B7">
                    <w:rPr>
                      <w:rFonts w:eastAsia="Arial" w:cs="Arial"/>
                      <w:sz w:val="20"/>
                    </w:rPr>
                    <w:t>65%</w:t>
                  </w:r>
                </w:p>
              </w:tc>
            </w:tr>
          </w:tbl>
          <w:p w14:paraId="12CC7DC8" w14:textId="058B40F1" w:rsidR="6B40F82C" w:rsidRPr="005A04B7" w:rsidRDefault="6B40F82C" w:rsidP="00E12AF4">
            <w:pPr>
              <w:spacing w:before="60" w:after="60"/>
              <w:jc w:val="left"/>
              <w:rPr>
                <w:rFonts w:eastAsia="Arial" w:cs="Arial"/>
                <w:sz w:val="20"/>
                <w:u w:val="single"/>
              </w:rPr>
            </w:pPr>
          </w:p>
        </w:tc>
      </w:tr>
      <w:tr w:rsidR="00892BCD" w:rsidRPr="005A04B7" w14:paraId="7308779C" w14:textId="77777777" w:rsidTr="00E12AF4">
        <w:trPr>
          <w:trHeight w:val="107"/>
        </w:trPr>
        <w:tc>
          <w:tcPr>
            <w:tcW w:w="2552" w:type="dxa"/>
            <w:hideMark/>
          </w:tcPr>
          <w:p w14:paraId="6DA2DFF0" w14:textId="77777777" w:rsidR="00F575EE" w:rsidRPr="005A04B7" w:rsidRDefault="00F575EE" w:rsidP="00E12AF4">
            <w:pPr>
              <w:pStyle w:val="SDMTableBoxParaNotNumbered"/>
              <w:spacing w:before="60" w:after="60"/>
              <w:rPr>
                <w:rFonts w:cs="Arial"/>
              </w:rPr>
            </w:pPr>
            <w:r w:rsidRPr="005A04B7">
              <w:rPr>
                <w:rFonts w:cs="Arial"/>
              </w:rPr>
              <w:t>Entity/person responsible for the measurement</w:t>
            </w:r>
          </w:p>
        </w:tc>
        <w:tc>
          <w:tcPr>
            <w:tcW w:w="6662" w:type="dxa"/>
            <w:gridSpan w:val="4"/>
            <w:hideMark/>
          </w:tcPr>
          <w:p w14:paraId="324860E7" w14:textId="5AFC1E98" w:rsidR="731BEFA6" w:rsidRPr="005A04B7" w:rsidRDefault="731BEFA6" w:rsidP="00E12AF4">
            <w:pPr>
              <w:spacing w:before="60" w:after="60"/>
              <w:jc w:val="left"/>
              <w:rPr>
                <w:rFonts w:eastAsia="Arial" w:cs="Arial"/>
                <w:sz w:val="20"/>
              </w:rPr>
            </w:pPr>
            <w:r w:rsidRPr="005A04B7">
              <w:rPr>
                <w:rFonts w:eastAsia="Arial" w:cs="Arial"/>
                <w:sz w:val="20"/>
              </w:rPr>
              <w:t>Activity participants</w:t>
            </w:r>
          </w:p>
        </w:tc>
      </w:tr>
      <w:tr w:rsidR="00F3448F" w:rsidRPr="005A04B7" w14:paraId="7C5B79FA" w14:textId="77777777" w:rsidTr="00E12AF4">
        <w:trPr>
          <w:trHeight w:val="107"/>
        </w:trPr>
        <w:tc>
          <w:tcPr>
            <w:tcW w:w="2552" w:type="dxa"/>
            <w:vMerge w:val="restart"/>
            <w:hideMark/>
          </w:tcPr>
          <w:p w14:paraId="26E19129" w14:textId="77777777" w:rsidR="00F575EE" w:rsidRPr="005A04B7" w:rsidRDefault="00F575EE" w:rsidP="00E12AF4">
            <w:pPr>
              <w:pStyle w:val="SDMTableBoxParaNotNumbered"/>
              <w:spacing w:before="60" w:after="60"/>
              <w:rPr>
                <w:rFonts w:cs="Arial"/>
              </w:rPr>
            </w:pPr>
            <w:r w:rsidRPr="005A04B7">
              <w:rPr>
                <w:rFonts w:cs="Arial"/>
              </w:rPr>
              <w:t>Measuring instrument(s)</w:t>
            </w:r>
          </w:p>
        </w:tc>
        <w:tc>
          <w:tcPr>
            <w:tcW w:w="1758" w:type="dxa"/>
            <w:hideMark/>
          </w:tcPr>
          <w:p w14:paraId="380B3C1B" w14:textId="5FDCA40C" w:rsidR="731BEFA6" w:rsidRPr="005A04B7" w:rsidRDefault="731BEFA6" w:rsidP="00E12AF4">
            <w:pPr>
              <w:spacing w:before="60" w:after="60"/>
              <w:jc w:val="left"/>
              <w:rPr>
                <w:rFonts w:eastAsia="Arial" w:cs="Arial"/>
                <w:i/>
                <w:iCs/>
                <w:sz w:val="20"/>
              </w:rPr>
            </w:pPr>
            <w:r w:rsidRPr="005A04B7">
              <w:rPr>
                <w:rFonts w:eastAsia="Arial" w:cs="Arial"/>
                <w:i/>
                <w:iCs/>
                <w:sz w:val="20"/>
              </w:rPr>
              <w:t>Type of instrument</w:t>
            </w:r>
          </w:p>
        </w:tc>
        <w:tc>
          <w:tcPr>
            <w:tcW w:w="4904" w:type="dxa"/>
            <w:gridSpan w:val="3"/>
            <w:hideMark/>
          </w:tcPr>
          <w:p w14:paraId="52B02448" w14:textId="56F9D794" w:rsidR="731BEFA6" w:rsidRPr="005A04B7" w:rsidRDefault="731BEFA6" w:rsidP="00E12AF4">
            <w:pPr>
              <w:spacing w:before="60" w:after="60"/>
              <w:jc w:val="left"/>
              <w:rPr>
                <w:rFonts w:eastAsia="Arial" w:cs="Arial"/>
                <w:sz w:val="20"/>
              </w:rPr>
            </w:pPr>
            <w:r w:rsidRPr="005A04B7">
              <w:rPr>
                <w:rFonts w:eastAsia="Arial" w:cs="Arial"/>
                <w:sz w:val="20"/>
              </w:rPr>
              <w:t>N/A</w:t>
            </w:r>
          </w:p>
        </w:tc>
      </w:tr>
      <w:tr w:rsidR="00174363" w:rsidRPr="005A04B7" w14:paraId="7D5D38DE" w14:textId="77777777" w:rsidTr="00E12AF4">
        <w:trPr>
          <w:trHeight w:val="104"/>
        </w:trPr>
        <w:tc>
          <w:tcPr>
            <w:tcW w:w="2552" w:type="dxa"/>
            <w:vMerge/>
            <w:hideMark/>
          </w:tcPr>
          <w:p w14:paraId="5C6362E1" w14:textId="77777777" w:rsidR="00F575EE" w:rsidRPr="005A04B7" w:rsidRDefault="00F575EE" w:rsidP="00E12AF4">
            <w:pPr>
              <w:pStyle w:val="SDMTableBoxParaNotNumbered"/>
              <w:spacing w:before="60" w:after="60"/>
              <w:rPr>
                <w:rFonts w:cs="Arial"/>
              </w:rPr>
            </w:pPr>
          </w:p>
        </w:tc>
        <w:tc>
          <w:tcPr>
            <w:tcW w:w="1758" w:type="dxa"/>
            <w:hideMark/>
          </w:tcPr>
          <w:p w14:paraId="21070A9D" w14:textId="221681E2" w:rsidR="731BEFA6" w:rsidRPr="005A04B7" w:rsidRDefault="731BEFA6" w:rsidP="00E12AF4">
            <w:pPr>
              <w:spacing w:before="60" w:after="60"/>
              <w:jc w:val="left"/>
              <w:rPr>
                <w:rFonts w:eastAsia="Arial" w:cs="Arial"/>
                <w:i/>
                <w:iCs/>
                <w:sz w:val="20"/>
              </w:rPr>
            </w:pPr>
            <w:r w:rsidRPr="005A04B7">
              <w:rPr>
                <w:rFonts w:eastAsia="Arial" w:cs="Arial"/>
                <w:i/>
                <w:iCs/>
                <w:sz w:val="20"/>
              </w:rPr>
              <w:t>Accuracy class</w:t>
            </w:r>
          </w:p>
        </w:tc>
        <w:tc>
          <w:tcPr>
            <w:tcW w:w="4904" w:type="dxa"/>
            <w:gridSpan w:val="3"/>
            <w:hideMark/>
          </w:tcPr>
          <w:p w14:paraId="6E966633" w14:textId="28AEC514" w:rsidR="731BEFA6" w:rsidRPr="005A04B7" w:rsidRDefault="731BEFA6" w:rsidP="00E12AF4">
            <w:pPr>
              <w:spacing w:before="60" w:after="60"/>
              <w:jc w:val="left"/>
              <w:rPr>
                <w:rFonts w:eastAsia="Arial" w:cs="Arial"/>
                <w:sz w:val="20"/>
              </w:rPr>
            </w:pPr>
            <w:r w:rsidRPr="005A04B7">
              <w:rPr>
                <w:rFonts w:eastAsia="Arial" w:cs="Arial"/>
                <w:sz w:val="20"/>
              </w:rPr>
              <w:t>N/A</w:t>
            </w:r>
          </w:p>
        </w:tc>
      </w:tr>
      <w:tr w:rsidR="00174363" w:rsidRPr="005A04B7" w14:paraId="3C9FD566" w14:textId="77777777" w:rsidTr="00E12AF4">
        <w:trPr>
          <w:trHeight w:val="104"/>
        </w:trPr>
        <w:tc>
          <w:tcPr>
            <w:tcW w:w="2552" w:type="dxa"/>
            <w:vMerge/>
            <w:hideMark/>
          </w:tcPr>
          <w:p w14:paraId="7C5B96DA" w14:textId="77777777" w:rsidR="00F575EE" w:rsidRPr="005A04B7" w:rsidRDefault="00F575EE" w:rsidP="00E12AF4">
            <w:pPr>
              <w:pStyle w:val="SDMTableBoxParaNotNumbered"/>
              <w:spacing w:before="60" w:after="60"/>
              <w:rPr>
                <w:rFonts w:cs="Arial"/>
              </w:rPr>
            </w:pPr>
          </w:p>
        </w:tc>
        <w:tc>
          <w:tcPr>
            <w:tcW w:w="1758" w:type="dxa"/>
            <w:hideMark/>
          </w:tcPr>
          <w:p w14:paraId="3AAA35BC" w14:textId="62DCE791" w:rsidR="731BEFA6" w:rsidRPr="005A04B7" w:rsidRDefault="731BEFA6" w:rsidP="00E12AF4">
            <w:pPr>
              <w:spacing w:before="60" w:after="60"/>
              <w:jc w:val="left"/>
              <w:rPr>
                <w:rFonts w:eastAsia="Arial" w:cs="Arial"/>
                <w:i/>
                <w:iCs/>
                <w:sz w:val="20"/>
              </w:rPr>
            </w:pPr>
            <w:r w:rsidRPr="005A04B7">
              <w:rPr>
                <w:rFonts w:eastAsia="Arial" w:cs="Arial"/>
                <w:i/>
                <w:iCs/>
                <w:sz w:val="20"/>
              </w:rPr>
              <w:t>Calibration requirements</w:t>
            </w:r>
          </w:p>
        </w:tc>
        <w:tc>
          <w:tcPr>
            <w:tcW w:w="4904" w:type="dxa"/>
            <w:gridSpan w:val="3"/>
            <w:hideMark/>
          </w:tcPr>
          <w:p w14:paraId="2F69A9B7" w14:textId="2D9FEACA" w:rsidR="731BEFA6" w:rsidRPr="005A04B7" w:rsidRDefault="731BEFA6" w:rsidP="00E12AF4">
            <w:pPr>
              <w:spacing w:before="60" w:after="60"/>
              <w:jc w:val="left"/>
              <w:rPr>
                <w:rFonts w:eastAsia="Arial" w:cs="Arial"/>
                <w:sz w:val="20"/>
              </w:rPr>
            </w:pPr>
            <w:r w:rsidRPr="005A04B7">
              <w:rPr>
                <w:rFonts w:eastAsia="Arial" w:cs="Arial"/>
                <w:sz w:val="20"/>
              </w:rPr>
              <w:t>N/A</w:t>
            </w:r>
          </w:p>
        </w:tc>
      </w:tr>
      <w:tr w:rsidR="00174363" w:rsidRPr="005A04B7" w14:paraId="7F08EAE7" w14:textId="77777777" w:rsidTr="00E12AF4">
        <w:trPr>
          <w:trHeight w:val="104"/>
        </w:trPr>
        <w:tc>
          <w:tcPr>
            <w:tcW w:w="2552" w:type="dxa"/>
            <w:vMerge/>
            <w:hideMark/>
          </w:tcPr>
          <w:p w14:paraId="5ACA7F66" w14:textId="77777777" w:rsidR="00F575EE" w:rsidRPr="005A04B7" w:rsidRDefault="00F575EE" w:rsidP="00E12AF4">
            <w:pPr>
              <w:pStyle w:val="SDMTableBoxParaNotNumbered"/>
              <w:spacing w:before="60" w:after="60"/>
              <w:rPr>
                <w:rFonts w:cs="Arial"/>
              </w:rPr>
            </w:pPr>
          </w:p>
        </w:tc>
        <w:tc>
          <w:tcPr>
            <w:tcW w:w="1758" w:type="dxa"/>
            <w:hideMark/>
          </w:tcPr>
          <w:p w14:paraId="1CF53D47" w14:textId="26648E8B" w:rsidR="731BEFA6" w:rsidRPr="005A04B7" w:rsidRDefault="731BEFA6" w:rsidP="00E12AF4">
            <w:pPr>
              <w:spacing w:before="60" w:after="60"/>
              <w:jc w:val="left"/>
              <w:rPr>
                <w:rFonts w:eastAsia="Arial" w:cs="Arial"/>
                <w:i/>
                <w:iCs/>
                <w:sz w:val="20"/>
              </w:rPr>
            </w:pPr>
            <w:r w:rsidRPr="005A04B7">
              <w:rPr>
                <w:rFonts w:eastAsia="Arial" w:cs="Arial"/>
                <w:i/>
                <w:iCs/>
                <w:sz w:val="20"/>
              </w:rPr>
              <w:t>Location</w:t>
            </w:r>
          </w:p>
        </w:tc>
        <w:tc>
          <w:tcPr>
            <w:tcW w:w="4904" w:type="dxa"/>
            <w:gridSpan w:val="3"/>
            <w:hideMark/>
          </w:tcPr>
          <w:p w14:paraId="01F4FEBD" w14:textId="5006F16D" w:rsidR="731BEFA6" w:rsidRPr="005A04B7" w:rsidRDefault="731BEFA6" w:rsidP="00E12AF4">
            <w:pPr>
              <w:spacing w:before="60" w:after="60"/>
              <w:jc w:val="left"/>
              <w:rPr>
                <w:rFonts w:eastAsia="Arial" w:cs="Arial"/>
                <w:sz w:val="20"/>
              </w:rPr>
            </w:pPr>
            <w:r w:rsidRPr="005A04B7">
              <w:rPr>
                <w:rFonts w:eastAsia="Arial" w:cs="Arial"/>
                <w:sz w:val="20"/>
              </w:rPr>
              <w:t>N/A</w:t>
            </w:r>
          </w:p>
        </w:tc>
      </w:tr>
      <w:tr w:rsidR="00B312F0" w:rsidRPr="005A04B7" w14:paraId="3DE2D036" w14:textId="77777777" w:rsidTr="00E12AF4">
        <w:trPr>
          <w:trHeight w:val="300"/>
        </w:trPr>
        <w:tc>
          <w:tcPr>
            <w:tcW w:w="2552" w:type="dxa"/>
            <w:hideMark/>
          </w:tcPr>
          <w:p w14:paraId="1428A585" w14:textId="5B1DACC0" w:rsidR="00F575EE" w:rsidRPr="005A04B7" w:rsidRDefault="00F575EE" w:rsidP="00E12AF4">
            <w:pPr>
              <w:pStyle w:val="SDMTableBoxParaNotNumbered"/>
              <w:spacing w:before="60" w:after="60"/>
              <w:rPr>
                <w:rFonts w:cs="Arial"/>
              </w:rPr>
            </w:pPr>
            <w:r w:rsidRPr="005A04B7">
              <w:rPr>
                <w:rFonts w:cs="Arial"/>
              </w:rPr>
              <w:t>QA/QC procedures</w:t>
            </w:r>
          </w:p>
        </w:tc>
        <w:tc>
          <w:tcPr>
            <w:tcW w:w="6662" w:type="dxa"/>
            <w:gridSpan w:val="4"/>
            <w:hideMark/>
          </w:tcPr>
          <w:p w14:paraId="76628DB2" w14:textId="77777777" w:rsidR="00F575EE" w:rsidRPr="005A04B7" w:rsidRDefault="3DA96962" w:rsidP="00E12AF4">
            <w:pPr>
              <w:pStyle w:val="SDMTableBoxParaNotNumbered"/>
              <w:spacing w:before="60" w:after="60"/>
              <w:rPr>
                <w:rFonts w:cs="Arial"/>
              </w:rPr>
            </w:pPr>
            <w:r w:rsidRPr="005A04B7">
              <w:rPr>
                <w:rFonts w:cs="Arial"/>
              </w:rPr>
              <w:t>N/A</w:t>
            </w:r>
          </w:p>
        </w:tc>
      </w:tr>
      <w:tr w:rsidR="103289D9" w:rsidRPr="005A04B7" w14:paraId="5091721E" w14:textId="77777777" w:rsidTr="00E12AF4">
        <w:trPr>
          <w:trHeight w:val="300"/>
        </w:trPr>
        <w:tc>
          <w:tcPr>
            <w:tcW w:w="2552" w:type="dxa"/>
            <w:hideMark/>
          </w:tcPr>
          <w:p w14:paraId="415A8CD8" w14:textId="77777777" w:rsidR="31A0D24F" w:rsidRPr="005A04B7" w:rsidRDefault="638FB1F0" w:rsidP="0038031D">
            <w:pPr>
              <w:pStyle w:val="SDMTableBoxParaNotNumbered"/>
              <w:keepNext/>
              <w:spacing w:before="60" w:after="60"/>
              <w:rPr>
                <w:rFonts w:cs="Arial"/>
              </w:rPr>
            </w:pPr>
            <w:r w:rsidRPr="005A04B7">
              <w:rPr>
                <w:rFonts w:cs="Arial"/>
              </w:rPr>
              <w:t>Treatment of uncertaint</w:t>
            </w:r>
            <w:r w:rsidR="684D244D" w:rsidRPr="005A04B7">
              <w:rPr>
                <w:rFonts w:cs="Arial"/>
              </w:rPr>
              <w:t>ies</w:t>
            </w:r>
          </w:p>
        </w:tc>
        <w:tc>
          <w:tcPr>
            <w:tcW w:w="6662" w:type="dxa"/>
            <w:gridSpan w:val="4"/>
            <w:hideMark/>
          </w:tcPr>
          <w:p w14:paraId="49DA2385" w14:textId="77777777" w:rsidR="103289D9" w:rsidRPr="005A04B7" w:rsidRDefault="638FB1F0" w:rsidP="0038031D">
            <w:pPr>
              <w:pStyle w:val="SDMTableBoxParaNotNumbered"/>
              <w:keepNext/>
              <w:spacing w:before="60" w:after="60"/>
              <w:rPr>
                <w:rFonts w:cs="Arial"/>
              </w:rPr>
            </w:pPr>
            <w:r w:rsidRPr="005A04B7">
              <w:rPr>
                <w:rFonts w:cs="Arial"/>
              </w:rPr>
              <w:t>N/A</w:t>
            </w:r>
          </w:p>
        </w:tc>
      </w:tr>
      <w:tr w:rsidR="00F575EE" w:rsidRPr="005A04B7" w14:paraId="0475742E" w14:textId="77777777" w:rsidTr="00E12AF4">
        <w:trPr>
          <w:trHeight w:val="300"/>
        </w:trPr>
        <w:tc>
          <w:tcPr>
            <w:tcW w:w="2552" w:type="dxa"/>
            <w:hideMark/>
          </w:tcPr>
          <w:p w14:paraId="76D3C9B4" w14:textId="77777777" w:rsidR="00F575EE" w:rsidRPr="005A04B7" w:rsidRDefault="3A64834E" w:rsidP="00E12AF4">
            <w:pPr>
              <w:pStyle w:val="SDMTableBoxParaNotNumbered"/>
              <w:spacing w:before="60" w:after="60"/>
              <w:rPr>
                <w:rFonts w:cs="Arial"/>
              </w:rPr>
            </w:pPr>
            <w:r w:rsidRPr="005A04B7">
              <w:rPr>
                <w:rFonts w:cs="Arial"/>
              </w:rPr>
              <w:t>Additional comment</w:t>
            </w:r>
          </w:p>
        </w:tc>
        <w:tc>
          <w:tcPr>
            <w:tcW w:w="6662" w:type="dxa"/>
            <w:gridSpan w:val="4"/>
            <w:hideMark/>
          </w:tcPr>
          <w:p w14:paraId="35EDF24E" w14:textId="77777777" w:rsidR="00F575EE" w:rsidRPr="005A04B7" w:rsidRDefault="3A64834E" w:rsidP="00E12AF4">
            <w:pPr>
              <w:pStyle w:val="SDMTableBoxParaNotNumbered"/>
              <w:spacing w:before="60" w:after="60"/>
              <w:rPr>
                <w:rFonts w:cs="Arial"/>
              </w:rPr>
            </w:pPr>
            <w:r w:rsidRPr="005A04B7">
              <w:rPr>
                <w:rFonts w:cs="Arial"/>
              </w:rPr>
              <w:t>-</w:t>
            </w:r>
          </w:p>
        </w:tc>
      </w:tr>
    </w:tbl>
    <w:bookmarkEnd w:id="739"/>
    <w:p w14:paraId="28F6B405" w14:textId="13AA32F9" w:rsidR="002B736D" w:rsidRPr="00800962" w:rsidRDefault="7603321B" w:rsidP="007066AD">
      <w:pPr>
        <w:pStyle w:val="CaptionFullPage"/>
      </w:pPr>
      <w:r>
        <w:t>Data / Parameter table</w:t>
      </w:r>
      <w:r w:rsidR="004C17BF">
        <w:t> </w:t>
      </w:r>
      <w:r w:rsidR="002B736D" w:rsidRPr="6BB59D32">
        <w:fldChar w:fldCharType="begin"/>
      </w:r>
      <w:r w:rsidR="002B736D">
        <w:instrText xml:space="preserve"> SEQ Data_/_Parameter_table \* ARABIC </w:instrText>
      </w:r>
      <w:r w:rsidR="002B736D" w:rsidRPr="6BB59D32">
        <w:fldChar w:fldCharType="separate"/>
      </w:r>
      <w:r w:rsidR="00D811A8">
        <w:rPr>
          <w:noProof/>
        </w:rPr>
        <w:t>10</w:t>
      </w:r>
      <w:r w:rsidR="002B736D" w:rsidRPr="6BB59D32">
        <w:rPr>
          <w:noProof/>
        </w:rPr>
        <w:fldChar w:fldCharType="end"/>
      </w:r>
      <w:r>
        <w:t>.</w:t>
      </w:r>
    </w:p>
    <w:tbl>
      <w:tblPr>
        <w:tblStyle w:val="TableGrid"/>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447"/>
        <w:gridCol w:w="886"/>
        <w:gridCol w:w="2113"/>
        <w:gridCol w:w="2216"/>
      </w:tblGrid>
      <w:tr w:rsidR="002B736D" w:rsidRPr="00800962" w14:paraId="5A16426F" w14:textId="77777777" w:rsidTr="00E12AF4">
        <w:trPr>
          <w:trHeight w:val="300"/>
        </w:trPr>
        <w:tc>
          <w:tcPr>
            <w:tcW w:w="2552" w:type="dxa"/>
          </w:tcPr>
          <w:p w14:paraId="1B64FD35" w14:textId="77777777" w:rsidR="002B736D" w:rsidRPr="00800962" w:rsidRDefault="7603321B" w:rsidP="00E12AF4">
            <w:pPr>
              <w:pStyle w:val="SDMTableBoxParaNotNumbered"/>
              <w:keepNext/>
              <w:spacing w:before="60" w:after="60"/>
              <w:rPr>
                <w:rFonts w:cs="Arial"/>
                <w:b/>
                <w:bCs/>
              </w:rPr>
            </w:pPr>
            <w:r>
              <w:t>Data/parameter</w:t>
            </w:r>
          </w:p>
        </w:tc>
        <w:tc>
          <w:tcPr>
            <w:tcW w:w="6662" w:type="dxa"/>
            <w:gridSpan w:val="4"/>
          </w:tcPr>
          <w:p w14:paraId="0C52A87C" w14:textId="1DDD5B5E" w:rsidR="002B736D" w:rsidRPr="00E12AF4" w:rsidRDefault="00000000" w:rsidP="00E12AF4">
            <w:pPr>
              <w:pStyle w:val="SDMTableBoxParaNotNumbered"/>
              <w:keepNext/>
              <w:spacing w:before="60" w:after="60"/>
              <w:rPr>
                <w:rFonts w:cs="Arial"/>
                <w:b/>
                <w:bCs/>
                <w:i/>
                <w:iCs/>
              </w:rPr>
            </w:pPr>
            <m:oMathPara>
              <m:oMathParaPr>
                <m:jc m:val="left"/>
              </m:oMathParaPr>
              <m:oMath>
                <m:sSub>
                  <m:sSubPr>
                    <m:ctrlPr>
                      <w:rPr>
                        <w:rFonts w:ascii="Cambria Math" w:hAnsi="Cambria Math"/>
                        <w:b/>
                        <w:bCs/>
                        <w:i/>
                      </w:rPr>
                    </m:ctrlPr>
                  </m:sSubPr>
                  <m:e>
                    <m:r>
                      <m:rPr>
                        <m:sty m:val="bi"/>
                      </m:rPr>
                      <w:rPr>
                        <w:rFonts w:ascii="Cambria Math" w:hAnsi="Cambria Math"/>
                      </w:rPr>
                      <m:t>F</m:t>
                    </m:r>
                  </m:e>
                  <m:sub>
                    <m:r>
                      <m:rPr>
                        <m:sty m:val="bi"/>
                      </m:rPr>
                      <w:rPr>
                        <w:rFonts w:ascii="Cambria Math" w:hAnsi="Cambria Math"/>
                      </w:rPr>
                      <m:t>TDL,s,y</m:t>
                    </m:r>
                  </m:sub>
                </m:sSub>
              </m:oMath>
            </m:oMathPara>
          </w:p>
        </w:tc>
      </w:tr>
      <w:tr w:rsidR="002B736D" w:rsidRPr="00800962" w14:paraId="41EC9819" w14:textId="77777777" w:rsidTr="00E12AF4">
        <w:trPr>
          <w:trHeight w:val="300"/>
        </w:trPr>
        <w:tc>
          <w:tcPr>
            <w:tcW w:w="2552" w:type="dxa"/>
          </w:tcPr>
          <w:p w14:paraId="22FF8EAB" w14:textId="77777777" w:rsidR="002B736D" w:rsidRPr="00800962" w:rsidRDefault="7603321B" w:rsidP="00E12AF4">
            <w:pPr>
              <w:pStyle w:val="SDMTableBoxParaNotNumbered"/>
              <w:spacing w:before="60" w:after="60"/>
            </w:pPr>
            <w:r>
              <w:t>Description</w:t>
            </w:r>
          </w:p>
        </w:tc>
        <w:tc>
          <w:tcPr>
            <w:tcW w:w="6662" w:type="dxa"/>
            <w:gridSpan w:val="4"/>
          </w:tcPr>
          <w:p w14:paraId="4110F0A4" w14:textId="07BDBA30" w:rsidR="002B736D" w:rsidRPr="00800962" w:rsidRDefault="25A60123" w:rsidP="00E12AF4">
            <w:pPr>
              <w:pStyle w:val="SDMTableBoxParaNotNumbered"/>
              <w:spacing w:before="60" w:after="60"/>
            </w:pPr>
            <w:r>
              <w:t xml:space="preserve">Factor to account for transmission and distribution losses applicable to </w:t>
            </w:r>
            <w:r w:rsidR="00C304DE">
              <w:t xml:space="preserve">the </w:t>
            </w:r>
            <w:r>
              <w:t>electricity generation or consumption source </w:t>
            </w:r>
            <w:r w:rsidRPr="6BB59D32">
              <w:rPr>
                <w:i/>
                <w:iCs/>
              </w:rPr>
              <w:t>s</w:t>
            </w:r>
            <w:r>
              <w:t xml:space="preserve"> in year </w:t>
            </w:r>
            <w:r w:rsidRPr="6BB59D32">
              <w:rPr>
                <w:i/>
                <w:iCs/>
              </w:rPr>
              <w:t>y</w:t>
            </w:r>
          </w:p>
        </w:tc>
      </w:tr>
      <w:tr w:rsidR="002B736D" w:rsidRPr="00800962" w14:paraId="53CEA84B" w14:textId="77777777" w:rsidTr="00E12AF4">
        <w:trPr>
          <w:trHeight w:val="300"/>
        </w:trPr>
        <w:tc>
          <w:tcPr>
            <w:tcW w:w="2552" w:type="dxa"/>
          </w:tcPr>
          <w:p w14:paraId="2C93CCBA" w14:textId="77777777" w:rsidR="002B736D" w:rsidRPr="00800962" w:rsidRDefault="7603321B" w:rsidP="00E12AF4">
            <w:pPr>
              <w:pStyle w:val="SDMTableBoxParaNotNumbered"/>
              <w:spacing w:before="60" w:after="60"/>
            </w:pPr>
            <w:r>
              <w:t>Data unit</w:t>
            </w:r>
          </w:p>
        </w:tc>
        <w:tc>
          <w:tcPr>
            <w:tcW w:w="6662" w:type="dxa"/>
            <w:gridSpan w:val="4"/>
          </w:tcPr>
          <w:p w14:paraId="3D21C6A6" w14:textId="77777777" w:rsidR="002B736D" w:rsidRPr="00800962" w:rsidRDefault="7603321B" w:rsidP="00E12AF4">
            <w:pPr>
              <w:pStyle w:val="SDMTableBoxParaNotNumbered"/>
              <w:spacing w:before="60" w:after="60"/>
            </w:pPr>
            <w:r>
              <w:t>%</w:t>
            </w:r>
          </w:p>
        </w:tc>
      </w:tr>
      <w:tr w:rsidR="002B736D" w:rsidRPr="00800962" w14:paraId="45AB0CBA" w14:textId="77777777" w:rsidTr="00E12AF4">
        <w:trPr>
          <w:trHeight w:val="300"/>
        </w:trPr>
        <w:tc>
          <w:tcPr>
            <w:tcW w:w="2552" w:type="dxa"/>
          </w:tcPr>
          <w:p w14:paraId="3A1B24DB" w14:textId="77777777" w:rsidR="002B736D" w:rsidRPr="00800962" w:rsidRDefault="7603321B" w:rsidP="00E12AF4">
            <w:pPr>
              <w:pStyle w:val="SDMTableBoxParaNotNumbered"/>
              <w:spacing w:before="60" w:after="60"/>
            </w:pPr>
            <w:r>
              <w:t>Equations referred</w:t>
            </w:r>
          </w:p>
        </w:tc>
        <w:tc>
          <w:tcPr>
            <w:tcW w:w="6662" w:type="dxa"/>
            <w:gridSpan w:val="4"/>
            <w:tcBorders>
              <w:bottom w:val="single" w:sz="4" w:space="0" w:color="auto"/>
            </w:tcBorders>
          </w:tcPr>
          <w:p w14:paraId="3E61B6B5" w14:textId="77777777" w:rsidR="002B736D" w:rsidRPr="00800962" w:rsidRDefault="002B736D" w:rsidP="00E12AF4">
            <w:pPr>
              <w:pStyle w:val="SDMTableBoxParaNotNumbered"/>
              <w:spacing w:before="60" w:after="60"/>
            </w:pPr>
          </w:p>
        </w:tc>
      </w:tr>
      <w:tr w:rsidR="00241146" w:rsidRPr="00131981" w14:paraId="74F7D79E" w14:textId="77777777" w:rsidTr="00E12AF4">
        <w:trPr>
          <w:trHeight w:val="300"/>
        </w:trPr>
        <w:tc>
          <w:tcPr>
            <w:tcW w:w="2552" w:type="dxa"/>
            <w:tcBorders>
              <w:right w:val="single" w:sz="4" w:space="0" w:color="auto"/>
            </w:tcBorders>
          </w:tcPr>
          <w:p w14:paraId="29A6501B" w14:textId="77777777" w:rsidR="00241146" w:rsidRPr="00131981" w:rsidRDefault="00241146" w:rsidP="00E12AF4">
            <w:pPr>
              <w:pStyle w:val="SDMTableBoxParaNotNumbered"/>
              <w:spacing w:before="60" w:after="60"/>
            </w:pPr>
            <w:r w:rsidRPr="00131981">
              <w:t>Purpose of data</w:t>
            </w:r>
          </w:p>
        </w:tc>
        <w:tc>
          <w:tcPr>
            <w:tcW w:w="2333" w:type="dxa"/>
            <w:gridSpan w:val="2"/>
            <w:tcBorders>
              <w:left w:val="single" w:sz="4" w:space="0" w:color="auto"/>
              <w:right w:val="nil"/>
            </w:tcBorders>
          </w:tcPr>
          <w:p w14:paraId="6C5BD80C" w14:textId="77777777" w:rsidR="00241146" w:rsidRPr="005D7E1B" w:rsidRDefault="00241146" w:rsidP="00E12AF4">
            <w:pPr>
              <w:pStyle w:val="SDMTableBoxParaNotNumbered"/>
              <w:spacing w:before="60" w:after="60"/>
            </w:pPr>
            <w:r w:rsidRPr="005D7E1B">
              <w:rPr>
                <w:rFonts w:asciiTheme="minorBidi" w:hAnsiTheme="minorBidi" w:cstheme="minorBidi"/>
                <w:shd w:val="clear" w:color="auto" w:fill="E6E6E6"/>
              </w:rPr>
              <w:fldChar w:fldCharType="begin">
                <w:ffData>
                  <w:name w:val=""/>
                  <w:enabled/>
                  <w:calcOnExit w:val="0"/>
                  <w:checkBox>
                    <w:size w:val="20"/>
                    <w:default w:val="1"/>
                  </w:checkBox>
                </w:ffData>
              </w:fldChar>
            </w:r>
            <w:r w:rsidRPr="005D7E1B">
              <w:rPr>
                <w:rFonts w:asciiTheme="minorBidi" w:hAnsiTheme="minorBidi" w:cstheme="minorBidi"/>
                <w:shd w:val="clear" w:color="auto" w:fill="E6E6E6"/>
              </w:rPr>
              <w:instrText xml:space="preserve"> FORMCHECKBOX </w:instrText>
            </w:r>
            <w:r w:rsidR="00000000">
              <w:rPr>
                <w:rFonts w:asciiTheme="minorBidi" w:hAnsiTheme="minorBidi" w:cstheme="minorBidi"/>
                <w:shd w:val="clear" w:color="auto" w:fill="E6E6E6"/>
              </w:rPr>
            </w:r>
            <w:r w:rsidR="00000000">
              <w:rPr>
                <w:rFonts w:asciiTheme="minorBidi" w:hAnsiTheme="minorBidi" w:cstheme="minorBidi"/>
                <w:shd w:val="clear" w:color="auto" w:fill="E6E6E6"/>
              </w:rPr>
              <w:fldChar w:fldCharType="separate"/>
            </w:r>
            <w:r w:rsidRPr="005D7E1B">
              <w:rPr>
                <w:rFonts w:asciiTheme="minorBidi" w:hAnsiTheme="minorBidi" w:cstheme="minorBidi"/>
                <w:shd w:val="clear" w:color="auto" w:fill="E6E6E6"/>
              </w:rPr>
              <w:fldChar w:fldCharType="end"/>
            </w:r>
            <w:r>
              <w:rPr>
                <w:rFonts w:asciiTheme="minorBidi" w:hAnsiTheme="minorBidi" w:cstheme="minorBidi"/>
                <w:shd w:val="clear" w:color="auto" w:fill="E6E6E6"/>
              </w:rPr>
              <w:t xml:space="preserve"> </w:t>
            </w:r>
            <w:r w:rsidRPr="005D7E1B">
              <w:rPr>
                <w:rFonts w:asciiTheme="minorBidi" w:hAnsiTheme="minorBidi" w:cstheme="minorBidi"/>
              </w:rPr>
              <w:t>Baseline emissions</w:t>
            </w:r>
          </w:p>
        </w:tc>
        <w:tc>
          <w:tcPr>
            <w:tcW w:w="2113" w:type="dxa"/>
            <w:tcBorders>
              <w:left w:val="nil"/>
              <w:right w:val="nil"/>
            </w:tcBorders>
          </w:tcPr>
          <w:p w14:paraId="1A7C4610" w14:textId="77777777" w:rsidR="00241146" w:rsidRPr="005D7E1B" w:rsidRDefault="00241146" w:rsidP="00E12AF4">
            <w:pPr>
              <w:pStyle w:val="SDMTableBoxParaNotNumbered"/>
              <w:spacing w:before="60" w:after="60"/>
            </w:pPr>
            <w:r w:rsidRPr="005D7E1B">
              <w:rPr>
                <w:rFonts w:asciiTheme="minorBidi" w:hAnsiTheme="minorBidi" w:cstheme="minorBidi"/>
                <w:shd w:val="clear" w:color="auto" w:fill="E6E6E6"/>
              </w:rPr>
              <w:fldChar w:fldCharType="begin">
                <w:ffData>
                  <w:name w:val=""/>
                  <w:enabled/>
                  <w:calcOnExit w:val="0"/>
                  <w:checkBox>
                    <w:size w:val="20"/>
                    <w:default w:val="1"/>
                  </w:checkBox>
                </w:ffData>
              </w:fldChar>
            </w:r>
            <w:r w:rsidRPr="005D7E1B">
              <w:rPr>
                <w:rFonts w:asciiTheme="minorBidi" w:hAnsiTheme="minorBidi" w:cstheme="minorBidi"/>
                <w:shd w:val="clear" w:color="auto" w:fill="E6E6E6"/>
              </w:rPr>
              <w:instrText xml:space="preserve"> FORMCHECKBOX </w:instrText>
            </w:r>
            <w:r w:rsidR="00000000">
              <w:rPr>
                <w:rFonts w:asciiTheme="minorBidi" w:hAnsiTheme="minorBidi" w:cstheme="minorBidi"/>
                <w:shd w:val="clear" w:color="auto" w:fill="E6E6E6"/>
              </w:rPr>
            </w:r>
            <w:r w:rsidR="00000000">
              <w:rPr>
                <w:rFonts w:asciiTheme="minorBidi" w:hAnsiTheme="minorBidi" w:cstheme="minorBidi"/>
                <w:shd w:val="clear" w:color="auto" w:fill="E6E6E6"/>
              </w:rPr>
              <w:fldChar w:fldCharType="separate"/>
            </w:r>
            <w:r w:rsidRPr="005D7E1B">
              <w:rPr>
                <w:rFonts w:asciiTheme="minorBidi" w:hAnsiTheme="minorBidi" w:cstheme="minorBidi"/>
                <w:shd w:val="clear" w:color="auto" w:fill="E6E6E6"/>
              </w:rPr>
              <w:fldChar w:fldCharType="end"/>
            </w:r>
            <w:r w:rsidRPr="3161B3F5">
              <w:rPr>
                <w:rFonts w:asciiTheme="minorBidi" w:hAnsiTheme="minorBidi" w:cstheme="minorBidi"/>
              </w:rPr>
              <w:fldChar w:fldCharType="begin"/>
            </w:r>
            <w:r w:rsidRPr="3161B3F5">
              <w:rPr>
                <w:rFonts w:asciiTheme="minorBidi" w:hAnsiTheme="minorBidi" w:cstheme="minorBidi"/>
              </w:rPr>
              <w:instrText xml:space="preserve"> FORMCHECKBOX </w:instrText>
            </w:r>
            <w:r w:rsidR="00000000">
              <w:rPr>
                <w:rFonts w:asciiTheme="minorBidi" w:hAnsiTheme="minorBidi" w:cstheme="minorBidi"/>
              </w:rPr>
              <w:fldChar w:fldCharType="separate"/>
            </w:r>
            <w:r w:rsidRPr="3161B3F5">
              <w:rPr>
                <w:rFonts w:asciiTheme="minorBidi" w:hAnsiTheme="minorBidi" w:cstheme="minorBidi"/>
              </w:rPr>
              <w:fldChar w:fldCharType="end"/>
            </w:r>
            <w:r w:rsidRPr="005D7E1B">
              <w:rPr>
                <w:rFonts w:asciiTheme="minorBidi" w:hAnsiTheme="minorBidi" w:cstheme="minorBidi"/>
              </w:rPr>
              <w:t xml:space="preserve"> Project emissions</w:t>
            </w:r>
          </w:p>
        </w:tc>
        <w:tc>
          <w:tcPr>
            <w:tcW w:w="2216" w:type="dxa"/>
            <w:tcBorders>
              <w:left w:val="nil"/>
            </w:tcBorders>
          </w:tcPr>
          <w:p w14:paraId="2C989779" w14:textId="77777777" w:rsidR="00241146" w:rsidRPr="005D7E1B" w:rsidRDefault="00241146" w:rsidP="00E12AF4">
            <w:pPr>
              <w:pStyle w:val="SDMTableBoxParaNotNumbered"/>
              <w:spacing w:before="60" w:after="60"/>
            </w:pPr>
            <w:r w:rsidRPr="005D7E1B">
              <w:rPr>
                <w:rFonts w:asciiTheme="minorBidi" w:hAnsiTheme="minorBidi" w:cstheme="minorBidi"/>
                <w:shd w:val="clear" w:color="auto" w:fill="E6E6E6"/>
              </w:rPr>
              <w:fldChar w:fldCharType="begin">
                <w:ffData>
                  <w:name w:val=""/>
                  <w:enabled/>
                  <w:calcOnExit w:val="0"/>
                  <w:checkBox>
                    <w:size w:val="20"/>
                    <w:default w:val="1"/>
                  </w:checkBox>
                </w:ffData>
              </w:fldChar>
            </w:r>
            <w:r w:rsidRPr="005D7E1B">
              <w:rPr>
                <w:rFonts w:asciiTheme="minorBidi" w:hAnsiTheme="minorBidi" w:cstheme="minorBidi"/>
                <w:shd w:val="clear" w:color="auto" w:fill="E6E6E6"/>
              </w:rPr>
              <w:instrText xml:space="preserve"> FORMCHECKBOX </w:instrText>
            </w:r>
            <w:r w:rsidR="00000000">
              <w:rPr>
                <w:rFonts w:asciiTheme="minorBidi" w:hAnsiTheme="minorBidi" w:cstheme="minorBidi"/>
                <w:shd w:val="clear" w:color="auto" w:fill="E6E6E6"/>
              </w:rPr>
            </w:r>
            <w:r w:rsidR="00000000">
              <w:rPr>
                <w:rFonts w:asciiTheme="minorBidi" w:hAnsiTheme="minorBidi" w:cstheme="minorBidi"/>
                <w:shd w:val="clear" w:color="auto" w:fill="E6E6E6"/>
              </w:rPr>
              <w:fldChar w:fldCharType="separate"/>
            </w:r>
            <w:r w:rsidRPr="005D7E1B">
              <w:rPr>
                <w:rFonts w:asciiTheme="minorBidi" w:hAnsiTheme="minorBidi" w:cstheme="minorBidi"/>
                <w:shd w:val="clear" w:color="auto" w:fill="E6E6E6"/>
              </w:rPr>
              <w:fldChar w:fldCharType="end"/>
            </w:r>
            <w:r w:rsidRPr="3161B3F5">
              <w:rPr>
                <w:rFonts w:asciiTheme="minorBidi" w:hAnsiTheme="minorBidi" w:cstheme="minorBidi"/>
              </w:rPr>
              <w:fldChar w:fldCharType="begin"/>
            </w:r>
            <w:r w:rsidRPr="3161B3F5">
              <w:rPr>
                <w:rFonts w:asciiTheme="minorBidi" w:hAnsiTheme="minorBidi" w:cstheme="minorBidi"/>
              </w:rPr>
              <w:instrText xml:space="preserve"> FORMCHECKBOX </w:instrText>
            </w:r>
            <w:r w:rsidR="00000000">
              <w:rPr>
                <w:rFonts w:asciiTheme="minorBidi" w:hAnsiTheme="minorBidi" w:cstheme="minorBidi"/>
              </w:rPr>
              <w:fldChar w:fldCharType="separate"/>
            </w:r>
            <w:r w:rsidRPr="3161B3F5">
              <w:rPr>
                <w:rFonts w:asciiTheme="minorBidi" w:hAnsiTheme="minorBidi" w:cstheme="minorBidi"/>
              </w:rPr>
              <w:fldChar w:fldCharType="end"/>
            </w:r>
            <w:r w:rsidRPr="005D7E1B">
              <w:rPr>
                <w:rFonts w:asciiTheme="minorBidi" w:hAnsiTheme="minorBidi" w:cstheme="minorBidi"/>
              </w:rPr>
              <w:t xml:space="preserve"> Leakage emissions</w:t>
            </w:r>
          </w:p>
        </w:tc>
      </w:tr>
      <w:tr w:rsidR="002B736D" w:rsidRPr="00800962" w14:paraId="4F1A8BDE" w14:textId="77777777" w:rsidTr="00E12AF4">
        <w:trPr>
          <w:trHeight w:val="300"/>
        </w:trPr>
        <w:tc>
          <w:tcPr>
            <w:tcW w:w="2552" w:type="dxa"/>
          </w:tcPr>
          <w:p w14:paraId="16316996" w14:textId="77777777" w:rsidR="002B736D" w:rsidRPr="00800962" w:rsidRDefault="7603321B" w:rsidP="00E12AF4">
            <w:pPr>
              <w:pStyle w:val="SDMTableBoxParaNotNumbered"/>
              <w:spacing w:before="60" w:after="60"/>
            </w:pPr>
            <w:r>
              <w:t>Measurement and updating frequency</w:t>
            </w:r>
          </w:p>
        </w:tc>
        <w:tc>
          <w:tcPr>
            <w:tcW w:w="6662" w:type="dxa"/>
            <w:gridSpan w:val="4"/>
          </w:tcPr>
          <w:p w14:paraId="00AC633B" w14:textId="03106B78" w:rsidR="002B736D" w:rsidRPr="00800962" w:rsidRDefault="1EB3F22E" w:rsidP="00E12AF4">
            <w:pPr>
              <w:pStyle w:val="SDMTableBoxParaNotNumbered"/>
              <w:spacing w:before="60" w:after="60"/>
            </w:pPr>
            <w:r>
              <w:t xml:space="preserve">If </w:t>
            </w:r>
            <w:r w:rsidR="000E3F76">
              <w:t>option</w:t>
            </w:r>
            <w:r w:rsidR="004C17BF">
              <w:t> </w:t>
            </w:r>
            <w:r>
              <w:t>1 below is chosen: o</w:t>
            </w:r>
            <w:r w:rsidR="7603321B">
              <w:t>nce at the start of the Article 6.4 activity</w:t>
            </w:r>
            <w:r>
              <w:t xml:space="preserve"> or </w:t>
            </w:r>
            <w:r w:rsidR="0076106C">
              <w:t xml:space="preserve">updated </w:t>
            </w:r>
            <w:r>
              <w:t>annually</w:t>
            </w:r>
            <w:r w:rsidR="7603321B">
              <w:t>.</w:t>
            </w:r>
          </w:p>
          <w:p w14:paraId="706789B3" w14:textId="5F3498A9" w:rsidR="002B736D" w:rsidRPr="00800962" w:rsidRDefault="7603321B" w:rsidP="00E12AF4">
            <w:pPr>
              <w:pStyle w:val="SDMTableBoxParaNotNumbered"/>
              <w:spacing w:before="60" w:after="60"/>
            </w:pPr>
            <w:r>
              <w:t xml:space="preserve">If </w:t>
            </w:r>
            <w:r w:rsidR="000E3F76">
              <w:t>option</w:t>
            </w:r>
            <w:r w:rsidR="004C17BF">
              <w:t> </w:t>
            </w:r>
            <w:r w:rsidR="1EB3F22E">
              <w:t>2</w:t>
            </w:r>
            <w:r>
              <w:t xml:space="preserve"> below is chosen: </w:t>
            </w:r>
            <w:r w:rsidR="00C963F4">
              <w:t>not applicable</w:t>
            </w:r>
          </w:p>
        </w:tc>
      </w:tr>
      <w:tr w:rsidR="002B736D" w:rsidRPr="00800962" w14:paraId="4B67C335" w14:textId="77777777" w:rsidTr="00E12AF4">
        <w:trPr>
          <w:trHeight w:val="300"/>
        </w:trPr>
        <w:tc>
          <w:tcPr>
            <w:tcW w:w="2552" w:type="dxa"/>
          </w:tcPr>
          <w:p w14:paraId="4874A1FC" w14:textId="77777777" w:rsidR="002B736D" w:rsidRPr="00800962" w:rsidRDefault="7603321B" w:rsidP="00E12AF4">
            <w:pPr>
              <w:pStyle w:val="SDMTableBoxParaNotNumbered"/>
              <w:spacing w:before="60" w:after="60"/>
            </w:pPr>
            <w:r>
              <w:t>Measurement methods and procedures</w:t>
            </w:r>
          </w:p>
        </w:tc>
        <w:tc>
          <w:tcPr>
            <w:tcW w:w="6662" w:type="dxa"/>
            <w:gridSpan w:val="4"/>
          </w:tcPr>
          <w:p w14:paraId="3D770E53" w14:textId="20DD4CAF" w:rsidR="002B736D" w:rsidRDefault="25A60123" w:rsidP="00E12AF4">
            <w:pPr>
              <w:pStyle w:val="SDMTableBoxParaNotNumbered"/>
              <w:spacing w:before="60" w:after="60"/>
            </w:pPr>
            <w:r w:rsidRPr="00215E83">
              <w:rPr>
                <w:u w:val="single"/>
              </w:rPr>
              <w:t>Option</w:t>
            </w:r>
            <w:r w:rsidR="004C17BF">
              <w:rPr>
                <w:u w:val="single"/>
              </w:rPr>
              <w:t> </w:t>
            </w:r>
            <w:r w:rsidRPr="00215E83">
              <w:rPr>
                <w:u w:val="single"/>
              </w:rPr>
              <w:t>1:</w:t>
            </w:r>
            <w:r>
              <w:t xml:space="preserve"> </w:t>
            </w:r>
            <w:r w:rsidR="3E7EB694">
              <w:t xml:space="preserve">Data sourced from </w:t>
            </w:r>
            <w:r w:rsidR="3E34D15D">
              <w:t xml:space="preserve">electricity wholesale or retail companies, including </w:t>
            </w:r>
            <w:r w:rsidR="00212789">
              <w:t xml:space="preserve">data on </w:t>
            </w:r>
            <w:r w:rsidR="3E34D15D">
              <w:t>transmission and distribution losses for different voltage level</w:t>
            </w:r>
            <w:r w:rsidR="4EBAC895">
              <w:t>s;</w:t>
            </w:r>
          </w:p>
          <w:p w14:paraId="1B6D4E76" w14:textId="03EA3A08" w:rsidR="002B736D" w:rsidRPr="00800962" w:rsidRDefault="4EBAC895" w:rsidP="00E12AF4">
            <w:pPr>
              <w:pStyle w:val="SDMTableBoxParaNotNumbered"/>
              <w:spacing w:before="60" w:after="60"/>
            </w:pPr>
            <w:r w:rsidRPr="00215E83">
              <w:rPr>
                <w:u w:val="single"/>
              </w:rPr>
              <w:t>Option</w:t>
            </w:r>
            <w:r w:rsidR="004C17BF">
              <w:rPr>
                <w:u w:val="single"/>
              </w:rPr>
              <w:t> </w:t>
            </w:r>
            <w:r w:rsidRPr="00215E83">
              <w:rPr>
                <w:u w:val="single"/>
              </w:rPr>
              <w:t>2:</w:t>
            </w:r>
            <w:r>
              <w:t xml:space="preserve"> Default values </w:t>
            </w:r>
            <w:r w:rsidR="6AA0FBC0">
              <w:t>provided in the methodological tool</w:t>
            </w:r>
          </w:p>
        </w:tc>
      </w:tr>
      <w:tr w:rsidR="002B736D" w:rsidRPr="00800962" w14:paraId="2347330C" w14:textId="77777777" w:rsidTr="00E12AF4">
        <w:trPr>
          <w:trHeight w:val="107"/>
        </w:trPr>
        <w:tc>
          <w:tcPr>
            <w:tcW w:w="2552" w:type="dxa"/>
          </w:tcPr>
          <w:p w14:paraId="66B8A6E3" w14:textId="77777777" w:rsidR="002B736D" w:rsidRPr="00800962" w:rsidRDefault="7603321B" w:rsidP="00E12AF4">
            <w:pPr>
              <w:pStyle w:val="SDMTableBoxParaNotNumbered"/>
              <w:spacing w:before="60" w:after="60"/>
            </w:pPr>
            <w:r>
              <w:t>Entity/person responsible for the measurement</w:t>
            </w:r>
          </w:p>
        </w:tc>
        <w:tc>
          <w:tcPr>
            <w:tcW w:w="6662" w:type="dxa"/>
            <w:gridSpan w:val="4"/>
          </w:tcPr>
          <w:p w14:paraId="54E73C1D" w14:textId="47BA5A1B" w:rsidR="002B736D" w:rsidRDefault="001353DE" w:rsidP="00E12AF4">
            <w:pPr>
              <w:pStyle w:val="SDMTableBoxParaNotNumbered"/>
              <w:spacing w:before="60" w:after="60"/>
            </w:pPr>
            <w:r>
              <w:t>If option</w:t>
            </w:r>
            <w:r w:rsidR="004C17BF">
              <w:t> </w:t>
            </w:r>
            <w:r w:rsidR="6AA0FBC0">
              <w:t>1</w:t>
            </w:r>
            <w:r>
              <w:t xml:space="preserve"> is chosen</w:t>
            </w:r>
            <w:r w:rsidR="6AA0FBC0" w:rsidRPr="00385CF5">
              <w:rPr>
                <w:u w:val="single"/>
              </w:rPr>
              <w:t>:</w:t>
            </w:r>
            <w:r w:rsidR="6AA0FBC0">
              <w:t xml:space="preserve"> Electricity wholesale or retail companies</w:t>
            </w:r>
            <w:r w:rsidR="00212789">
              <w:t>.</w:t>
            </w:r>
          </w:p>
          <w:p w14:paraId="45FA02B8" w14:textId="7E9C2661" w:rsidR="002A3AAE" w:rsidRPr="00800962" w:rsidRDefault="001353DE" w:rsidP="00E12AF4">
            <w:pPr>
              <w:pStyle w:val="SDMTableBoxParaNotNumbered"/>
              <w:spacing w:before="60" w:after="60"/>
            </w:pPr>
            <w:r>
              <w:t>If option</w:t>
            </w:r>
            <w:r w:rsidR="004C17BF">
              <w:t> </w:t>
            </w:r>
            <w:r>
              <w:t>2 is chosen:</w:t>
            </w:r>
            <w:r w:rsidR="6AA0FBC0">
              <w:t xml:space="preserve"> N/A</w:t>
            </w:r>
          </w:p>
        </w:tc>
      </w:tr>
      <w:tr w:rsidR="00886EDF" w:rsidRPr="00800962" w14:paraId="690BDC44" w14:textId="77777777" w:rsidTr="00E12AF4">
        <w:trPr>
          <w:trHeight w:val="107"/>
        </w:trPr>
        <w:tc>
          <w:tcPr>
            <w:tcW w:w="2552" w:type="dxa"/>
            <w:vMerge w:val="restart"/>
          </w:tcPr>
          <w:p w14:paraId="7D7E23E7" w14:textId="77777777" w:rsidR="002B736D" w:rsidRPr="00800962" w:rsidRDefault="7603321B" w:rsidP="00E12AF4">
            <w:pPr>
              <w:pStyle w:val="SDMTableBoxParaNotNumbered"/>
              <w:spacing w:before="60" w:after="60"/>
            </w:pPr>
            <w:r>
              <w:t>Measuring instrument(s)</w:t>
            </w:r>
          </w:p>
        </w:tc>
        <w:tc>
          <w:tcPr>
            <w:tcW w:w="1447" w:type="dxa"/>
          </w:tcPr>
          <w:p w14:paraId="6B345F3C" w14:textId="77777777" w:rsidR="002B736D" w:rsidRPr="00800962" w:rsidRDefault="7603321B" w:rsidP="00E12AF4">
            <w:pPr>
              <w:pStyle w:val="SDMTableBoxParaNotNumbered"/>
              <w:spacing w:before="60" w:after="60"/>
              <w:rPr>
                <w:i/>
                <w:iCs/>
              </w:rPr>
            </w:pPr>
            <w:r w:rsidRPr="6BB59D32">
              <w:rPr>
                <w:i/>
                <w:iCs/>
              </w:rPr>
              <w:t>Type of instrument</w:t>
            </w:r>
          </w:p>
        </w:tc>
        <w:tc>
          <w:tcPr>
            <w:tcW w:w="5215" w:type="dxa"/>
            <w:gridSpan w:val="3"/>
          </w:tcPr>
          <w:p w14:paraId="533666A0" w14:textId="77777777" w:rsidR="002B736D" w:rsidRPr="00800962" w:rsidRDefault="7603321B" w:rsidP="00E12AF4">
            <w:pPr>
              <w:pStyle w:val="SDMTableBoxParaNotNumbered"/>
              <w:spacing w:before="60" w:after="60"/>
            </w:pPr>
            <w:r>
              <w:t>N/A</w:t>
            </w:r>
          </w:p>
        </w:tc>
      </w:tr>
      <w:tr w:rsidR="000315EB" w:rsidRPr="00800962" w14:paraId="15923A4F" w14:textId="77777777" w:rsidTr="00E12AF4">
        <w:trPr>
          <w:trHeight w:val="104"/>
        </w:trPr>
        <w:tc>
          <w:tcPr>
            <w:tcW w:w="2552" w:type="dxa"/>
            <w:vMerge/>
          </w:tcPr>
          <w:p w14:paraId="070E1C3C" w14:textId="77777777" w:rsidR="002B736D" w:rsidRPr="00800962" w:rsidRDefault="002B736D" w:rsidP="00E12AF4">
            <w:pPr>
              <w:pStyle w:val="SDMTableBoxParaNotNumbered"/>
              <w:spacing w:before="60" w:after="60"/>
            </w:pPr>
          </w:p>
        </w:tc>
        <w:tc>
          <w:tcPr>
            <w:tcW w:w="1447" w:type="dxa"/>
          </w:tcPr>
          <w:p w14:paraId="435DE31E" w14:textId="77777777" w:rsidR="002B736D" w:rsidRPr="00800962" w:rsidRDefault="7603321B" w:rsidP="00E12AF4">
            <w:pPr>
              <w:pStyle w:val="SDMTableBoxParaNotNumbered"/>
              <w:spacing w:before="60" w:after="60"/>
              <w:rPr>
                <w:i/>
                <w:iCs/>
              </w:rPr>
            </w:pPr>
            <w:r w:rsidRPr="6BB59D32">
              <w:rPr>
                <w:i/>
                <w:iCs/>
              </w:rPr>
              <w:t>Accuracy class</w:t>
            </w:r>
          </w:p>
        </w:tc>
        <w:tc>
          <w:tcPr>
            <w:tcW w:w="5215" w:type="dxa"/>
            <w:gridSpan w:val="3"/>
          </w:tcPr>
          <w:p w14:paraId="03DECE05" w14:textId="77777777" w:rsidR="002B736D" w:rsidRPr="00800962" w:rsidRDefault="7603321B" w:rsidP="00E12AF4">
            <w:pPr>
              <w:pStyle w:val="SDMTableBoxParaNotNumbered"/>
              <w:spacing w:before="60" w:after="60"/>
            </w:pPr>
            <w:r>
              <w:t>N/A</w:t>
            </w:r>
          </w:p>
        </w:tc>
      </w:tr>
      <w:tr w:rsidR="000315EB" w:rsidRPr="00800962" w14:paraId="41771021" w14:textId="77777777" w:rsidTr="00E12AF4">
        <w:trPr>
          <w:trHeight w:val="104"/>
        </w:trPr>
        <w:tc>
          <w:tcPr>
            <w:tcW w:w="2552" w:type="dxa"/>
            <w:vMerge/>
          </w:tcPr>
          <w:p w14:paraId="25D3ADC9" w14:textId="77777777" w:rsidR="002B736D" w:rsidRPr="00800962" w:rsidRDefault="002B736D" w:rsidP="00E12AF4">
            <w:pPr>
              <w:pStyle w:val="SDMTableBoxParaNotNumbered"/>
              <w:spacing w:before="60" w:after="60"/>
            </w:pPr>
          </w:p>
        </w:tc>
        <w:tc>
          <w:tcPr>
            <w:tcW w:w="1447" w:type="dxa"/>
          </w:tcPr>
          <w:p w14:paraId="44BEBDA1" w14:textId="77777777" w:rsidR="002B736D" w:rsidRPr="00800962" w:rsidRDefault="7603321B" w:rsidP="00E12AF4">
            <w:pPr>
              <w:pStyle w:val="SDMTableBoxParaNotNumbered"/>
              <w:spacing w:before="60" w:after="60"/>
              <w:rPr>
                <w:i/>
                <w:iCs/>
              </w:rPr>
            </w:pPr>
            <w:r w:rsidRPr="6BB59D32">
              <w:rPr>
                <w:i/>
                <w:iCs/>
              </w:rPr>
              <w:t>Calibration requirements</w:t>
            </w:r>
          </w:p>
        </w:tc>
        <w:tc>
          <w:tcPr>
            <w:tcW w:w="5215" w:type="dxa"/>
            <w:gridSpan w:val="3"/>
          </w:tcPr>
          <w:p w14:paraId="647D9983" w14:textId="77777777" w:rsidR="002B736D" w:rsidRPr="00800962" w:rsidRDefault="7603321B" w:rsidP="00E12AF4">
            <w:pPr>
              <w:pStyle w:val="SDMTableBoxParaNotNumbered"/>
              <w:spacing w:before="60" w:after="60"/>
              <w:rPr>
                <w:rFonts w:ascii="Calibri" w:hAnsi="Calibri" w:cs="Calibri"/>
              </w:rPr>
            </w:pPr>
            <w:r>
              <w:t>N/A</w:t>
            </w:r>
          </w:p>
        </w:tc>
      </w:tr>
      <w:tr w:rsidR="000315EB" w:rsidRPr="00800962" w14:paraId="74619D06" w14:textId="77777777" w:rsidTr="00E12AF4">
        <w:trPr>
          <w:trHeight w:val="104"/>
        </w:trPr>
        <w:tc>
          <w:tcPr>
            <w:tcW w:w="2552" w:type="dxa"/>
            <w:vMerge/>
          </w:tcPr>
          <w:p w14:paraId="0FB29E27" w14:textId="77777777" w:rsidR="002B736D" w:rsidRPr="00800962" w:rsidRDefault="002B736D" w:rsidP="00E12AF4">
            <w:pPr>
              <w:pStyle w:val="SDMTableBoxParaNotNumbered"/>
              <w:spacing w:before="60" w:after="60"/>
            </w:pPr>
          </w:p>
        </w:tc>
        <w:tc>
          <w:tcPr>
            <w:tcW w:w="1447" w:type="dxa"/>
          </w:tcPr>
          <w:p w14:paraId="526A01AD" w14:textId="77777777" w:rsidR="002B736D" w:rsidRPr="00800962" w:rsidRDefault="7603321B" w:rsidP="00E12AF4">
            <w:pPr>
              <w:pStyle w:val="SDMTableBoxParaNotNumbered"/>
              <w:spacing w:before="60" w:after="60"/>
              <w:rPr>
                <w:i/>
                <w:iCs/>
              </w:rPr>
            </w:pPr>
            <w:r w:rsidRPr="6BB59D32">
              <w:rPr>
                <w:i/>
                <w:iCs/>
              </w:rPr>
              <w:t>Location</w:t>
            </w:r>
          </w:p>
        </w:tc>
        <w:tc>
          <w:tcPr>
            <w:tcW w:w="5215" w:type="dxa"/>
            <w:gridSpan w:val="3"/>
          </w:tcPr>
          <w:p w14:paraId="47CF3CF0" w14:textId="77777777" w:rsidR="002B736D" w:rsidRPr="00800962" w:rsidRDefault="7603321B" w:rsidP="00E12AF4">
            <w:pPr>
              <w:pStyle w:val="SDMTableBoxParaNotNumbered"/>
              <w:spacing w:before="60" w:after="60"/>
            </w:pPr>
            <w:r>
              <w:t>N/A</w:t>
            </w:r>
          </w:p>
        </w:tc>
      </w:tr>
      <w:tr w:rsidR="002B736D" w:rsidRPr="00800962" w14:paraId="1F8D847B" w14:textId="77777777" w:rsidTr="00E12AF4">
        <w:trPr>
          <w:trHeight w:val="300"/>
        </w:trPr>
        <w:tc>
          <w:tcPr>
            <w:tcW w:w="2552" w:type="dxa"/>
          </w:tcPr>
          <w:p w14:paraId="5FD1E737" w14:textId="77777777" w:rsidR="002B736D" w:rsidRPr="00800962" w:rsidRDefault="7603321B" w:rsidP="00E12AF4">
            <w:pPr>
              <w:pStyle w:val="SDMTableBoxParaNotNumbered"/>
              <w:spacing w:before="60" w:after="60"/>
            </w:pPr>
            <w:r>
              <w:t>QA/QC procedures</w:t>
            </w:r>
          </w:p>
        </w:tc>
        <w:tc>
          <w:tcPr>
            <w:tcW w:w="6662" w:type="dxa"/>
            <w:gridSpan w:val="4"/>
          </w:tcPr>
          <w:p w14:paraId="12A00286" w14:textId="77777777" w:rsidR="002B736D" w:rsidRPr="00800962" w:rsidRDefault="7603321B" w:rsidP="00E12AF4">
            <w:pPr>
              <w:pStyle w:val="SDMTableBoxParaNotNumbered"/>
              <w:spacing w:before="60" w:after="60"/>
            </w:pPr>
            <w:r>
              <w:t>-</w:t>
            </w:r>
          </w:p>
        </w:tc>
      </w:tr>
      <w:tr w:rsidR="002B736D" w:rsidRPr="00800962" w14:paraId="38B3BDCB" w14:textId="77777777" w:rsidTr="00E12AF4">
        <w:trPr>
          <w:trHeight w:val="300"/>
        </w:trPr>
        <w:tc>
          <w:tcPr>
            <w:tcW w:w="2552" w:type="dxa"/>
          </w:tcPr>
          <w:p w14:paraId="13202632" w14:textId="77777777" w:rsidR="002B736D" w:rsidRPr="00800962" w:rsidRDefault="7603321B" w:rsidP="0038031D">
            <w:pPr>
              <w:pStyle w:val="SDMTableBoxParaNotNumbered"/>
              <w:keepNext/>
              <w:spacing w:before="60" w:after="60"/>
            </w:pPr>
            <w:r>
              <w:t>Treatment of uncertainty</w:t>
            </w:r>
          </w:p>
        </w:tc>
        <w:tc>
          <w:tcPr>
            <w:tcW w:w="6662" w:type="dxa"/>
            <w:gridSpan w:val="4"/>
          </w:tcPr>
          <w:p w14:paraId="536618E4" w14:textId="71904C05" w:rsidR="002B736D" w:rsidRPr="00800962" w:rsidRDefault="00116E1D" w:rsidP="0038031D">
            <w:pPr>
              <w:pStyle w:val="SDMTableBoxParaNotNumbered"/>
              <w:keepNext/>
              <w:spacing w:before="60" w:after="60"/>
            </w:pPr>
            <w:r>
              <w:t>If o</w:t>
            </w:r>
            <w:r w:rsidR="657D6881">
              <w:t>ption</w:t>
            </w:r>
            <w:r w:rsidR="0005725D">
              <w:t> </w:t>
            </w:r>
            <w:r w:rsidR="657D6881">
              <w:t>1</w:t>
            </w:r>
            <w:r>
              <w:t xml:space="preserve"> is chosen</w:t>
            </w:r>
            <w:r w:rsidR="657D6881">
              <w:t xml:space="preserve">: </w:t>
            </w:r>
            <w:r w:rsidR="00212789">
              <w:t>Uncertainty values, where available,</w:t>
            </w:r>
            <w:r w:rsidR="003437B8">
              <w:t xml:space="preserve"> as</w:t>
            </w:r>
            <w:r w:rsidR="00212789">
              <w:t xml:space="preserve"> </w:t>
            </w:r>
            <w:r w:rsidR="657D6881">
              <w:t>provided by the electricity wholesale or retail companies;</w:t>
            </w:r>
          </w:p>
          <w:p w14:paraId="0ED5BCAC" w14:textId="5CB5D597" w:rsidR="002B736D" w:rsidRPr="00800962" w:rsidRDefault="00116E1D" w:rsidP="0038031D">
            <w:pPr>
              <w:pStyle w:val="SDMTableBoxParaNotNumbered"/>
              <w:keepNext/>
              <w:spacing w:before="60" w:after="60"/>
            </w:pPr>
            <w:r>
              <w:t>If option</w:t>
            </w:r>
            <w:r w:rsidR="0005725D">
              <w:t> </w:t>
            </w:r>
            <w:r w:rsidR="657D6881">
              <w:t>2</w:t>
            </w:r>
            <w:r>
              <w:t xml:space="preserve"> is chosen</w:t>
            </w:r>
            <w:r w:rsidR="657D6881">
              <w:t>:</w:t>
            </w:r>
            <w:r w:rsidR="00924518">
              <w:t xml:space="preserve"> </w:t>
            </w:r>
            <w:r w:rsidR="00C963F4">
              <w:t>not applicable</w:t>
            </w:r>
          </w:p>
        </w:tc>
      </w:tr>
      <w:tr w:rsidR="002B736D" w:rsidRPr="00800962" w14:paraId="2E9C234E" w14:textId="77777777" w:rsidTr="00E12AF4">
        <w:trPr>
          <w:trHeight w:val="300"/>
        </w:trPr>
        <w:tc>
          <w:tcPr>
            <w:tcW w:w="2552" w:type="dxa"/>
          </w:tcPr>
          <w:p w14:paraId="6284EE22" w14:textId="77777777" w:rsidR="002B736D" w:rsidRPr="00800962" w:rsidRDefault="7603321B" w:rsidP="00E12AF4">
            <w:pPr>
              <w:pStyle w:val="SDMTableBoxParaNotNumbered"/>
              <w:spacing w:before="60" w:after="60"/>
            </w:pPr>
            <w:r>
              <w:t>Additional comment</w:t>
            </w:r>
          </w:p>
        </w:tc>
        <w:tc>
          <w:tcPr>
            <w:tcW w:w="6662" w:type="dxa"/>
            <w:gridSpan w:val="4"/>
          </w:tcPr>
          <w:p w14:paraId="20B082F1" w14:textId="005483EC" w:rsidR="002B736D" w:rsidRPr="00800962" w:rsidRDefault="00116E1D" w:rsidP="00E12AF4">
            <w:pPr>
              <w:pStyle w:val="SDMTableBoxParaNotNumbered"/>
              <w:spacing w:before="60" w:after="60"/>
            </w:pPr>
            <w:r>
              <w:t>If option</w:t>
            </w:r>
            <w:r w:rsidR="0005725D">
              <w:t> </w:t>
            </w:r>
            <w:r w:rsidR="1EB3F22E">
              <w:t>1</w:t>
            </w:r>
            <w:r>
              <w:t xml:space="preserve"> is chosen</w:t>
            </w:r>
            <w:r w:rsidR="1EB3F22E">
              <w:t xml:space="preserve">: </w:t>
            </w:r>
            <w:r w:rsidR="51341370">
              <w:t>f</w:t>
            </w:r>
            <w:r w:rsidR="1EB3F22E">
              <w:t xml:space="preserve">or </w:t>
            </w:r>
            <w:r w:rsidR="003437B8">
              <w:t>case</w:t>
            </w:r>
            <w:r w:rsidR="0005725D">
              <w:t> </w:t>
            </w:r>
            <w:r w:rsidR="1EB3F22E">
              <w:t xml:space="preserve">1, the data used may include </w:t>
            </w:r>
            <w:r w:rsidR="00F45EE6">
              <w:t>or exclude</w:t>
            </w:r>
            <w:r w:rsidR="1EB3F22E">
              <w:t xml:space="preserve"> losses from electricity pilferage</w:t>
            </w:r>
            <w:r w:rsidR="51341370">
              <w:t>; f</w:t>
            </w:r>
            <w:r w:rsidR="1EB3F22E">
              <w:t xml:space="preserve">or </w:t>
            </w:r>
            <w:r w:rsidR="003437B8">
              <w:t>case </w:t>
            </w:r>
            <w:r w:rsidR="1EB3F22E">
              <w:t xml:space="preserve">2, the data shall only be used if it includes </w:t>
            </w:r>
            <w:r w:rsidR="00C769AA">
              <w:t xml:space="preserve">only </w:t>
            </w:r>
            <w:r w:rsidR="1EB3F22E">
              <w:t xml:space="preserve">physical losses and </w:t>
            </w:r>
            <w:r w:rsidR="00C769AA">
              <w:t>excludes any</w:t>
            </w:r>
            <w:r w:rsidR="1EB3F22E">
              <w:t xml:space="preserve"> losses from electricity pilferage</w:t>
            </w:r>
          </w:p>
        </w:tc>
      </w:tr>
    </w:tbl>
    <w:p w14:paraId="4B835E98" w14:textId="77777777" w:rsidR="000D1E11" w:rsidRPr="00535F87" w:rsidRDefault="000D1E11">
      <w:pPr>
        <w:sectPr w:rsidR="000D1E11" w:rsidRPr="00535F87" w:rsidSect="006E787B">
          <w:headerReference w:type="even" r:id="rId16"/>
          <w:headerReference w:type="default" r:id="rId17"/>
          <w:footerReference w:type="default" r:id="rId18"/>
          <w:headerReference w:type="first" r:id="rId19"/>
          <w:footnotePr>
            <w:numRestart w:val="eachSect"/>
          </w:footnotePr>
          <w:pgSz w:w="11907" w:h="16840" w:code="9"/>
          <w:pgMar w:top="2126" w:right="1134" w:bottom="1135" w:left="1418" w:header="851" w:footer="567" w:gutter="0"/>
          <w:cols w:space="720"/>
          <w:formProt w:val="0"/>
          <w:docGrid w:linePitch="299"/>
        </w:sectPr>
      </w:pPr>
    </w:p>
    <w:p w14:paraId="09D0BB5F" w14:textId="686BC685" w:rsidR="000D1E11" w:rsidRDefault="000D1E11">
      <w:pPr>
        <w:pStyle w:val="SDMAppTitle"/>
      </w:pPr>
      <w:bookmarkStart w:id="743" w:name="_Toc221096428"/>
      <w:bookmarkStart w:id="744" w:name="_Toc221097980"/>
      <w:bookmarkStart w:id="745" w:name="_Toc221116276"/>
      <w:bookmarkStart w:id="746" w:name="_Toc221117292"/>
      <w:bookmarkStart w:id="747" w:name="_Toc222132130"/>
      <w:bookmarkStart w:id="748" w:name="_Toc222494931"/>
      <w:bookmarkStart w:id="749" w:name="_Toc222512447"/>
      <w:bookmarkStart w:id="750" w:name="_Toc222741767"/>
      <w:r>
        <w:t>Flowchart</w:t>
      </w:r>
      <w:r w:rsidR="00E21B6C">
        <w:t>s illustrating the application of the methodological steps to scenarios A, B and C</w:t>
      </w:r>
      <w:bookmarkEnd w:id="743"/>
      <w:bookmarkEnd w:id="744"/>
      <w:bookmarkEnd w:id="745"/>
      <w:bookmarkEnd w:id="746"/>
      <w:bookmarkEnd w:id="747"/>
      <w:bookmarkEnd w:id="748"/>
      <w:bookmarkEnd w:id="749"/>
      <w:bookmarkEnd w:id="750"/>
    </w:p>
    <w:p w14:paraId="56BBC1D9" w14:textId="46EACAB5" w:rsidR="00445BF0" w:rsidRDefault="00180F0C" w:rsidP="0046099D">
      <w:pPr>
        <w:pStyle w:val="CaptionFullPage"/>
        <w:ind w:left="1134" w:hanging="1134"/>
        <w:rPr>
          <w:rFonts w:cs="Arial"/>
        </w:rPr>
      </w:pPr>
      <w:r w:rsidRPr="00E93FC7">
        <w:rPr>
          <w:noProof/>
        </w:rPr>
        <w:drawing>
          <wp:anchor distT="0" distB="0" distL="114300" distR="114300" simplePos="0" relativeHeight="251658240" behindDoc="1" locked="0" layoutInCell="1" allowOverlap="1" wp14:anchorId="324780A6" wp14:editId="79D16077">
            <wp:simplePos x="0" y="0"/>
            <wp:positionH relativeFrom="column">
              <wp:posOffset>3175</wp:posOffset>
            </wp:positionH>
            <wp:positionV relativeFrom="paragraph">
              <wp:posOffset>563730</wp:posOffset>
            </wp:positionV>
            <wp:extent cx="5850890" cy="4197985"/>
            <wp:effectExtent l="0" t="0" r="0" b="6985"/>
            <wp:wrapTight wrapText="bothSides">
              <wp:wrapPolygon edited="0">
                <wp:start x="0" y="0"/>
                <wp:lineTo x="0" y="21541"/>
                <wp:lineTo x="21504" y="21541"/>
                <wp:lineTo x="21504" y="0"/>
                <wp:lineTo x="0" y="0"/>
              </wp:wrapPolygon>
            </wp:wrapTight>
            <wp:docPr id="150302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029409" name=""/>
                    <pic:cNvPicPr/>
                  </pic:nvPicPr>
                  <pic:blipFill>
                    <a:blip r:embed="rId20">
                      <a:extLst>
                        <a:ext uri="{28A0092B-C50C-407E-A947-70E740481C1C}">
                          <a14:useLocalDpi xmlns:a14="http://schemas.microsoft.com/office/drawing/2010/main" val="0"/>
                        </a:ext>
                      </a:extLst>
                    </a:blip>
                    <a:stretch>
                      <a:fillRect/>
                    </a:stretch>
                  </pic:blipFill>
                  <pic:spPr>
                    <a:xfrm>
                      <a:off x="0" y="0"/>
                      <a:ext cx="5850890" cy="4197985"/>
                    </a:xfrm>
                    <a:prstGeom prst="rect">
                      <a:avLst/>
                    </a:prstGeom>
                  </pic:spPr>
                </pic:pic>
              </a:graphicData>
            </a:graphic>
            <wp14:sizeRelH relativeFrom="margin">
              <wp14:pctWidth>0</wp14:pctWidth>
            </wp14:sizeRelH>
            <wp14:sizeRelV relativeFrom="margin">
              <wp14:pctHeight>0</wp14:pctHeight>
            </wp14:sizeRelV>
          </wp:anchor>
        </w:drawing>
      </w:r>
      <w:r w:rsidR="00C552AB">
        <w:t>Figure</w:t>
      </w:r>
      <w:r w:rsidR="004D2291">
        <w:t> </w:t>
      </w:r>
      <w:r w:rsidR="00C552AB">
        <w:fldChar w:fldCharType="begin"/>
      </w:r>
      <w:r w:rsidR="00C552AB">
        <w:instrText>SEQ Figure \* ARABIC</w:instrText>
      </w:r>
      <w:r w:rsidR="00C552AB">
        <w:fldChar w:fldCharType="separate"/>
      </w:r>
      <w:r w:rsidR="00D811A8">
        <w:rPr>
          <w:noProof/>
        </w:rPr>
        <w:t>1</w:t>
      </w:r>
      <w:r w:rsidR="00C552AB">
        <w:fldChar w:fldCharType="end"/>
      </w:r>
      <w:r w:rsidR="00420419">
        <w:rPr>
          <w:lang w:val="en-US"/>
        </w:rPr>
        <w:t>.</w:t>
      </w:r>
      <w:r w:rsidR="0046099D">
        <w:rPr>
          <w:lang w:val="en-US"/>
        </w:rPr>
        <w:tab/>
      </w:r>
      <w:r w:rsidR="00420419">
        <w:rPr>
          <w:lang w:val="en-US"/>
        </w:rPr>
        <w:t>Flow</w:t>
      </w:r>
      <w:r w:rsidR="00930A60">
        <w:rPr>
          <w:rFonts w:eastAsia="MS Mincho" w:hint="eastAsia"/>
          <w:lang w:val="en-US" w:eastAsia="ja-JP"/>
        </w:rPr>
        <w:t>chart</w:t>
      </w:r>
      <w:r w:rsidR="00D0418B">
        <w:rPr>
          <w:lang w:val="en-US"/>
        </w:rPr>
        <w:t xml:space="preserve"> to calculate the </w:t>
      </w:r>
      <w:r w:rsidR="00D0418B" w:rsidRPr="00841D39">
        <w:t>emissions from electricity consumption and/or generation</w:t>
      </w:r>
      <w:r w:rsidR="00D0418B">
        <w:rPr>
          <w:lang w:val="en-US"/>
        </w:rPr>
        <w:t xml:space="preserve"> for energy sources falling under </w:t>
      </w:r>
      <w:r w:rsidR="0009139F">
        <w:rPr>
          <w:lang w:val="en-US"/>
        </w:rPr>
        <w:t>s</w:t>
      </w:r>
      <w:r w:rsidR="00D0418B">
        <w:rPr>
          <w:lang w:val="en-US"/>
        </w:rPr>
        <w:t>cenario</w:t>
      </w:r>
      <w:r w:rsidR="004D2291">
        <w:rPr>
          <w:lang w:val="en-US"/>
        </w:rPr>
        <w:t> </w:t>
      </w:r>
      <w:r w:rsidR="00D0418B">
        <w:rPr>
          <w:lang w:val="en-US"/>
        </w:rPr>
        <w:t>A</w:t>
      </w:r>
    </w:p>
    <w:p w14:paraId="62BA54E7" w14:textId="2DFFD23C" w:rsidR="00D0418B" w:rsidRDefault="00D0418B" w:rsidP="00D23082">
      <w:pPr>
        <w:keepNext/>
        <w:spacing w:before="240"/>
        <w:jc w:val="right"/>
      </w:pPr>
    </w:p>
    <w:p w14:paraId="38B2A180" w14:textId="543ECA66" w:rsidR="00C72647" w:rsidRDefault="00F615B0" w:rsidP="0091707A">
      <w:pPr>
        <w:pStyle w:val="CaptionFullPage"/>
        <w:ind w:left="1130" w:hanging="1130"/>
        <w:jc w:val="left"/>
        <w:rPr>
          <w:lang w:val="en-US"/>
        </w:rPr>
      </w:pPr>
      <w:r w:rsidRPr="0091707A">
        <w:rPr>
          <w:noProof/>
          <w:lang w:val="en-US"/>
        </w:rPr>
        <w:drawing>
          <wp:anchor distT="0" distB="0" distL="114300" distR="114300" simplePos="0" relativeHeight="251658241" behindDoc="1" locked="0" layoutInCell="1" allowOverlap="1" wp14:anchorId="0FA7E2C9" wp14:editId="1E2EBBC1">
            <wp:simplePos x="0" y="0"/>
            <wp:positionH relativeFrom="column">
              <wp:posOffset>3175</wp:posOffset>
            </wp:positionH>
            <wp:positionV relativeFrom="paragraph">
              <wp:posOffset>306705</wp:posOffset>
            </wp:positionV>
            <wp:extent cx="5850890" cy="3734435"/>
            <wp:effectExtent l="0" t="0" r="0" b="0"/>
            <wp:wrapTight wrapText="bothSides">
              <wp:wrapPolygon edited="0">
                <wp:start x="0" y="0"/>
                <wp:lineTo x="0" y="21486"/>
                <wp:lineTo x="21520" y="21486"/>
                <wp:lineTo x="21520" y="0"/>
                <wp:lineTo x="0" y="0"/>
              </wp:wrapPolygon>
            </wp:wrapTight>
            <wp:docPr id="458637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637063" name=""/>
                    <pic:cNvPicPr/>
                  </pic:nvPicPr>
                  <pic:blipFill>
                    <a:blip r:embed="rId21">
                      <a:extLst>
                        <a:ext uri="{28A0092B-C50C-407E-A947-70E740481C1C}">
                          <a14:useLocalDpi xmlns:a14="http://schemas.microsoft.com/office/drawing/2010/main" val="0"/>
                        </a:ext>
                      </a:extLst>
                    </a:blip>
                    <a:stretch>
                      <a:fillRect/>
                    </a:stretch>
                  </pic:blipFill>
                  <pic:spPr>
                    <a:xfrm>
                      <a:off x="0" y="0"/>
                      <a:ext cx="5850890" cy="3734435"/>
                    </a:xfrm>
                    <a:prstGeom prst="rect">
                      <a:avLst/>
                    </a:prstGeom>
                  </pic:spPr>
                </pic:pic>
              </a:graphicData>
            </a:graphic>
            <wp14:sizeRelH relativeFrom="margin">
              <wp14:pctWidth>0</wp14:pctWidth>
            </wp14:sizeRelH>
            <wp14:sizeRelV relativeFrom="margin">
              <wp14:pctHeight>0</wp14:pctHeight>
            </wp14:sizeRelV>
          </wp:anchor>
        </w:drawing>
      </w:r>
      <w:r w:rsidR="00D0418B" w:rsidRPr="0091707A">
        <w:rPr>
          <w:lang w:val="en-US"/>
        </w:rPr>
        <w:t>Figure</w:t>
      </w:r>
      <w:r w:rsidR="004D2291" w:rsidRPr="0091707A">
        <w:rPr>
          <w:lang w:val="en-US"/>
        </w:rPr>
        <w:t> </w:t>
      </w:r>
      <w:r w:rsidR="00D0418B" w:rsidRPr="0091707A">
        <w:rPr>
          <w:lang w:val="en-US"/>
        </w:rPr>
        <w:fldChar w:fldCharType="begin"/>
      </w:r>
      <w:r w:rsidR="00D0418B" w:rsidRPr="0091707A">
        <w:rPr>
          <w:lang w:val="en-US"/>
        </w:rPr>
        <w:instrText>SEQ Figure \* ARABIC</w:instrText>
      </w:r>
      <w:r w:rsidR="00D0418B" w:rsidRPr="0091707A">
        <w:rPr>
          <w:lang w:val="en-US"/>
        </w:rPr>
        <w:fldChar w:fldCharType="separate"/>
      </w:r>
      <w:r w:rsidR="00D811A8">
        <w:rPr>
          <w:noProof/>
          <w:lang w:val="en-US"/>
        </w:rPr>
        <w:t>2</w:t>
      </w:r>
      <w:r w:rsidR="00D0418B" w:rsidRPr="0091707A">
        <w:rPr>
          <w:lang w:val="en-US"/>
        </w:rPr>
        <w:fldChar w:fldCharType="end"/>
      </w:r>
      <w:r w:rsidR="00D0418B">
        <w:rPr>
          <w:lang w:val="en-US"/>
        </w:rPr>
        <w:t>.</w:t>
      </w:r>
      <w:r w:rsidR="00B55DED">
        <w:rPr>
          <w:lang w:val="en-US"/>
        </w:rPr>
        <w:tab/>
      </w:r>
      <w:r w:rsidR="00D0418B" w:rsidRPr="00CA1B2B">
        <w:rPr>
          <w:lang w:val="en-US"/>
        </w:rPr>
        <w:t>Flow</w:t>
      </w:r>
      <w:r w:rsidR="00930A60" w:rsidRPr="0091707A">
        <w:rPr>
          <w:rFonts w:hint="eastAsia"/>
          <w:lang w:val="en-US"/>
        </w:rPr>
        <w:t>chart</w:t>
      </w:r>
      <w:r w:rsidR="00D0418B" w:rsidRPr="00CA1B2B">
        <w:rPr>
          <w:lang w:val="en-US"/>
        </w:rPr>
        <w:t xml:space="preserve"> to calculate the emissions from electricity consumption and/or generation for energy sources falling under </w:t>
      </w:r>
      <w:r w:rsidR="0009139F">
        <w:rPr>
          <w:lang w:val="en-US"/>
        </w:rPr>
        <w:t>s</w:t>
      </w:r>
      <w:r w:rsidR="00D0418B" w:rsidRPr="00CA1B2B">
        <w:rPr>
          <w:lang w:val="en-US"/>
        </w:rPr>
        <w:t>cenario</w:t>
      </w:r>
      <w:r w:rsidR="004D2291">
        <w:rPr>
          <w:lang w:val="en-US"/>
        </w:rPr>
        <w:t> </w:t>
      </w:r>
      <w:r w:rsidR="00D0418B">
        <w:rPr>
          <w:lang w:val="en-US"/>
        </w:rPr>
        <w:t>B</w:t>
      </w:r>
    </w:p>
    <w:p w14:paraId="73EC1F10" w14:textId="38BAB596" w:rsidR="0091707A" w:rsidRDefault="00604ED0" w:rsidP="00FC515E">
      <w:pPr>
        <w:pStyle w:val="CaptionFullPage"/>
        <w:ind w:left="1128" w:hanging="1128"/>
        <w:jc w:val="left"/>
        <w:rPr>
          <w:lang w:val="en-US"/>
        </w:rPr>
      </w:pPr>
      <w:r w:rsidRPr="00FC515E">
        <w:rPr>
          <w:lang w:val="en-US"/>
        </w:rPr>
        <w:t>Figure</w:t>
      </w:r>
      <w:r w:rsidR="006C14E8" w:rsidRPr="00FC515E">
        <w:rPr>
          <w:lang w:val="en-US"/>
        </w:rPr>
        <w:t> </w:t>
      </w:r>
      <w:r w:rsidRPr="00FC515E">
        <w:rPr>
          <w:lang w:val="en-US"/>
        </w:rPr>
        <w:fldChar w:fldCharType="begin"/>
      </w:r>
      <w:r w:rsidRPr="00FC515E">
        <w:rPr>
          <w:lang w:val="en-US"/>
        </w:rPr>
        <w:instrText>SEQ Figure \* ARABIC</w:instrText>
      </w:r>
      <w:r w:rsidRPr="00FC515E">
        <w:rPr>
          <w:lang w:val="en-US"/>
        </w:rPr>
        <w:fldChar w:fldCharType="separate"/>
      </w:r>
      <w:r w:rsidR="00D811A8">
        <w:rPr>
          <w:noProof/>
          <w:lang w:val="en-US"/>
        </w:rPr>
        <w:t>3</w:t>
      </w:r>
      <w:r w:rsidRPr="00FC515E">
        <w:rPr>
          <w:lang w:val="en-US"/>
        </w:rPr>
        <w:fldChar w:fldCharType="end"/>
      </w:r>
      <w:r w:rsidRPr="00FC515E">
        <w:rPr>
          <w:lang w:val="en-US"/>
        </w:rPr>
        <w:t>.</w:t>
      </w:r>
      <w:r w:rsidR="0091707A" w:rsidRPr="00FC515E">
        <w:rPr>
          <w:lang w:val="en-US"/>
        </w:rPr>
        <w:tab/>
      </w:r>
      <w:r w:rsidRPr="00FC515E">
        <w:rPr>
          <w:lang w:val="en-US"/>
        </w:rPr>
        <w:t>Flow</w:t>
      </w:r>
      <w:r w:rsidR="00930A60" w:rsidRPr="00FC515E">
        <w:rPr>
          <w:rFonts w:eastAsia="MS Mincho" w:hint="eastAsia"/>
          <w:lang w:val="en-US"/>
        </w:rPr>
        <w:t>chart</w:t>
      </w:r>
      <w:r w:rsidRPr="00FC515E">
        <w:rPr>
          <w:lang w:val="en-US"/>
        </w:rPr>
        <w:t xml:space="preserve"> to calculate the emissions from electricity consumption and/or </w:t>
      </w:r>
      <w:r w:rsidR="00B55DED" w:rsidRPr="00FC515E">
        <w:rPr>
          <w:lang w:val="en-US"/>
        </w:rPr>
        <w:t xml:space="preserve">generation for energy sources falling under </w:t>
      </w:r>
      <w:r w:rsidR="0009139F">
        <w:rPr>
          <w:lang w:val="en-US"/>
        </w:rPr>
        <w:t>s</w:t>
      </w:r>
      <w:r w:rsidR="00B55DED" w:rsidRPr="00FC515E">
        <w:rPr>
          <w:lang w:val="en-US"/>
        </w:rPr>
        <w:t>cenario C</w:t>
      </w:r>
      <w:r w:rsidR="00B55DED" w:rsidRPr="0091707A">
        <w:t xml:space="preserve"> </w:t>
      </w:r>
      <w:r w:rsidR="0091707A">
        <w:rPr>
          <w:noProof/>
        </w:rPr>
        <w:drawing>
          <wp:inline distT="0" distB="0" distL="0" distR="0" wp14:anchorId="4CEC4CF4" wp14:editId="7F110BE8">
            <wp:extent cx="5207330" cy="38735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217965" cy="3881477"/>
                    </a:xfrm>
                    <a:prstGeom prst="rect">
                      <a:avLst/>
                    </a:prstGeom>
                  </pic:spPr>
                </pic:pic>
              </a:graphicData>
            </a:graphic>
          </wp:inline>
        </w:drawing>
      </w:r>
    </w:p>
    <w:p w14:paraId="31B43AA8" w14:textId="3A7D1A18" w:rsidR="00EC2B1A" w:rsidRDefault="00FA65C4">
      <w:pPr>
        <w:pStyle w:val="SDMAppTitle"/>
      </w:pPr>
      <w:bookmarkStart w:id="751" w:name="_Toc221097981"/>
      <w:bookmarkStart w:id="752" w:name="_Toc221116277"/>
      <w:bookmarkStart w:id="753" w:name="_Toc221117293"/>
      <w:bookmarkStart w:id="754" w:name="_Toc222132131"/>
      <w:bookmarkStart w:id="755" w:name="_Toc222494932"/>
      <w:bookmarkStart w:id="756" w:name="_Toc222512448"/>
      <w:bookmarkStart w:id="757" w:name="_Toc222741768"/>
      <w:bookmarkStart w:id="758" w:name="_Toc221096429"/>
      <w:r>
        <w:rPr>
          <w:lang w:val="en-US"/>
        </w:rPr>
        <w:t>Values for the parameters F</w:t>
      </w:r>
      <w:r w:rsidRPr="00667CBA">
        <w:rPr>
          <w:vertAlign w:val="subscript"/>
          <w:lang w:val="en-US"/>
        </w:rPr>
        <w:t>OM,simple</w:t>
      </w:r>
      <w:r>
        <w:rPr>
          <w:lang w:val="en-US"/>
        </w:rPr>
        <w:t>, F</w:t>
      </w:r>
      <w:r w:rsidRPr="00667CBA">
        <w:rPr>
          <w:vertAlign w:val="subscript"/>
          <w:lang w:val="en-US"/>
        </w:rPr>
        <w:t>OM,av</w:t>
      </w:r>
      <w:r w:rsidR="008E19B0">
        <w:rPr>
          <w:vertAlign w:val="subscript"/>
          <w:lang w:val="en-US"/>
        </w:rPr>
        <w:t>g</w:t>
      </w:r>
      <w:r>
        <w:rPr>
          <w:lang w:val="en-US"/>
        </w:rPr>
        <w:t xml:space="preserve"> and F</w:t>
      </w:r>
      <w:r w:rsidRPr="00667CBA">
        <w:rPr>
          <w:vertAlign w:val="subscript"/>
          <w:lang w:val="en-US"/>
        </w:rPr>
        <w:t>BM</w:t>
      </w:r>
      <w:bookmarkEnd w:id="751"/>
      <w:bookmarkEnd w:id="752"/>
      <w:bookmarkEnd w:id="753"/>
      <w:bookmarkEnd w:id="754"/>
      <w:bookmarkEnd w:id="755"/>
      <w:bookmarkEnd w:id="756"/>
      <w:bookmarkEnd w:id="757"/>
    </w:p>
    <w:p w14:paraId="431071AC" w14:textId="2B336311" w:rsidR="00EC2B1A" w:rsidRDefault="00EC2B1A">
      <w:pPr>
        <w:pStyle w:val="SDMPara"/>
        <w:numPr>
          <w:ilvl w:val="0"/>
          <w:numId w:val="19"/>
        </w:numPr>
      </w:pPr>
      <w:r w:rsidRPr="006C14E8">
        <w:t>Table</w:t>
      </w:r>
      <w:r w:rsidR="00C704CD" w:rsidRPr="006C14E8">
        <w:t> </w:t>
      </w:r>
      <w:r w:rsidRPr="006C14E8">
        <w:t>1</w:t>
      </w:r>
      <w:r>
        <w:t xml:space="preserve"> sets out values to be used for the parameters F</w:t>
      </w:r>
      <w:r w:rsidRPr="006C14E8">
        <w:rPr>
          <w:vertAlign w:val="subscript"/>
        </w:rPr>
        <w:t>OM,simple</w:t>
      </w:r>
      <w:r>
        <w:t>, F</w:t>
      </w:r>
      <w:r w:rsidRPr="006C14E8">
        <w:rPr>
          <w:vertAlign w:val="subscript"/>
        </w:rPr>
        <w:t>OM,av</w:t>
      </w:r>
      <w:r w:rsidR="008E19B0">
        <w:rPr>
          <w:vertAlign w:val="subscript"/>
        </w:rPr>
        <w:t>g</w:t>
      </w:r>
      <w:r w:rsidRPr="006C14E8">
        <w:rPr>
          <w:vertAlign w:val="subscript"/>
        </w:rPr>
        <w:t xml:space="preserve"> </w:t>
      </w:r>
      <w:r>
        <w:t>and F</w:t>
      </w:r>
      <w:r w:rsidRPr="006C14E8">
        <w:rPr>
          <w:vertAlign w:val="subscript"/>
        </w:rPr>
        <w:t>BM</w:t>
      </w:r>
      <w:r>
        <w:t xml:space="preserve">. In accordance with paragraphs </w:t>
      </w:r>
      <w:r>
        <w:rPr>
          <w:cs/>
        </w:rPr>
        <w:t>‎</w:t>
      </w:r>
      <w:r>
        <w:t xml:space="preserve">83 and </w:t>
      </w:r>
      <w:r>
        <w:rPr>
          <w:cs/>
        </w:rPr>
        <w:t>‎</w:t>
      </w:r>
      <w:r>
        <w:t>97 of the main part of the methodological tool, activity participants shall use either the global value indicated in the first line or the relevant country-specific value.</w:t>
      </w:r>
      <w:r>
        <w:rPr>
          <w:rStyle w:val="FootnoteReference"/>
        </w:rPr>
        <w:footnoteReference w:id="36"/>
      </w:r>
    </w:p>
    <w:p w14:paraId="74D4132E" w14:textId="77777777" w:rsidR="00D811A8" w:rsidRDefault="00EC2B1A">
      <w:pPr>
        <w:pStyle w:val="SDMPara"/>
        <w:numPr>
          <w:ilvl w:val="0"/>
          <w:numId w:val="19"/>
        </w:numPr>
        <w:rPr>
          <w:rFonts w:eastAsia="MS Mincho"/>
        </w:rPr>
      </w:pPr>
      <w:r>
        <w:t>The values in Table</w:t>
      </w:r>
      <w:r w:rsidR="00C704CD">
        <w:t> </w:t>
      </w:r>
      <w:r>
        <w:t>1 were computed based on a regression analysis of how the carbon dioxide intensity of electricity generation changed over the most recent ten-year period for which data is available (2015 to 2024). All countries for which data was available were considered in the analysis. An uncertainty analysis was conducted, and the lower confidence value was used here to account for uncertainty. The uncertainty was estimated using the standard error of the slope derived from the linear regression analysis. A 95 per cent confidence interval was calculated for the regression coefficient, and the lower bound of this interval was applied to ensure a conservative estimate. Data provided by Ember was used for this purpose.</w:t>
      </w:r>
      <w:r>
        <w:rPr>
          <w:rStyle w:val="FootnoteReference"/>
        </w:rPr>
        <w:footnoteReference w:id="37"/>
      </w:r>
      <w:r>
        <w:t xml:space="preserve"> </w:t>
      </w:r>
      <w:r w:rsidR="0097281D" w:rsidRPr="0097281D">
        <w:rPr>
          <w:rFonts w:eastAsia="MS Mincho" w:hint="eastAsia"/>
          <w:lang w:eastAsia="ja-JP"/>
        </w:rPr>
        <w:t>Note that paragraph</w:t>
      </w:r>
      <w:r w:rsidR="00371E1E">
        <w:rPr>
          <w:rFonts w:eastAsia="MS Mincho"/>
          <w:lang w:eastAsia="ja-JP"/>
        </w:rPr>
        <w:t> </w:t>
      </w:r>
      <w:r w:rsidR="0097281D" w:rsidRPr="0097281D">
        <w:rPr>
          <w:rFonts w:eastAsia="MS Mincho" w:hint="eastAsia"/>
          <w:lang w:eastAsia="ja-JP"/>
        </w:rPr>
        <w:t xml:space="preserve">83 of the tool specifies that activity participants shall either use the global value or a respective country </w:t>
      </w:r>
      <w:r w:rsidR="0097281D" w:rsidRPr="0097281D">
        <w:rPr>
          <w:rFonts w:eastAsia="MS Mincho"/>
          <w:lang w:eastAsia="ja-JP"/>
        </w:rPr>
        <w:t>specific</w:t>
      </w:r>
      <w:r w:rsidR="0097281D" w:rsidRPr="0097281D">
        <w:rPr>
          <w:rFonts w:eastAsia="MS Mincho" w:hint="eastAsia"/>
          <w:lang w:eastAsia="ja-JP"/>
        </w:rPr>
        <w:t xml:space="preserve"> value.</w:t>
      </w:r>
      <w:r w:rsidR="0097281D">
        <w:rPr>
          <w:rFonts w:eastAsia="MS Mincho" w:hint="eastAsia"/>
          <w:lang w:eastAsia="ja-JP"/>
        </w:rPr>
        <w:t xml:space="preserve"> </w:t>
      </w:r>
      <w:r>
        <w:t xml:space="preserve">For some countries, sufficient data </w:t>
      </w:r>
      <w:r w:rsidR="00D14E33">
        <w:rPr>
          <w:rFonts w:eastAsia="MS Mincho" w:hint="eastAsia"/>
          <w:lang w:eastAsia="ja-JP"/>
        </w:rPr>
        <w:t>was</w:t>
      </w:r>
      <w:r w:rsidR="00D14E33">
        <w:t xml:space="preserve"> </w:t>
      </w:r>
      <w:r>
        <w:t>not available</w:t>
      </w:r>
      <w:r w:rsidR="00D14E33">
        <w:rPr>
          <w:rFonts w:eastAsia="MS Mincho" w:hint="eastAsia"/>
          <w:lang w:eastAsia="ja-JP"/>
        </w:rPr>
        <w:t xml:space="preserve"> to compute a value</w:t>
      </w:r>
      <w:r>
        <w:t xml:space="preserve">. In these instances, </w:t>
      </w:r>
      <w:r w:rsidR="004C2FBA">
        <w:rPr>
          <w:rFonts w:eastAsia="MS Mincho"/>
          <w:lang w:eastAsia="ja-JP"/>
        </w:rPr>
        <w:fldChar w:fldCharType="begin"/>
      </w:r>
      <w:r w:rsidR="004C2FBA">
        <w:rPr>
          <w:rFonts w:eastAsia="MS Mincho"/>
          <w:lang w:eastAsia="ja-JP"/>
        </w:rPr>
        <w:instrText xml:space="preserve"> </w:instrText>
      </w:r>
      <w:r w:rsidR="004C2FBA">
        <w:rPr>
          <w:rFonts w:eastAsia="MS Mincho" w:hint="eastAsia"/>
          <w:lang w:eastAsia="ja-JP"/>
        </w:rPr>
        <w:instrText>REF _Ref220950730 \h</w:instrText>
      </w:r>
      <w:r w:rsidR="004C2FBA">
        <w:rPr>
          <w:rFonts w:eastAsia="MS Mincho"/>
          <w:lang w:eastAsia="ja-JP"/>
        </w:rPr>
        <w:instrText xml:space="preserve"> </w:instrText>
      </w:r>
      <w:r w:rsidR="004C2FBA">
        <w:rPr>
          <w:rFonts w:eastAsia="MS Mincho"/>
          <w:lang w:eastAsia="ja-JP"/>
        </w:rPr>
      </w:r>
      <w:r w:rsidR="004C2FBA">
        <w:rPr>
          <w:rFonts w:eastAsia="MS Mincho"/>
          <w:lang w:eastAsia="ja-JP"/>
        </w:rPr>
        <w:fldChar w:fldCharType="separate"/>
      </w:r>
    </w:p>
    <w:p w14:paraId="0659C015" w14:textId="5EBD4279" w:rsidR="00C178B6" w:rsidRDefault="00D811A8">
      <w:pPr>
        <w:pStyle w:val="SDMPara"/>
        <w:numPr>
          <w:ilvl w:val="0"/>
          <w:numId w:val="19"/>
        </w:numPr>
        <w:rPr>
          <w:rFonts w:eastAsia="MS Mincho"/>
        </w:rPr>
      </w:pPr>
      <w:r>
        <w:t>Table </w:t>
      </w:r>
      <w:r>
        <w:rPr>
          <w:noProof/>
        </w:rPr>
        <w:t>1</w:t>
      </w:r>
      <w:r w:rsidR="004C2FBA">
        <w:rPr>
          <w:rFonts w:eastAsia="MS Mincho"/>
          <w:lang w:eastAsia="ja-JP"/>
        </w:rPr>
        <w:fldChar w:fldCharType="end"/>
      </w:r>
      <w:r w:rsidR="004C2FBA">
        <w:rPr>
          <w:rFonts w:eastAsia="MS Mincho" w:hint="eastAsia"/>
          <w:lang w:eastAsia="ja-JP"/>
        </w:rPr>
        <w:t xml:space="preserve"> indicates that </w:t>
      </w:r>
      <w:r w:rsidR="00EC2B1A">
        <w:t>the global value shall be used.</w:t>
      </w:r>
      <w:bookmarkStart w:id="759" w:name="_Ref220943495"/>
      <w:bookmarkStart w:id="760" w:name="_Ref220950730"/>
      <w:bookmarkEnd w:id="758"/>
    </w:p>
    <w:p w14:paraId="7A7BB0FB" w14:textId="2027CC01" w:rsidR="00F662D0" w:rsidRPr="00C178B6" w:rsidRDefault="00F662D0" w:rsidP="00C178B6">
      <w:pPr>
        <w:pStyle w:val="Caption"/>
      </w:pPr>
      <w:r>
        <w:t>Table </w:t>
      </w:r>
      <w:bookmarkEnd w:id="759"/>
      <w:r w:rsidR="003F42FF">
        <w:fldChar w:fldCharType="begin"/>
      </w:r>
      <w:r w:rsidR="003F42FF">
        <w:instrText xml:space="preserve"> SEQ Table \r1 </w:instrText>
      </w:r>
      <w:r w:rsidR="003F42FF">
        <w:fldChar w:fldCharType="separate"/>
      </w:r>
      <w:r w:rsidR="00D811A8">
        <w:rPr>
          <w:noProof/>
        </w:rPr>
        <w:t>1</w:t>
      </w:r>
      <w:r w:rsidR="003F42FF">
        <w:fldChar w:fldCharType="end"/>
      </w:r>
      <w:bookmarkEnd w:id="760"/>
      <w:r>
        <w:rPr>
          <w:noProof/>
        </w:rPr>
        <w:t>.</w:t>
      </w:r>
      <w:r>
        <w:tab/>
      </w:r>
      <w:r w:rsidR="00C6125A">
        <w:t xml:space="preserve">Global and country-level values for </w:t>
      </w:r>
      <w:r w:rsidR="00C6125A" w:rsidRPr="0097281D">
        <w:rPr>
          <w:i/>
          <w:iCs/>
        </w:rPr>
        <w:t>F</w:t>
      </w:r>
      <w:r w:rsidR="00C6125A" w:rsidRPr="0097281D">
        <w:rPr>
          <w:i/>
          <w:iCs/>
          <w:vertAlign w:val="subscript"/>
        </w:rPr>
        <w:t>OM</w:t>
      </w:r>
      <w:r w:rsidR="682E2AA4" w:rsidRPr="0097281D">
        <w:rPr>
          <w:i/>
          <w:iCs/>
          <w:vertAlign w:val="subscript"/>
        </w:rPr>
        <w:t>,</w:t>
      </w:r>
      <w:r w:rsidR="00C6125A" w:rsidRPr="0097281D">
        <w:rPr>
          <w:i/>
          <w:iCs/>
          <w:vertAlign w:val="subscript"/>
        </w:rPr>
        <w:t>simple</w:t>
      </w:r>
      <w:r w:rsidR="00C6125A">
        <w:t xml:space="preserve">, </w:t>
      </w:r>
      <w:r w:rsidR="00C6125A" w:rsidRPr="0097281D">
        <w:rPr>
          <w:i/>
          <w:iCs/>
        </w:rPr>
        <w:t>F</w:t>
      </w:r>
      <w:r w:rsidR="00C6125A" w:rsidRPr="0097281D">
        <w:rPr>
          <w:i/>
          <w:iCs/>
          <w:vertAlign w:val="subscript"/>
        </w:rPr>
        <w:t>OM</w:t>
      </w:r>
      <w:r w:rsidR="321E05BC" w:rsidRPr="0097281D">
        <w:rPr>
          <w:i/>
          <w:iCs/>
          <w:vertAlign w:val="subscript"/>
        </w:rPr>
        <w:t>,</w:t>
      </w:r>
      <w:r w:rsidR="00C6125A" w:rsidRPr="0097281D">
        <w:rPr>
          <w:i/>
          <w:iCs/>
          <w:vertAlign w:val="subscript"/>
        </w:rPr>
        <w:t>av</w:t>
      </w:r>
      <w:r w:rsidR="008E19B0">
        <w:rPr>
          <w:i/>
          <w:iCs/>
          <w:vertAlign w:val="subscript"/>
        </w:rPr>
        <w:t>g</w:t>
      </w:r>
      <w:r w:rsidR="00C6125A">
        <w:t xml:space="preserve"> and </w:t>
      </w:r>
      <w:r w:rsidR="00C6125A" w:rsidRPr="0097281D">
        <w:rPr>
          <w:i/>
          <w:iCs/>
        </w:rPr>
        <w:t>F</w:t>
      </w:r>
      <w:r w:rsidR="00C6125A" w:rsidRPr="0097281D">
        <w:rPr>
          <w:i/>
          <w:iCs/>
          <w:vertAlign w:val="subscript"/>
        </w:rPr>
        <w:t>BM</w:t>
      </w:r>
      <w:r w:rsidR="00FE7104">
        <w:rPr>
          <w:rStyle w:val="FootnoteReference"/>
        </w:rPr>
        <w:footnoteReference w:id="38"/>
      </w:r>
    </w:p>
    <w:tbl>
      <w:tblPr>
        <w:tblStyle w:val="SDMTable"/>
        <w:tblW w:w="8618" w:type="dxa"/>
        <w:jc w:val="right"/>
        <w:tblInd w:w="0" w:type="dxa"/>
        <w:tblLook w:val="0620" w:firstRow="1" w:lastRow="0" w:firstColumn="0" w:lastColumn="0" w:noHBand="1" w:noVBand="1"/>
      </w:tblPr>
      <w:tblGrid>
        <w:gridCol w:w="3283"/>
        <w:gridCol w:w="1843"/>
        <w:gridCol w:w="1701"/>
        <w:gridCol w:w="1791"/>
      </w:tblGrid>
      <w:tr w:rsidR="00F662D0" w:rsidRPr="00EC2B1A" w14:paraId="4A828C6D" w14:textId="77777777" w:rsidTr="008F3C9F">
        <w:trPr>
          <w:cnfStyle w:val="100000000000" w:firstRow="1" w:lastRow="0" w:firstColumn="0" w:lastColumn="0" w:oddVBand="0" w:evenVBand="0" w:oddHBand="0" w:evenHBand="0" w:firstRowFirstColumn="0" w:firstRowLastColumn="0" w:lastRowFirstColumn="0" w:lastRowLastColumn="0"/>
          <w:jc w:val="right"/>
        </w:trPr>
        <w:tc>
          <w:tcPr>
            <w:tcW w:w="1905" w:type="pct"/>
          </w:tcPr>
          <w:p w14:paraId="7641897D" w14:textId="344457DB" w:rsidR="00F662D0" w:rsidRPr="004F23C4" w:rsidRDefault="00F662D0" w:rsidP="00EC2B1A">
            <w:pPr>
              <w:pStyle w:val="SDMTableBoxParaNumbered"/>
              <w:numPr>
                <w:ilvl w:val="0"/>
                <w:numId w:val="0"/>
              </w:numPr>
            </w:pPr>
            <w:r>
              <w:t>Country</w:t>
            </w:r>
          </w:p>
        </w:tc>
        <w:tc>
          <w:tcPr>
            <w:tcW w:w="1069" w:type="pct"/>
          </w:tcPr>
          <w:p w14:paraId="4B446770" w14:textId="24B5F46A" w:rsidR="00F662D0" w:rsidRPr="007541CD" w:rsidRDefault="00F662D0" w:rsidP="00EC2B1A">
            <w:pPr>
              <w:pStyle w:val="SDMTableBoxParaNotNumbered"/>
              <w:rPr>
                <w:i/>
                <w:iCs/>
              </w:rPr>
            </w:pPr>
            <w:r w:rsidRPr="007541CD">
              <w:rPr>
                <w:i/>
                <w:iCs/>
              </w:rPr>
              <w:t>F</w:t>
            </w:r>
            <w:r w:rsidRPr="007541CD">
              <w:rPr>
                <w:i/>
                <w:iCs/>
                <w:vertAlign w:val="subscript"/>
              </w:rPr>
              <w:t>OM</w:t>
            </w:r>
            <w:r w:rsidR="006F59A9">
              <w:rPr>
                <w:i/>
                <w:iCs/>
                <w:vertAlign w:val="subscript"/>
              </w:rPr>
              <w:t>,</w:t>
            </w:r>
            <w:r w:rsidRPr="007541CD">
              <w:rPr>
                <w:i/>
                <w:iCs/>
                <w:vertAlign w:val="subscript"/>
              </w:rPr>
              <w:t>simple</w:t>
            </w:r>
          </w:p>
        </w:tc>
        <w:tc>
          <w:tcPr>
            <w:tcW w:w="987" w:type="pct"/>
          </w:tcPr>
          <w:p w14:paraId="1A41043D" w14:textId="70C7E575" w:rsidR="00F662D0" w:rsidRPr="007541CD" w:rsidRDefault="00F662D0" w:rsidP="00EC2B1A">
            <w:pPr>
              <w:pStyle w:val="SDMTableBoxParaNotNumbered"/>
              <w:rPr>
                <w:i/>
                <w:iCs/>
              </w:rPr>
            </w:pPr>
            <w:r w:rsidRPr="007541CD">
              <w:rPr>
                <w:i/>
                <w:iCs/>
              </w:rPr>
              <w:t>F</w:t>
            </w:r>
            <w:r w:rsidRPr="007541CD">
              <w:rPr>
                <w:i/>
                <w:iCs/>
                <w:vertAlign w:val="subscript"/>
              </w:rPr>
              <w:t>OM</w:t>
            </w:r>
            <w:r w:rsidR="006F59A9">
              <w:rPr>
                <w:i/>
                <w:iCs/>
                <w:vertAlign w:val="subscript"/>
              </w:rPr>
              <w:t>,</w:t>
            </w:r>
            <w:r w:rsidR="00794EB9">
              <w:rPr>
                <w:i/>
                <w:iCs/>
                <w:vertAlign w:val="subscript"/>
              </w:rPr>
              <w:t>avg</w:t>
            </w:r>
          </w:p>
        </w:tc>
        <w:tc>
          <w:tcPr>
            <w:tcW w:w="1039" w:type="pct"/>
          </w:tcPr>
          <w:p w14:paraId="4B4C55C0" w14:textId="77777777" w:rsidR="00F662D0" w:rsidRPr="007541CD" w:rsidRDefault="00F662D0" w:rsidP="00EC2B1A">
            <w:pPr>
              <w:pStyle w:val="SDMTableBoxParaNotNumbered"/>
              <w:rPr>
                <w:i/>
                <w:iCs/>
              </w:rPr>
            </w:pPr>
            <w:r w:rsidRPr="007541CD">
              <w:rPr>
                <w:i/>
                <w:iCs/>
              </w:rPr>
              <w:t>F</w:t>
            </w:r>
            <w:r w:rsidRPr="007541CD">
              <w:rPr>
                <w:i/>
                <w:iCs/>
                <w:vertAlign w:val="subscript"/>
              </w:rPr>
              <w:t>BM</w:t>
            </w:r>
          </w:p>
        </w:tc>
      </w:tr>
      <w:tr w:rsidR="00F662D0" w:rsidRPr="00EC2B1A" w14:paraId="1B5B3005" w14:textId="77777777" w:rsidTr="008F3C9F">
        <w:trPr>
          <w:jc w:val="right"/>
        </w:trPr>
        <w:tc>
          <w:tcPr>
            <w:tcW w:w="1905" w:type="pct"/>
          </w:tcPr>
          <w:p w14:paraId="0D521E19" w14:textId="1A0100ED" w:rsidR="00F662D0" w:rsidRPr="005D5754" w:rsidRDefault="00D117B5" w:rsidP="00EC2B1A">
            <w:pPr>
              <w:pStyle w:val="SDMTableBoxParaNumbered"/>
              <w:numPr>
                <w:ilvl w:val="0"/>
                <w:numId w:val="0"/>
              </w:numPr>
              <w:rPr>
                <w:b/>
              </w:rPr>
            </w:pPr>
            <w:r>
              <w:rPr>
                <w:b/>
              </w:rPr>
              <w:t>Global</w:t>
            </w:r>
          </w:p>
        </w:tc>
        <w:tc>
          <w:tcPr>
            <w:tcW w:w="1069" w:type="pct"/>
          </w:tcPr>
          <w:p w14:paraId="22595929" w14:textId="5C83E189" w:rsidR="00F662D0" w:rsidRPr="005D5754" w:rsidRDefault="00DE6709" w:rsidP="00EC2B1A">
            <w:pPr>
              <w:pStyle w:val="SDMTableBoxParaNotNumbered"/>
              <w:rPr>
                <w:b/>
              </w:rPr>
            </w:pPr>
            <w:r w:rsidRPr="005D5754">
              <w:rPr>
                <w:b/>
              </w:rPr>
              <w:t>0.23%</w:t>
            </w:r>
          </w:p>
        </w:tc>
        <w:tc>
          <w:tcPr>
            <w:tcW w:w="987" w:type="pct"/>
          </w:tcPr>
          <w:p w14:paraId="58BE3696" w14:textId="5BA82D86" w:rsidR="00F662D0" w:rsidRPr="005D5754" w:rsidRDefault="00DE6709" w:rsidP="00EC2B1A">
            <w:pPr>
              <w:pStyle w:val="SDMTableBoxParaNotNumbered"/>
              <w:rPr>
                <w:b/>
              </w:rPr>
            </w:pPr>
            <w:r w:rsidRPr="005D5754">
              <w:rPr>
                <w:b/>
              </w:rPr>
              <w:t>1.46%</w:t>
            </w:r>
          </w:p>
        </w:tc>
        <w:tc>
          <w:tcPr>
            <w:tcW w:w="1039" w:type="pct"/>
          </w:tcPr>
          <w:p w14:paraId="1440F748" w14:textId="3334F904" w:rsidR="00F662D0" w:rsidRPr="005D5754" w:rsidRDefault="008A5078" w:rsidP="00EC2B1A">
            <w:pPr>
              <w:pStyle w:val="SDMTableBoxParaNotNumbered"/>
              <w:rPr>
                <w:b/>
              </w:rPr>
            </w:pPr>
            <w:r w:rsidRPr="005D5754">
              <w:rPr>
                <w:b/>
              </w:rPr>
              <w:t>9.21%</w:t>
            </w:r>
          </w:p>
        </w:tc>
      </w:tr>
      <w:tr w:rsidR="00F662D0" w:rsidRPr="00EC2B1A" w14:paraId="48924CBE" w14:textId="77777777" w:rsidTr="008F3C9F">
        <w:trPr>
          <w:jc w:val="right"/>
        </w:trPr>
        <w:tc>
          <w:tcPr>
            <w:tcW w:w="1905" w:type="pct"/>
          </w:tcPr>
          <w:p w14:paraId="144DDF66" w14:textId="77777777" w:rsidR="00F662D0" w:rsidRPr="004F23C4" w:rsidRDefault="00F662D0" w:rsidP="00EC2B1A">
            <w:pPr>
              <w:pStyle w:val="SDMTableBoxParaNumbered"/>
              <w:numPr>
                <w:ilvl w:val="0"/>
                <w:numId w:val="0"/>
              </w:numPr>
            </w:pPr>
            <w:r w:rsidRPr="002243E8">
              <w:t>Afghanistan</w:t>
            </w:r>
          </w:p>
        </w:tc>
        <w:tc>
          <w:tcPr>
            <w:tcW w:w="1069" w:type="pct"/>
          </w:tcPr>
          <w:p w14:paraId="0A800CA5" w14:textId="46A57D35" w:rsidR="00F662D0" w:rsidRPr="00CF6457" w:rsidRDefault="00E752CF" w:rsidP="00EC2B1A">
            <w:pPr>
              <w:pStyle w:val="SDMTableBoxParaNotNumbered"/>
            </w:pPr>
            <w:r w:rsidRPr="0070652D">
              <w:t>1.28%</w:t>
            </w:r>
          </w:p>
        </w:tc>
        <w:tc>
          <w:tcPr>
            <w:tcW w:w="987" w:type="pct"/>
          </w:tcPr>
          <w:p w14:paraId="6D71DF72" w14:textId="613DC373" w:rsidR="00F662D0" w:rsidRPr="00CF6457" w:rsidRDefault="00F459C3" w:rsidP="00EC2B1A">
            <w:pPr>
              <w:pStyle w:val="SDMTableBoxParaNotNumbered"/>
            </w:pPr>
            <w:r w:rsidRPr="00B5612F">
              <w:t>2.72%</w:t>
            </w:r>
          </w:p>
        </w:tc>
        <w:tc>
          <w:tcPr>
            <w:tcW w:w="1039" w:type="pct"/>
          </w:tcPr>
          <w:p w14:paraId="4495F985" w14:textId="09013763" w:rsidR="00F662D0" w:rsidRPr="00CF6457" w:rsidRDefault="000A16B8" w:rsidP="00EC2B1A">
            <w:pPr>
              <w:pStyle w:val="SDMTableBoxParaNotNumbered"/>
            </w:pPr>
            <w:r w:rsidRPr="00A644C5">
              <w:t>0.00%</w:t>
            </w:r>
          </w:p>
        </w:tc>
      </w:tr>
      <w:tr w:rsidR="00F662D0" w:rsidRPr="00EC2B1A" w14:paraId="7DEE4FA6" w14:textId="77777777" w:rsidTr="008F3C9F">
        <w:trPr>
          <w:jc w:val="right"/>
        </w:trPr>
        <w:tc>
          <w:tcPr>
            <w:tcW w:w="1905" w:type="pct"/>
          </w:tcPr>
          <w:p w14:paraId="2F96DE4E" w14:textId="77777777" w:rsidR="00F662D0" w:rsidRDefault="00F662D0" w:rsidP="00EC2B1A">
            <w:pPr>
              <w:pStyle w:val="SDMTableBoxParaNotNumbered"/>
            </w:pPr>
            <w:r w:rsidRPr="002243E8">
              <w:t>Albania</w:t>
            </w:r>
          </w:p>
        </w:tc>
        <w:tc>
          <w:tcPr>
            <w:tcW w:w="1069" w:type="pct"/>
          </w:tcPr>
          <w:p w14:paraId="49DB228A" w14:textId="55C136F0" w:rsidR="00F662D0" w:rsidRPr="00CF6457" w:rsidRDefault="00E752CF" w:rsidP="00EC2B1A">
            <w:pPr>
              <w:pStyle w:val="SDMTableBoxParaNotNumbered"/>
            </w:pPr>
            <w:r w:rsidRPr="0070652D">
              <w:t>Use global value</w:t>
            </w:r>
          </w:p>
        </w:tc>
        <w:tc>
          <w:tcPr>
            <w:tcW w:w="987" w:type="pct"/>
          </w:tcPr>
          <w:p w14:paraId="76C8D78E" w14:textId="19800D96" w:rsidR="00F662D0" w:rsidRPr="00CF6457" w:rsidRDefault="00F459C3" w:rsidP="00EC2B1A">
            <w:pPr>
              <w:pStyle w:val="SDMTableBoxParaNotNumbered"/>
            </w:pPr>
            <w:r w:rsidRPr="00B5612F">
              <w:t>0.12%</w:t>
            </w:r>
          </w:p>
        </w:tc>
        <w:tc>
          <w:tcPr>
            <w:tcW w:w="1039" w:type="pct"/>
          </w:tcPr>
          <w:p w14:paraId="1202511C" w14:textId="0D149CEE" w:rsidR="00F662D0" w:rsidRPr="00CF6457" w:rsidRDefault="003650DC" w:rsidP="00EC2B1A">
            <w:pPr>
              <w:pStyle w:val="SDMTableBoxParaNotNumbered"/>
            </w:pPr>
            <w:r w:rsidRPr="00A644C5">
              <w:t>6.30%</w:t>
            </w:r>
          </w:p>
        </w:tc>
      </w:tr>
      <w:tr w:rsidR="00F662D0" w:rsidRPr="00EC2B1A" w14:paraId="01228CD6" w14:textId="77777777" w:rsidTr="008F3C9F">
        <w:trPr>
          <w:jc w:val="right"/>
        </w:trPr>
        <w:tc>
          <w:tcPr>
            <w:tcW w:w="1905" w:type="pct"/>
          </w:tcPr>
          <w:p w14:paraId="3A728126" w14:textId="77777777" w:rsidR="00F662D0" w:rsidRDefault="00F662D0" w:rsidP="00EC2B1A">
            <w:pPr>
              <w:pStyle w:val="SDMTableBoxParaNotNumbered"/>
            </w:pPr>
            <w:r w:rsidRPr="002243E8">
              <w:t>Algeria</w:t>
            </w:r>
          </w:p>
        </w:tc>
        <w:tc>
          <w:tcPr>
            <w:tcW w:w="1069" w:type="pct"/>
          </w:tcPr>
          <w:p w14:paraId="55D173BB" w14:textId="70658979" w:rsidR="00F662D0" w:rsidRPr="00CF6457" w:rsidRDefault="00E752CF" w:rsidP="00EC2B1A">
            <w:pPr>
              <w:pStyle w:val="SDMTableBoxParaNotNumbered"/>
            </w:pPr>
            <w:r w:rsidRPr="0070652D">
              <w:t>0.01%</w:t>
            </w:r>
          </w:p>
        </w:tc>
        <w:tc>
          <w:tcPr>
            <w:tcW w:w="987" w:type="pct"/>
          </w:tcPr>
          <w:p w14:paraId="5F51C079" w14:textId="6096022A" w:rsidR="00F662D0" w:rsidRPr="00CF6457" w:rsidRDefault="00F459C3" w:rsidP="00EC2B1A">
            <w:pPr>
              <w:pStyle w:val="SDMTableBoxParaNotNumbered"/>
            </w:pPr>
            <w:r w:rsidRPr="00B5612F">
              <w:t>0.14%</w:t>
            </w:r>
          </w:p>
        </w:tc>
        <w:tc>
          <w:tcPr>
            <w:tcW w:w="1039" w:type="pct"/>
          </w:tcPr>
          <w:p w14:paraId="5E51BF3E" w14:textId="0B32BF1F" w:rsidR="00F662D0" w:rsidRPr="00CF6457" w:rsidRDefault="003650DC" w:rsidP="00EC2B1A">
            <w:pPr>
              <w:pStyle w:val="SDMTableBoxParaNotNumbered"/>
            </w:pPr>
            <w:r w:rsidRPr="00A644C5">
              <w:t>21.49</w:t>
            </w:r>
            <w:r w:rsidR="009B0137" w:rsidRPr="00A644C5">
              <w:t>%</w:t>
            </w:r>
          </w:p>
        </w:tc>
      </w:tr>
      <w:tr w:rsidR="00F662D0" w:rsidRPr="00EC2B1A" w14:paraId="1CABC85C" w14:textId="77777777" w:rsidTr="008F3C9F">
        <w:trPr>
          <w:jc w:val="right"/>
        </w:trPr>
        <w:tc>
          <w:tcPr>
            <w:tcW w:w="1905" w:type="pct"/>
          </w:tcPr>
          <w:p w14:paraId="3E155190" w14:textId="77777777" w:rsidR="00F662D0" w:rsidRDefault="00F662D0" w:rsidP="00EC2B1A">
            <w:pPr>
              <w:pStyle w:val="SDMTableBoxParaNotNumbered"/>
            </w:pPr>
            <w:r w:rsidRPr="002243E8">
              <w:t>Angola</w:t>
            </w:r>
          </w:p>
        </w:tc>
        <w:tc>
          <w:tcPr>
            <w:tcW w:w="1069" w:type="pct"/>
          </w:tcPr>
          <w:p w14:paraId="52E6E5DE" w14:textId="00C1E7DA" w:rsidR="00F662D0" w:rsidRPr="00CF6457" w:rsidRDefault="00E752CF" w:rsidP="00EC2B1A">
            <w:pPr>
              <w:pStyle w:val="SDMTableBoxParaNotNumbered"/>
            </w:pPr>
            <w:r w:rsidRPr="0070652D">
              <w:t>1.05%</w:t>
            </w:r>
          </w:p>
        </w:tc>
        <w:tc>
          <w:tcPr>
            <w:tcW w:w="987" w:type="pct"/>
          </w:tcPr>
          <w:p w14:paraId="7F0D4658" w14:textId="5FEC23E7" w:rsidR="00F662D0" w:rsidRPr="00CF6457" w:rsidRDefault="00F459C3" w:rsidP="00EC2B1A">
            <w:pPr>
              <w:pStyle w:val="SDMTableBoxParaNotNumbered"/>
            </w:pPr>
            <w:r w:rsidRPr="00B5612F">
              <w:t>14.29%</w:t>
            </w:r>
          </w:p>
        </w:tc>
        <w:tc>
          <w:tcPr>
            <w:tcW w:w="1039" w:type="pct"/>
          </w:tcPr>
          <w:p w14:paraId="3B508FDC" w14:textId="6BA1924A" w:rsidR="00F662D0" w:rsidRPr="00CF6457" w:rsidRDefault="003650DC" w:rsidP="00EC2B1A">
            <w:pPr>
              <w:pStyle w:val="SDMTableBoxParaNotNumbered"/>
            </w:pPr>
            <w:r w:rsidRPr="00A644C5">
              <w:t>105.17%</w:t>
            </w:r>
          </w:p>
        </w:tc>
      </w:tr>
      <w:tr w:rsidR="00F662D0" w:rsidRPr="00EC2B1A" w14:paraId="5F96DD0A" w14:textId="77777777" w:rsidTr="008F3C9F">
        <w:trPr>
          <w:jc w:val="right"/>
        </w:trPr>
        <w:tc>
          <w:tcPr>
            <w:tcW w:w="1905" w:type="pct"/>
          </w:tcPr>
          <w:p w14:paraId="0532384F" w14:textId="77777777" w:rsidR="00F662D0" w:rsidRDefault="00F662D0" w:rsidP="00EC2B1A">
            <w:pPr>
              <w:pStyle w:val="SDMTableBoxParaNotNumbered"/>
            </w:pPr>
            <w:r w:rsidRPr="002243E8">
              <w:t>Antigua and Barbuda</w:t>
            </w:r>
          </w:p>
        </w:tc>
        <w:tc>
          <w:tcPr>
            <w:tcW w:w="1069" w:type="pct"/>
          </w:tcPr>
          <w:p w14:paraId="72A6DBBA" w14:textId="29E85630" w:rsidR="00F662D0" w:rsidRPr="00CF6457" w:rsidRDefault="00E752CF" w:rsidP="00EC2B1A">
            <w:pPr>
              <w:pStyle w:val="SDMTableBoxParaNotNumbered"/>
            </w:pPr>
            <w:r w:rsidRPr="0070652D">
              <w:t>0.30%</w:t>
            </w:r>
          </w:p>
        </w:tc>
        <w:tc>
          <w:tcPr>
            <w:tcW w:w="987" w:type="pct"/>
          </w:tcPr>
          <w:p w14:paraId="06487525" w14:textId="012A380D" w:rsidR="00F662D0" w:rsidRPr="00CF6457" w:rsidRDefault="00F459C3" w:rsidP="00EC2B1A">
            <w:pPr>
              <w:pStyle w:val="SDMTableBoxParaNotNumbered"/>
            </w:pPr>
            <w:r w:rsidRPr="00B5612F">
              <w:t>1.05%</w:t>
            </w:r>
          </w:p>
        </w:tc>
        <w:tc>
          <w:tcPr>
            <w:tcW w:w="1039" w:type="pct"/>
          </w:tcPr>
          <w:p w14:paraId="24C2C89C" w14:textId="1F417CCE" w:rsidR="00F662D0" w:rsidRPr="00CF6457" w:rsidRDefault="000A16B8" w:rsidP="00EC2B1A">
            <w:pPr>
              <w:pStyle w:val="SDMTableBoxParaNotNumbered"/>
            </w:pPr>
            <w:r w:rsidRPr="00A644C5">
              <w:t>Use global value</w:t>
            </w:r>
          </w:p>
        </w:tc>
      </w:tr>
      <w:tr w:rsidR="00F662D0" w:rsidRPr="00EC2B1A" w14:paraId="3D44C843" w14:textId="77777777" w:rsidTr="008F3C9F">
        <w:trPr>
          <w:jc w:val="right"/>
        </w:trPr>
        <w:tc>
          <w:tcPr>
            <w:tcW w:w="1905" w:type="pct"/>
          </w:tcPr>
          <w:p w14:paraId="39AAB6B4" w14:textId="77777777" w:rsidR="00F662D0" w:rsidRDefault="00F662D0" w:rsidP="00EC2B1A">
            <w:pPr>
              <w:pStyle w:val="SDMTableBoxParaNotNumbered"/>
            </w:pPr>
            <w:r w:rsidRPr="002243E8">
              <w:t>Argentina</w:t>
            </w:r>
          </w:p>
        </w:tc>
        <w:tc>
          <w:tcPr>
            <w:tcW w:w="1069" w:type="pct"/>
          </w:tcPr>
          <w:p w14:paraId="652FEAB5" w14:textId="513F3E8E" w:rsidR="00F662D0" w:rsidRPr="00CF6457" w:rsidRDefault="00E752CF" w:rsidP="00EC2B1A">
            <w:pPr>
              <w:pStyle w:val="SDMTableBoxParaNotNumbered"/>
            </w:pPr>
            <w:r w:rsidRPr="0070652D">
              <w:t>0.42%</w:t>
            </w:r>
          </w:p>
        </w:tc>
        <w:tc>
          <w:tcPr>
            <w:tcW w:w="987" w:type="pct"/>
          </w:tcPr>
          <w:p w14:paraId="7A4C215B" w14:textId="4BB50A1D" w:rsidR="00F662D0" w:rsidRPr="00CF6457" w:rsidRDefault="00F459C3" w:rsidP="00EC2B1A">
            <w:pPr>
              <w:pStyle w:val="SDMTableBoxParaNotNumbered"/>
            </w:pPr>
            <w:r w:rsidRPr="00B5612F">
              <w:t>3.22%</w:t>
            </w:r>
          </w:p>
        </w:tc>
        <w:tc>
          <w:tcPr>
            <w:tcW w:w="1039" w:type="pct"/>
          </w:tcPr>
          <w:p w14:paraId="55A886B6" w14:textId="5986699C" w:rsidR="00F662D0" w:rsidRPr="00CF6457" w:rsidRDefault="003650DC" w:rsidP="00EC2B1A">
            <w:pPr>
              <w:pStyle w:val="SDMTableBoxParaNotNumbered"/>
            </w:pPr>
            <w:r w:rsidRPr="00A644C5">
              <w:t>14.06</w:t>
            </w:r>
            <w:r w:rsidR="009B0137" w:rsidRPr="00A644C5">
              <w:t>%</w:t>
            </w:r>
          </w:p>
        </w:tc>
      </w:tr>
      <w:tr w:rsidR="00F662D0" w:rsidRPr="00EC2B1A" w14:paraId="5078AFEE" w14:textId="77777777" w:rsidTr="008F3C9F">
        <w:trPr>
          <w:jc w:val="right"/>
        </w:trPr>
        <w:tc>
          <w:tcPr>
            <w:tcW w:w="1905" w:type="pct"/>
          </w:tcPr>
          <w:p w14:paraId="12C38B82" w14:textId="77777777" w:rsidR="00F662D0" w:rsidRDefault="00F662D0" w:rsidP="00EC2B1A">
            <w:pPr>
              <w:pStyle w:val="SDMTableBoxParaNotNumbered"/>
            </w:pPr>
            <w:r w:rsidRPr="002243E8">
              <w:t>Armenia</w:t>
            </w:r>
          </w:p>
        </w:tc>
        <w:tc>
          <w:tcPr>
            <w:tcW w:w="1069" w:type="pct"/>
          </w:tcPr>
          <w:p w14:paraId="72CBB38B" w14:textId="024FB374" w:rsidR="00F662D0" w:rsidRPr="00CF6457" w:rsidRDefault="00E752CF" w:rsidP="00EC2B1A">
            <w:pPr>
              <w:pStyle w:val="SDMTableBoxParaNotNumbered"/>
            </w:pPr>
            <w:r w:rsidRPr="0070652D">
              <w:t>0.00%</w:t>
            </w:r>
          </w:p>
        </w:tc>
        <w:tc>
          <w:tcPr>
            <w:tcW w:w="987" w:type="pct"/>
          </w:tcPr>
          <w:p w14:paraId="0BB3D9FB" w14:textId="7B51C7A2" w:rsidR="00F662D0" w:rsidRPr="00CF6457" w:rsidRDefault="00F459C3" w:rsidP="00EC2B1A">
            <w:pPr>
              <w:pStyle w:val="SDMTableBoxParaNotNumbered"/>
            </w:pPr>
            <w:r w:rsidRPr="00B5612F">
              <w:t>0.29%</w:t>
            </w:r>
          </w:p>
        </w:tc>
        <w:tc>
          <w:tcPr>
            <w:tcW w:w="1039" w:type="pct"/>
          </w:tcPr>
          <w:p w14:paraId="0DBE16AD" w14:textId="3942C49A" w:rsidR="00F662D0" w:rsidRPr="00CF6457" w:rsidRDefault="003650DC" w:rsidP="00EC2B1A">
            <w:pPr>
              <w:pStyle w:val="SDMTableBoxParaNotNumbered"/>
            </w:pPr>
            <w:r w:rsidRPr="00A644C5">
              <w:t>13.82%</w:t>
            </w:r>
          </w:p>
        </w:tc>
      </w:tr>
      <w:tr w:rsidR="00F662D0" w:rsidRPr="00EC2B1A" w14:paraId="2ECFB853" w14:textId="77777777" w:rsidTr="008F3C9F">
        <w:trPr>
          <w:jc w:val="right"/>
        </w:trPr>
        <w:tc>
          <w:tcPr>
            <w:tcW w:w="1905" w:type="pct"/>
          </w:tcPr>
          <w:p w14:paraId="696952A5" w14:textId="77777777" w:rsidR="00F662D0" w:rsidRDefault="00F662D0" w:rsidP="00EC2B1A">
            <w:pPr>
              <w:pStyle w:val="SDMTableBoxParaNotNumbered"/>
            </w:pPr>
            <w:r w:rsidRPr="002243E8">
              <w:t>Australia</w:t>
            </w:r>
          </w:p>
        </w:tc>
        <w:tc>
          <w:tcPr>
            <w:tcW w:w="1069" w:type="pct"/>
          </w:tcPr>
          <w:p w14:paraId="08948426" w14:textId="23716DFA" w:rsidR="00F662D0" w:rsidRPr="00CF6457" w:rsidRDefault="00E752CF" w:rsidP="00EC2B1A">
            <w:pPr>
              <w:pStyle w:val="SDMTableBoxParaNotNumbered"/>
            </w:pPr>
            <w:r w:rsidRPr="0070652D">
              <w:t>0.17%</w:t>
            </w:r>
          </w:p>
        </w:tc>
        <w:tc>
          <w:tcPr>
            <w:tcW w:w="987" w:type="pct"/>
          </w:tcPr>
          <w:p w14:paraId="449E511D" w14:textId="2D74A720" w:rsidR="00F662D0" w:rsidRPr="00CF6457" w:rsidRDefault="00F459C3" w:rsidP="00EC2B1A">
            <w:pPr>
              <w:pStyle w:val="SDMTableBoxParaNotNumbered"/>
            </w:pPr>
            <w:r w:rsidRPr="00B5612F">
              <w:t>4.00%</w:t>
            </w:r>
          </w:p>
        </w:tc>
        <w:tc>
          <w:tcPr>
            <w:tcW w:w="1039" w:type="pct"/>
          </w:tcPr>
          <w:p w14:paraId="089A9EEE" w14:textId="7D840759" w:rsidR="00F662D0" w:rsidRPr="00CF6457" w:rsidRDefault="003650DC" w:rsidP="00EC2B1A">
            <w:pPr>
              <w:pStyle w:val="SDMTableBoxParaNotNumbered"/>
            </w:pPr>
            <w:r w:rsidRPr="00A644C5">
              <w:t>58.87</w:t>
            </w:r>
            <w:r w:rsidR="009B0137" w:rsidRPr="00A644C5">
              <w:t>%</w:t>
            </w:r>
          </w:p>
        </w:tc>
      </w:tr>
      <w:tr w:rsidR="00F662D0" w:rsidRPr="00EC2B1A" w14:paraId="6B5AEB79" w14:textId="77777777" w:rsidTr="008F3C9F">
        <w:trPr>
          <w:jc w:val="right"/>
        </w:trPr>
        <w:tc>
          <w:tcPr>
            <w:tcW w:w="1905" w:type="pct"/>
          </w:tcPr>
          <w:p w14:paraId="71DF13E7" w14:textId="77777777" w:rsidR="00F662D0" w:rsidRDefault="00F662D0" w:rsidP="00EC2B1A">
            <w:pPr>
              <w:pStyle w:val="SDMTableBoxParaNotNumbered"/>
            </w:pPr>
            <w:r w:rsidRPr="002243E8">
              <w:t>Austria</w:t>
            </w:r>
          </w:p>
        </w:tc>
        <w:tc>
          <w:tcPr>
            <w:tcW w:w="1069" w:type="pct"/>
          </w:tcPr>
          <w:p w14:paraId="160B7743" w14:textId="5194D354" w:rsidR="00F662D0" w:rsidRPr="00CF6457" w:rsidRDefault="00E752CF" w:rsidP="00EC2B1A">
            <w:pPr>
              <w:pStyle w:val="SDMTableBoxParaNotNumbered"/>
            </w:pPr>
            <w:r w:rsidRPr="0070652D">
              <w:t>3.15%</w:t>
            </w:r>
          </w:p>
        </w:tc>
        <w:tc>
          <w:tcPr>
            <w:tcW w:w="987" w:type="pct"/>
          </w:tcPr>
          <w:p w14:paraId="50EB0002" w14:textId="6F3C4825" w:rsidR="00F662D0" w:rsidRPr="00CF6457" w:rsidRDefault="00F459C3" w:rsidP="00EC2B1A">
            <w:pPr>
              <w:pStyle w:val="SDMTableBoxParaNotNumbered"/>
            </w:pPr>
            <w:r w:rsidRPr="00B5612F">
              <w:t>6.48%</w:t>
            </w:r>
          </w:p>
        </w:tc>
        <w:tc>
          <w:tcPr>
            <w:tcW w:w="1039" w:type="pct"/>
          </w:tcPr>
          <w:p w14:paraId="626C2F2E" w14:textId="190F102E" w:rsidR="00F662D0" w:rsidRPr="00CF6457" w:rsidRDefault="003650DC" w:rsidP="00EC2B1A">
            <w:pPr>
              <w:pStyle w:val="SDMTableBoxParaNotNumbered"/>
            </w:pPr>
            <w:r w:rsidRPr="00A644C5">
              <w:t>16.92</w:t>
            </w:r>
            <w:r w:rsidR="009B0137" w:rsidRPr="00A644C5">
              <w:t>%</w:t>
            </w:r>
          </w:p>
        </w:tc>
      </w:tr>
      <w:tr w:rsidR="00F662D0" w:rsidRPr="00EC2B1A" w14:paraId="075FEE2C" w14:textId="77777777" w:rsidTr="008F3C9F">
        <w:trPr>
          <w:jc w:val="right"/>
        </w:trPr>
        <w:tc>
          <w:tcPr>
            <w:tcW w:w="1905" w:type="pct"/>
          </w:tcPr>
          <w:p w14:paraId="1A087326" w14:textId="77777777" w:rsidR="00F662D0" w:rsidRDefault="00F662D0" w:rsidP="00EC2B1A">
            <w:pPr>
              <w:pStyle w:val="SDMTableBoxParaNotNumbered"/>
            </w:pPr>
            <w:r w:rsidRPr="002243E8">
              <w:t>Azerbaijan</w:t>
            </w:r>
          </w:p>
        </w:tc>
        <w:tc>
          <w:tcPr>
            <w:tcW w:w="1069" w:type="pct"/>
          </w:tcPr>
          <w:p w14:paraId="51364BC0" w14:textId="557C309B" w:rsidR="00F662D0" w:rsidRPr="00CF6457" w:rsidRDefault="00E752CF" w:rsidP="00EC2B1A">
            <w:pPr>
              <w:pStyle w:val="SDMTableBoxParaNotNumbered"/>
            </w:pPr>
            <w:r w:rsidRPr="0070652D">
              <w:t>0.00%</w:t>
            </w:r>
          </w:p>
        </w:tc>
        <w:tc>
          <w:tcPr>
            <w:tcW w:w="987" w:type="pct"/>
          </w:tcPr>
          <w:p w14:paraId="2B04E183" w14:textId="76A8A541" w:rsidR="00F662D0" w:rsidRPr="00CF6457" w:rsidRDefault="00F459C3" w:rsidP="00EC2B1A">
            <w:pPr>
              <w:pStyle w:val="SDMTableBoxParaNotNumbered"/>
            </w:pPr>
            <w:r w:rsidRPr="00B5612F">
              <w:t>0.81%</w:t>
            </w:r>
          </w:p>
        </w:tc>
        <w:tc>
          <w:tcPr>
            <w:tcW w:w="1039" w:type="pct"/>
          </w:tcPr>
          <w:p w14:paraId="754C337B" w14:textId="177F52EE" w:rsidR="00F662D0" w:rsidRPr="00CF6457" w:rsidRDefault="003650DC" w:rsidP="00EC2B1A">
            <w:pPr>
              <w:pStyle w:val="SDMTableBoxParaNotNumbered"/>
            </w:pPr>
            <w:r w:rsidRPr="00A644C5">
              <w:t>27.13%</w:t>
            </w:r>
          </w:p>
        </w:tc>
      </w:tr>
      <w:tr w:rsidR="00F662D0" w:rsidRPr="00EC2B1A" w14:paraId="4BED40BD" w14:textId="77777777" w:rsidTr="008F3C9F">
        <w:trPr>
          <w:jc w:val="right"/>
        </w:trPr>
        <w:tc>
          <w:tcPr>
            <w:tcW w:w="1905" w:type="pct"/>
          </w:tcPr>
          <w:p w14:paraId="0640C476" w14:textId="24F0578F" w:rsidR="00F662D0" w:rsidRDefault="00F662D0" w:rsidP="00EC2B1A">
            <w:pPr>
              <w:pStyle w:val="SDMTableBoxParaNotNumbered"/>
            </w:pPr>
            <w:r w:rsidRPr="002243E8">
              <w:t>Bahamas</w:t>
            </w:r>
          </w:p>
        </w:tc>
        <w:tc>
          <w:tcPr>
            <w:tcW w:w="1069" w:type="pct"/>
          </w:tcPr>
          <w:p w14:paraId="7DBD985D" w14:textId="18618426" w:rsidR="00F662D0" w:rsidRPr="00CF6457" w:rsidRDefault="00E752CF" w:rsidP="00EC2B1A">
            <w:pPr>
              <w:pStyle w:val="SDMTableBoxParaNotNumbered"/>
            </w:pPr>
            <w:r w:rsidRPr="0070652D">
              <w:t>0.06%</w:t>
            </w:r>
          </w:p>
        </w:tc>
        <w:tc>
          <w:tcPr>
            <w:tcW w:w="987" w:type="pct"/>
          </w:tcPr>
          <w:p w14:paraId="6D8B1C25" w14:textId="3ED8AB85" w:rsidR="00F662D0" w:rsidRPr="00CF6457" w:rsidRDefault="00F459C3" w:rsidP="00EC2B1A">
            <w:pPr>
              <w:pStyle w:val="SDMTableBoxParaNotNumbered"/>
            </w:pPr>
            <w:r w:rsidRPr="00B5612F">
              <w:t>0.19%</w:t>
            </w:r>
          </w:p>
        </w:tc>
        <w:tc>
          <w:tcPr>
            <w:tcW w:w="1039" w:type="pct"/>
          </w:tcPr>
          <w:p w14:paraId="0CC3BB18" w14:textId="49823A53" w:rsidR="00F662D0" w:rsidRPr="00CF6457" w:rsidRDefault="009B0137" w:rsidP="00EC2B1A">
            <w:pPr>
              <w:pStyle w:val="SDMTableBoxParaNotNumbered"/>
            </w:pPr>
            <w:r w:rsidRPr="00A644C5">
              <w:t>0.</w:t>
            </w:r>
            <w:r w:rsidR="003650DC" w:rsidRPr="00A644C5">
              <w:t>36</w:t>
            </w:r>
            <w:r w:rsidRPr="00A644C5">
              <w:t>%</w:t>
            </w:r>
          </w:p>
        </w:tc>
      </w:tr>
      <w:tr w:rsidR="00F662D0" w:rsidRPr="00EC2B1A" w14:paraId="3AFFD15F" w14:textId="77777777" w:rsidTr="008F3C9F">
        <w:trPr>
          <w:jc w:val="right"/>
        </w:trPr>
        <w:tc>
          <w:tcPr>
            <w:tcW w:w="1905" w:type="pct"/>
          </w:tcPr>
          <w:p w14:paraId="67D97544" w14:textId="77777777" w:rsidR="00F662D0" w:rsidRDefault="00F662D0" w:rsidP="00EC2B1A">
            <w:pPr>
              <w:pStyle w:val="SDMTableBoxParaNotNumbered"/>
            </w:pPr>
            <w:r w:rsidRPr="002243E8">
              <w:t>Bahrain</w:t>
            </w:r>
          </w:p>
        </w:tc>
        <w:tc>
          <w:tcPr>
            <w:tcW w:w="1069" w:type="pct"/>
          </w:tcPr>
          <w:p w14:paraId="1C748D0B" w14:textId="70177779" w:rsidR="00F662D0" w:rsidRPr="00CF6457" w:rsidRDefault="00E752CF" w:rsidP="00EC2B1A">
            <w:pPr>
              <w:pStyle w:val="SDMTableBoxParaNotNumbered"/>
            </w:pPr>
            <w:r w:rsidRPr="0070652D">
              <w:t>0.01%</w:t>
            </w:r>
          </w:p>
        </w:tc>
        <w:tc>
          <w:tcPr>
            <w:tcW w:w="987" w:type="pct"/>
          </w:tcPr>
          <w:p w14:paraId="3E53A295" w14:textId="1938DF5E" w:rsidR="00F662D0" w:rsidRPr="00CF6457" w:rsidRDefault="00F459C3" w:rsidP="00EC2B1A">
            <w:pPr>
              <w:pStyle w:val="SDMTableBoxParaNotNumbered"/>
            </w:pPr>
            <w:r w:rsidRPr="00B5612F">
              <w:t>0.05%</w:t>
            </w:r>
          </w:p>
        </w:tc>
        <w:tc>
          <w:tcPr>
            <w:tcW w:w="1039" w:type="pct"/>
          </w:tcPr>
          <w:p w14:paraId="299101D3" w14:textId="30496930" w:rsidR="00F662D0" w:rsidRPr="00CF6457" w:rsidRDefault="000A16B8" w:rsidP="00EC2B1A">
            <w:pPr>
              <w:pStyle w:val="SDMTableBoxParaNotNumbered"/>
            </w:pPr>
            <w:r w:rsidRPr="00A644C5">
              <w:t>Use global value</w:t>
            </w:r>
          </w:p>
        </w:tc>
      </w:tr>
      <w:tr w:rsidR="00F662D0" w:rsidRPr="00EC2B1A" w14:paraId="6C1B3B18" w14:textId="77777777" w:rsidTr="008F3C9F">
        <w:trPr>
          <w:jc w:val="right"/>
        </w:trPr>
        <w:tc>
          <w:tcPr>
            <w:tcW w:w="1905" w:type="pct"/>
          </w:tcPr>
          <w:p w14:paraId="030FFB90" w14:textId="77777777" w:rsidR="00F662D0" w:rsidRDefault="00F662D0" w:rsidP="00EC2B1A">
            <w:pPr>
              <w:pStyle w:val="SDMTableBoxParaNotNumbered"/>
            </w:pPr>
            <w:r w:rsidRPr="002243E8">
              <w:t>Bangladesh</w:t>
            </w:r>
          </w:p>
        </w:tc>
        <w:tc>
          <w:tcPr>
            <w:tcW w:w="1069" w:type="pct"/>
          </w:tcPr>
          <w:p w14:paraId="173272D2" w14:textId="4F4F5CB6" w:rsidR="00F662D0" w:rsidRPr="00CF6457" w:rsidRDefault="00E752CF" w:rsidP="00EC2B1A">
            <w:pPr>
              <w:pStyle w:val="SDMTableBoxParaNotNumbered"/>
            </w:pPr>
            <w:r w:rsidRPr="0070652D">
              <w:t>0.02%</w:t>
            </w:r>
          </w:p>
        </w:tc>
        <w:tc>
          <w:tcPr>
            <w:tcW w:w="987" w:type="pct"/>
          </w:tcPr>
          <w:p w14:paraId="056B9BEA" w14:textId="35DDC8A7" w:rsidR="00F662D0" w:rsidRPr="00CF6457" w:rsidRDefault="00F459C3" w:rsidP="00EC2B1A">
            <w:pPr>
              <w:pStyle w:val="SDMTableBoxParaNotNumbered"/>
            </w:pPr>
            <w:r w:rsidRPr="00B5612F">
              <w:t>0.00%</w:t>
            </w:r>
          </w:p>
        </w:tc>
        <w:tc>
          <w:tcPr>
            <w:tcW w:w="1039" w:type="pct"/>
          </w:tcPr>
          <w:p w14:paraId="0C491E47" w14:textId="5B4166F5" w:rsidR="00F662D0" w:rsidRPr="00CF6457" w:rsidRDefault="009B0137" w:rsidP="00EC2B1A">
            <w:pPr>
              <w:pStyle w:val="SDMTableBoxParaNotNumbered"/>
            </w:pPr>
            <w:r w:rsidRPr="00A644C5">
              <w:t>0.</w:t>
            </w:r>
            <w:r w:rsidR="000A16B8" w:rsidRPr="00A644C5">
              <w:t>00</w:t>
            </w:r>
            <w:r w:rsidRPr="00A644C5">
              <w:t>%</w:t>
            </w:r>
          </w:p>
        </w:tc>
      </w:tr>
      <w:tr w:rsidR="00F662D0" w:rsidRPr="00EC2B1A" w14:paraId="5B757FB0" w14:textId="77777777" w:rsidTr="008F3C9F">
        <w:trPr>
          <w:jc w:val="right"/>
        </w:trPr>
        <w:tc>
          <w:tcPr>
            <w:tcW w:w="1905" w:type="pct"/>
          </w:tcPr>
          <w:p w14:paraId="6BB6F57D" w14:textId="77777777" w:rsidR="00F662D0" w:rsidRDefault="00F662D0" w:rsidP="00EC2B1A">
            <w:pPr>
              <w:pStyle w:val="SDMTableBoxParaNotNumbered"/>
            </w:pPr>
            <w:r w:rsidRPr="002243E8">
              <w:t>Barbados</w:t>
            </w:r>
          </w:p>
        </w:tc>
        <w:tc>
          <w:tcPr>
            <w:tcW w:w="1069" w:type="pct"/>
          </w:tcPr>
          <w:p w14:paraId="64F49A4B" w14:textId="32A4806B" w:rsidR="00F662D0" w:rsidRPr="00CF6457" w:rsidRDefault="00E752CF" w:rsidP="00EC2B1A">
            <w:pPr>
              <w:pStyle w:val="SDMTableBoxParaNotNumbered"/>
            </w:pPr>
            <w:r w:rsidRPr="0070652D">
              <w:t>0.03%</w:t>
            </w:r>
          </w:p>
        </w:tc>
        <w:tc>
          <w:tcPr>
            <w:tcW w:w="987" w:type="pct"/>
          </w:tcPr>
          <w:p w14:paraId="16D02004" w14:textId="18678EA7" w:rsidR="00F662D0" w:rsidRPr="00CF6457" w:rsidRDefault="00F459C3" w:rsidP="00EC2B1A">
            <w:pPr>
              <w:pStyle w:val="SDMTableBoxParaNotNumbered"/>
            </w:pPr>
            <w:r w:rsidRPr="00B5612F">
              <w:t>1.11%</w:t>
            </w:r>
          </w:p>
        </w:tc>
        <w:tc>
          <w:tcPr>
            <w:tcW w:w="1039" w:type="pct"/>
          </w:tcPr>
          <w:p w14:paraId="4968FB17" w14:textId="46F3652B" w:rsidR="00F662D0" w:rsidRPr="00CF6457" w:rsidRDefault="000A16B8" w:rsidP="00EC2B1A">
            <w:pPr>
              <w:pStyle w:val="SDMTableBoxParaNotNumbered"/>
            </w:pPr>
            <w:r w:rsidRPr="00A644C5">
              <w:t>Use global value</w:t>
            </w:r>
          </w:p>
        </w:tc>
      </w:tr>
      <w:tr w:rsidR="00F662D0" w:rsidRPr="00EC2B1A" w14:paraId="358B68AE" w14:textId="77777777" w:rsidTr="008F3C9F">
        <w:trPr>
          <w:jc w:val="right"/>
        </w:trPr>
        <w:tc>
          <w:tcPr>
            <w:tcW w:w="1905" w:type="pct"/>
          </w:tcPr>
          <w:p w14:paraId="45B07714" w14:textId="77777777" w:rsidR="00F662D0" w:rsidRDefault="00F662D0" w:rsidP="00EC2B1A">
            <w:pPr>
              <w:pStyle w:val="SDMTableBoxParaNotNumbered"/>
            </w:pPr>
            <w:r w:rsidRPr="002243E8">
              <w:t>Belarus</w:t>
            </w:r>
          </w:p>
        </w:tc>
        <w:tc>
          <w:tcPr>
            <w:tcW w:w="1069" w:type="pct"/>
          </w:tcPr>
          <w:p w14:paraId="1DD50293" w14:textId="6BDF5B97" w:rsidR="00F662D0" w:rsidRPr="00CF6457" w:rsidRDefault="00E752CF" w:rsidP="00EC2B1A">
            <w:pPr>
              <w:pStyle w:val="SDMTableBoxParaNotNumbered"/>
            </w:pPr>
            <w:r w:rsidRPr="0070652D">
              <w:t>0.07%</w:t>
            </w:r>
          </w:p>
        </w:tc>
        <w:tc>
          <w:tcPr>
            <w:tcW w:w="987" w:type="pct"/>
          </w:tcPr>
          <w:p w14:paraId="0FD07FBF" w14:textId="57D86A4B" w:rsidR="00F662D0" w:rsidRPr="00CF6457" w:rsidRDefault="00F459C3" w:rsidP="00EC2B1A">
            <w:pPr>
              <w:pStyle w:val="SDMTableBoxParaNotNumbered"/>
            </w:pPr>
            <w:r w:rsidRPr="00B5612F">
              <w:t>6.50%</w:t>
            </w:r>
          </w:p>
        </w:tc>
        <w:tc>
          <w:tcPr>
            <w:tcW w:w="1039" w:type="pct"/>
          </w:tcPr>
          <w:p w14:paraId="4CC17AA8" w14:textId="0F897112" w:rsidR="00F662D0" w:rsidRPr="00CF6457" w:rsidRDefault="003650DC" w:rsidP="00EC2B1A">
            <w:pPr>
              <w:pStyle w:val="SDMTableBoxParaNotNumbered"/>
            </w:pPr>
            <w:r w:rsidRPr="00A644C5">
              <w:t>34.80</w:t>
            </w:r>
            <w:r w:rsidR="009B0137" w:rsidRPr="00A644C5">
              <w:t>%</w:t>
            </w:r>
          </w:p>
        </w:tc>
      </w:tr>
      <w:tr w:rsidR="00F662D0" w:rsidRPr="00EC2B1A" w14:paraId="777C24B6" w14:textId="77777777" w:rsidTr="008F3C9F">
        <w:trPr>
          <w:jc w:val="right"/>
        </w:trPr>
        <w:tc>
          <w:tcPr>
            <w:tcW w:w="1905" w:type="pct"/>
          </w:tcPr>
          <w:p w14:paraId="403BB965" w14:textId="77777777" w:rsidR="00F662D0" w:rsidRDefault="00F662D0" w:rsidP="00EC2B1A">
            <w:pPr>
              <w:pStyle w:val="SDMTableBoxParaNotNumbered"/>
            </w:pPr>
            <w:r w:rsidRPr="002243E8">
              <w:t>Belgium</w:t>
            </w:r>
          </w:p>
        </w:tc>
        <w:tc>
          <w:tcPr>
            <w:tcW w:w="1069" w:type="pct"/>
          </w:tcPr>
          <w:p w14:paraId="4E443DE5" w14:textId="72C99E12" w:rsidR="00F662D0" w:rsidRPr="00CF6457" w:rsidRDefault="00E752CF" w:rsidP="00EC2B1A">
            <w:pPr>
              <w:pStyle w:val="SDMTableBoxParaNotNumbered"/>
            </w:pPr>
            <w:r w:rsidRPr="0070652D">
              <w:t>1.48%</w:t>
            </w:r>
          </w:p>
        </w:tc>
        <w:tc>
          <w:tcPr>
            <w:tcW w:w="987" w:type="pct"/>
          </w:tcPr>
          <w:p w14:paraId="2B074ABE" w14:textId="24729FFB" w:rsidR="00F662D0" w:rsidRPr="00CF6457" w:rsidRDefault="00F459C3" w:rsidP="00EC2B1A">
            <w:pPr>
              <w:pStyle w:val="SDMTableBoxParaNotNumbered"/>
            </w:pPr>
            <w:r w:rsidRPr="00B5612F">
              <w:t>8.16%</w:t>
            </w:r>
          </w:p>
        </w:tc>
        <w:tc>
          <w:tcPr>
            <w:tcW w:w="1039" w:type="pct"/>
          </w:tcPr>
          <w:p w14:paraId="51CB189D" w14:textId="31AD79D0" w:rsidR="00F662D0" w:rsidRPr="00CF6457" w:rsidRDefault="003650DC" w:rsidP="00EC2B1A">
            <w:pPr>
              <w:pStyle w:val="SDMTableBoxParaNotNumbered"/>
            </w:pPr>
            <w:r w:rsidRPr="00A644C5">
              <w:t>12.69%</w:t>
            </w:r>
          </w:p>
        </w:tc>
      </w:tr>
      <w:tr w:rsidR="00F662D0" w:rsidRPr="00EC2B1A" w14:paraId="0327317E" w14:textId="77777777" w:rsidTr="008F3C9F">
        <w:trPr>
          <w:jc w:val="right"/>
        </w:trPr>
        <w:tc>
          <w:tcPr>
            <w:tcW w:w="1905" w:type="pct"/>
          </w:tcPr>
          <w:p w14:paraId="7099469C" w14:textId="77777777" w:rsidR="00F662D0" w:rsidRDefault="00F662D0" w:rsidP="00EC2B1A">
            <w:pPr>
              <w:pStyle w:val="SDMTableBoxParaNotNumbered"/>
            </w:pPr>
            <w:r w:rsidRPr="002243E8">
              <w:t>Belize</w:t>
            </w:r>
          </w:p>
        </w:tc>
        <w:tc>
          <w:tcPr>
            <w:tcW w:w="1069" w:type="pct"/>
          </w:tcPr>
          <w:p w14:paraId="4336CF79" w14:textId="3BC2203C" w:rsidR="00F662D0" w:rsidRPr="00CF6457" w:rsidRDefault="00E752CF" w:rsidP="00EC2B1A">
            <w:pPr>
              <w:pStyle w:val="SDMTableBoxParaNotNumbered"/>
            </w:pPr>
            <w:r w:rsidRPr="0070652D">
              <w:t>2.95%</w:t>
            </w:r>
          </w:p>
        </w:tc>
        <w:tc>
          <w:tcPr>
            <w:tcW w:w="987" w:type="pct"/>
          </w:tcPr>
          <w:p w14:paraId="28C23817" w14:textId="5C7026C4" w:rsidR="00F662D0" w:rsidRPr="00CF6457" w:rsidRDefault="00F459C3" w:rsidP="00EC2B1A">
            <w:pPr>
              <w:pStyle w:val="SDMTableBoxParaNotNumbered"/>
            </w:pPr>
            <w:r w:rsidRPr="00B5612F">
              <w:t>0.00%</w:t>
            </w:r>
          </w:p>
        </w:tc>
        <w:tc>
          <w:tcPr>
            <w:tcW w:w="1039" w:type="pct"/>
          </w:tcPr>
          <w:p w14:paraId="3DEE89BF" w14:textId="4923789D" w:rsidR="00F662D0" w:rsidRPr="00CF6457" w:rsidRDefault="000A16B8" w:rsidP="00EC2B1A">
            <w:pPr>
              <w:pStyle w:val="SDMTableBoxParaNotNumbered"/>
            </w:pPr>
            <w:r w:rsidRPr="00A644C5">
              <w:t>Use global value</w:t>
            </w:r>
          </w:p>
        </w:tc>
      </w:tr>
      <w:tr w:rsidR="00F662D0" w:rsidRPr="00EC2B1A" w14:paraId="4A57B70A" w14:textId="77777777" w:rsidTr="008F3C9F">
        <w:trPr>
          <w:jc w:val="right"/>
        </w:trPr>
        <w:tc>
          <w:tcPr>
            <w:tcW w:w="1905" w:type="pct"/>
          </w:tcPr>
          <w:p w14:paraId="11A25EBB" w14:textId="77777777" w:rsidR="00F662D0" w:rsidRDefault="00F662D0" w:rsidP="00EC2B1A">
            <w:pPr>
              <w:pStyle w:val="SDMTableBoxParaNotNumbered"/>
            </w:pPr>
            <w:r w:rsidRPr="002243E8">
              <w:t>Benin</w:t>
            </w:r>
          </w:p>
        </w:tc>
        <w:tc>
          <w:tcPr>
            <w:tcW w:w="1069" w:type="pct"/>
          </w:tcPr>
          <w:p w14:paraId="1D18E901" w14:textId="215B75D7" w:rsidR="00F662D0" w:rsidRPr="00CF6457" w:rsidRDefault="00E752CF" w:rsidP="00EC2B1A">
            <w:pPr>
              <w:pStyle w:val="SDMTableBoxParaNotNumbered"/>
            </w:pPr>
            <w:r w:rsidRPr="0070652D">
              <w:t>1.86%</w:t>
            </w:r>
          </w:p>
        </w:tc>
        <w:tc>
          <w:tcPr>
            <w:tcW w:w="987" w:type="pct"/>
          </w:tcPr>
          <w:p w14:paraId="5FAF9744" w14:textId="558C0B16" w:rsidR="00F662D0" w:rsidRPr="00CF6457" w:rsidRDefault="00F459C3" w:rsidP="00EC2B1A">
            <w:pPr>
              <w:pStyle w:val="SDMTableBoxParaNotNumbered"/>
            </w:pPr>
            <w:r w:rsidRPr="00B5612F">
              <w:t>2.28%</w:t>
            </w:r>
          </w:p>
        </w:tc>
        <w:tc>
          <w:tcPr>
            <w:tcW w:w="1039" w:type="pct"/>
          </w:tcPr>
          <w:p w14:paraId="6E4AE59D" w14:textId="45732526" w:rsidR="00F662D0" w:rsidRPr="00CF6457" w:rsidRDefault="000A16B8" w:rsidP="00EC2B1A">
            <w:pPr>
              <w:pStyle w:val="SDMTableBoxParaNotNumbered"/>
            </w:pPr>
            <w:r w:rsidRPr="00A644C5">
              <w:t>Use global value</w:t>
            </w:r>
          </w:p>
        </w:tc>
      </w:tr>
      <w:tr w:rsidR="00F662D0" w:rsidRPr="00EC2B1A" w14:paraId="4E5DFF3C" w14:textId="77777777" w:rsidTr="008F3C9F">
        <w:trPr>
          <w:jc w:val="right"/>
        </w:trPr>
        <w:tc>
          <w:tcPr>
            <w:tcW w:w="1905" w:type="pct"/>
          </w:tcPr>
          <w:p w14:paraId="1EE0D6A4" w14:textId="77777777" w:rsidR="00F662D0" w:rsidRDefault="00F662D0" w:rsidP="00EC2B1A">
            <w:pPr>
              <w:pStyle w:val="SDMTableBoxParaNotNumbered"/>
            </w:pPr>
            <w:r w:rsidRPr="002243E8">
              <w:t>Bhutan</w:t>
            </w:r>
          </w:p>
        </w:tc>
        <w:tc>
          <w:tcPr>
            <w:tcW w:w="1069" w:type="pct"/>
          </w:tcPr>
          <w:p w14:paraId="32970ECC" w14:textId="28FBE57B" w:rsidR="00F662D0" w:rsidRPr="00CF6457" w:rsidRDefault="00E752CF" w:rsidP="00EC2B1A">
            <w:pPr>
              <w:pStyle w:val="SDMTableBoxParaNotNumbered"/>
            </w:pPr>
            <w:r w:rsidRPr="0070652D">
              <w:t>Use global value</w:t>
            </w:r>
          </w:p>
        </w:tc>
        <w:tc>
          <w:tcPr>
            <w:tcW w:w="987" w:type="pct"/>
          </w:tcPr>
          <w:p w14:paraId="681F6AF1" w14:textId="1D08899C" w:rsidR="00F662D0" w:rsidRPr="00CF6457" w:rsidRDefault="00F459C3" w:rsidP="00EC2B1A">
            <w:pPr>
              <w:pStyle w:val="SDMTableBoxParaNotNumbered"/>
            </w:pPr>
            <w:r w:rsidRPr="00B5612F">
              <w:t>0.00%</w:t>
            </w:r>
          </w:p>
        </w:tc>
        <w:tc>
          <w:tcPr>
            <w:tcW w:w="1039" w:type="pct"/>
          </w:tcPr>
          <w:p w14:paraId="1856A0A8" w14:textId="6D5EC9CC" w:rsidR="00F662D0" w:rsidRPr="00CF6457" w:rsidRDefault="000A16B8" w:rsidP="00EC2B1A">
            <w:pPr>
              <w:pStyle w:val="SDMTableBoxParaNotNumbered"/>
            </w:pPr>
            <w:r w:rsidRPr="00A644C5">
              <w:t>Use global value</w:t>
            </w:r>
          </w:p>
        </w:tc>
      </w:tr>
      <w:tr w:rsidR="00F662D0" w:rsidRPr="00EC2B1A" w14:paraId="7E5373F1" w14:textId="77777777" w:rsidTr="008F3C9F">
        <w:trPr>
          <w:jc w:val="right"/>
        </w:trPr>
        <w:tc>
          <w:tcPr>
            <w:tcW w:w="1905" w:type="pct"/>
          </w:tcPr>
          <w:p w14:paraId="07156F1A" w14:textId="637A498A" w:rsidR="00F662D0" w:rsidRDefault="00E752CF" w:rsidP="00EC2B1A">
            <w:pPr>
              <w:pStyle w:val="SDMTableBoxParaNotNumbered"/>
            </w:pPr>
            <w:r w:rsidRPr="002243E8">
              <w:t>Bolivia</w:t>
            </w:r>
            <w:r w:rsidR="00931EFD">
              <w:t xml:space="preserve"> (Plurinational State of)</w:t>
            </w:r>
          </w:p>
        </w:tc>
        <w:tc>
          <w:tcPr>
            <w:tcW w:w="1069" w:type="pct"/>
          </w:tcPr>
          <w:p w14:paraId="5C53E4CD" w14:textId="629F64EA" w:rsidR="00F662D0" w:rsidRPr="00CF6457" w:rsidRDefault="00E752CF" w:rsidP="00EC2B1A">
            <w:pPr>
              <w:pStyle w:val="SDMTableBoxParaNotNumbered"/>
            </w:pPr>
            <w:r w:rsidRPr="0070652D">
              <w:t>0.05%</w:t>
            </w:r>
          </w:p>
        </w:tc>
        <w:tc>
          <w:tcPr>
            <w:tcW w:w="987" w:type="pct"/>
          </w:tcPr>
          <w:p w14:paraId="197D7AB2" w14:textId="6B93E1D6" w:rsidR="00F662D0" w:rsidRPr="00CF6457" w:rsidRDefault="00F459C3" w:rsidP="00EC2B1A">
            <w:pPr>
              <w:pStyle w:val="SDMTableBoxParaNotNumbered"/>
            </w:pPr>
            <w:r w:rsidRPr="00B5612F">
              <w:t>3.53%</w:t>
            </w:r>
          </w:p>
        </w:tc>
        <w:tc>
          <w:tcPr>
            <w:tcW w:w="1039" w:type="pct"/>
          </w:tcPr>
          <w:p w14:paraId="7DD8B98E" w14:textId="4155B63A" w:rsidR="00F662D0" w:rsidRPr="00CF6457" w:rsidRDefault="003650DC" w:rsidP="00EC2B1A">
            <w:pPr>
              <w:pStyle w:val="SDMTableBoxParaNotNumbered"/>
            </w:pPr>
            <w:r w:rsidRPr="00A644C5">
              <w:t>20.21</w:t>
            </w:r>
            <w:r w:rsidR="009B0137" w:rsidRPr="00A644C5">
              <w:t>%</w:t>
            </w:r>
          </w:p>
        </w:tc>
      </w:tr>
      <w:tr w:rsidR="00F662D0" w:rsidRPr="00EC2B1A" w14:paraId="6661249F" w14:textId="77777777" w:rsidTr="008F3C9F">
        <w:trPr>
          <w:jc w:val="right"/>
        </w:trPr>
        <w:tc>
          <w:tcPr>
            <w:tcW w:w="1905" w:type="pct"/>
          </w:tcPr>
          <w:p w14:paraId="6293F263" w14:textId="0EAFA2AD" w:rsidR="00F662D0" w:rsidRDefault="00F662D0" w:rsidP="00EC2B1A">
            <w:pPr>
              <w:pStyle w:val="SDMTableBoxParaNotNumbered"/>
            </w:pPr>
            <w:r w:rsidRPr="002243E8">
              <w:t xml:space="preserve">Bosnia </w:t>
            </w:r>
            <w:r w:rsidR="00D35853">
              <w:t xml:space="preserve">and </w:t>
            </w:r>
            <w:r w:rsidRPr="002243E8">
              <w:t>Herzegovina</w:t>
            </w:r>
          </w:p>
        </w:tc>
        <w:tc>
          <w:tcPr>
            <w:tcW w:w="1069" w:type="pct"/>
          </w:tcPr>
          <w:p w14:paraId="60C6BA52" w14:textId="17EF5EEB" w:rsidR="00F662D0" w:rsidRPr="00CF6457" w:rsidRDefault="00E752CF" w:rsidP="00EC2B1A">
            <w:pPr>
              <w:pStyle w:val="SDMTableBoxParaNotNumbered"/>
            </w:pPr>
            <w:r w:rsidRPr="0070652D">
              <w:t>0.09%</w:t>
            </w:r>
          </w:p>
        </w:tc>
        <w:tc>
          <w:tcPr>
            <w:tcW w:w="987" w:type="pct"/>
          </w:tcPr>
          <w:p w14:paraId="42E6CD61" w14:textId="234BC97A" w:rsidR="00F662D0" w:rsidRPr="00CF6457" w:rsidRDefault="00F459C3" w:rsidP="00EC2B1A">
            <w:pPr>
              <w:pStyle w:val="SDMTableBoxParaNotNumbered"/>
            </w:pPr>
            <w:r w:rsidRPr="00B5612F">
              <w:t>2.53%</w:t>
            </w:r>
          </w:p>
        </w:tc>
        <w:tc>
          <w:tcPr>
            <w:tcW w:w="1039" w:type="pct"/>
          </w:tcPr>
          <w:p w14:paraId="2B61EA2A" w14:textId="7F2F0696" w:rsidR="00F662D0" w:rsidRPr="00CF6457" w:rsidRDefault="003650DC" w:rsidP="00EC2B1A">
            <w:pPr>
              <w:pStyle w:val="SDMTableBoxParaNotNumbered"/>
            </w:pPr>
            <w:r w:rsidRPr="00A644C5">
              <w:t>84.84%</w:t>
            </w:r>
          </w:p>
        </w:tc>
      </w:tr>
      <w:tr w:rsidR="00F662D0" w:rsidRPr="00EC2B1A" w14:paraId="14D2E33D" w14:textId="77777777" w:rsidTr="008F3C9F">
        <w:trPr>
          <w:jc w:val="right"/>
        </w:trPr>
        <w:tc>
          <w:tcPr>
            <w:tcW w:w="1905" w:type="pct"/>
          </w:tcPr>
          <w:p w14:paraId="37C6E006" w14:textId="77777777" w:rsidR="00F662D0" w:rsidRDefault="00F662D0" w:rsidP="00EC2B1A">
            <w:pPr>
              <w:pStyle w:val="SDMTableBoxParaNotNumbered"/>
            </w:pPr>
            <w:r w:rsidRPr="002243E8">
              <w:t>Botswana</w:t>
            </w:r>
          </w:p>
        </w:tc>
        <w:tc>
          <w:tcPr>
            <w:tcW w:w="1069" w:type="pct"/>
          </w:tcPr>
          <w:p w14:paraId="638D0E1C" w14:textId="55192527" w:rsidR="00F662D0" w:rsidRPr="00CF6457" w:rsidRDefault="00E752CF" w:rsidP="00EC2B1A">
            <w:pPr>
              <w:pStyle w:val="SDMTableBoxParaNotNumbered"/>
            </w:pPr>
            <w:r w:rsidRPr="0070652D">
              <w:t>0.24%</w:t>
            </w:r>
          </w:p>
        </w:tc>
        <w:tc>
          <w:tcPr>
            <w:tcW w:w="987" w:type="pct"/>
          </w:tcPr>
          <w:p w14:paraId="35633066" w14:textId="2D7D152E" w:rsidR="00F662D0" w:rsidRPr="00CF6457" w:rsidRDefault="00F459C3" w:rsidP="00EC2B1A">
            <w:pPr>
              <w:pStyle w:val="SDMTableBoxParaNotNumbered"/>
            </w:pPr>
            <w:r w:rsidRPr="00B5612F">
              <w:t>0.31%</w:t>
            </w:r>
          </w:p>
        </w:tc>
        <w:tc>
          <w:tcPr>
            <w:tcW w:w="1039" w:type="pct"/>
          </w:tcPr>
          <w:p w14:paraId="394485EF" w14:textId="56F10323" w:rsidR="00F662D0" w:rsidRPr="00CF6457" w:rsidRDefault="000A16B8" w:rsidP="00EC2B1A">
            <w:pPr>
              <w:pStyle w:val="SDMTableBoxParaNotNumbered"/>
            </w:pPr>
            <w:r w:rsidRPr="00A644C5">
              <w:t>Use global value</w:t>
            </w:r>
          </w:p>
        </w:tc>
      </w:tr>
      <w:tr w:rsidR="00F662D0" w:rsidRPr="00EC2B1A" w14:paraId="0918FFC8" w14:textId="77777777" w:rsidTr="008F3C9F">
        <w:trPr>
          <w:jc w:val="right"/>
        </w:trPr>
        <w:tc>
          <w:tcPr>
            <w:tcW w:w="1905" w:type="pct"/>
          </w:tcPr>
          <w:p w14:paraId="79646496" w14:textId="77777777" w:rsidR="00F662D0" w:rsidRDefault="00F662D0" w:rsidP="00EC2B1A">
            <w:pPr>
              <w:pStyle w:val="SDMTableBoxParaNotNumbered"/>
            </w:pPr>
            <w:r w:rsidRPr="002243E8">
              <w:t>Brazil</w:t>
            </w:r>
          </w:p>
        </w:tc>
        <w:tc>
          <w:tcPr>
            <w:tcW w:w="1069" w:type="pct"/>
          </w:tcPr>
          <w:p w14:paraId="1B73CEFF" w14:textId="40B32375" w:rsidR="00F662D0" w:rsidRPr="00CF6457" w:rsidRDefault="00E752CF" w:rsidP="00EC2B1A">
            <w:pPr>
              <w:pStyle w:val="SDMTableBoxParaNotNumbered"/>
            </w:pPr>
            <w:r w:rsidRPr="0070652D">
              <w:t>0.36%</w:t>
            </w:r>
          </w:p>
        </w:tc>
        <w:tc>
          <w:tcPr>
            <w:tcW w:w="987" w:type="pct"/>
          </w:tcPr>
          <w:p w14:paraId="44D8D3E5" w14:textId="32A2409B" w:rsidR="00F662D0" w:rsidRPr="00CF6457" w:rsidRDefault="00F459C3" w:rsidP="00EC2B1A">
            <w:pPr>
              <w:pStyle w:val="SDMTableBoxParaNotNumbered"/>
            </w:pPr>
            <w:r w:rsidRPr="00B5612F">
              <w:t>8.63%</w:t>
            </w:r>
          </w:p>
        </w:tc>
        <w:tc>
          <w:tcPr>
            <w:tcW w:w="1039" w:type="pct"/>
          </w:tcPr>
          <w:p w14:paraId="4D45C811" w14:textId="0F8EEE12" w:rsidR="00F662D0" w:rsidRPr="00CF6457" w:rsidRDefault="003650DC" w:rsidP="00EC2B1A">
            <w:pPr>
              <w:pStyle w:val="SDMTableBoxParaNotNumbered"/>
            </w:pPr>
            <w:r w:rsidRPr="00A644C5">
              <w:t>16.07</w:t>
            </w:r>
            <w:r w:rsidR="009B0137" w:rsidRPr="00A644C5">
              <w:t>%</w:t>
            </w:r>
          </w:p>
        </w:tc>
      </w:tr>
      <w:tr w:rsidR="00F662D0" w:rsidRPr="00EC2B1A" w14:paraId="7EAB367B" w14:textId="77777777" w:rsidTr="008F3C9F">
        <w:trPr>
          <w:jc w:val="right"/>
        </w:trPr>
        <w:tc>
          <w:tcPr>
            <w:tcW w:w="1905" w:type="pct"/>
          </w:tcPr>
          <w:p w14:paraId="1F1959B3" w14:textId="77777777" w:rsidR="00F662D0" w:rsidRDefault="00F662D0" w:rsidP="00EC2B1A">
            <w:pPr>
              <w:pStyle w:val="SDMTableBoxParaNotNumbered"/>
            </w:pPr>
            <w:r w:rsidRPr="002243E8">
              <w:t>Brunei Darussalam</w:t>
            </w:r>
          </w:p>
        </w:tc>
        <w:tc>
          <w:tcPr>
            <w:tcW w:w="1069" w:type="pct"/>
          </w:tcPr>
          <w:p w14:paraId="2A92EACA" w14:textId="336414A0" w:rsidR="00F662D0" w:rsidRPr="00CF6457" w:rsidRDefault="00E752CF" w:rsidP="00EC2B1A">
            <w:pPr>
              <w:pStyle w:val="SDMTableBoxParaNotNumbered"/>
            </w:pPr>
            <w:r w:rsidRPr="0070652D">
              <w:t>0.19%</w:t>
            </w:r>
          </w:p>
        </w:tc>
        <w:tc>
          <w:tcPr>
            <w:tcW w:w="987" w:type="pct"/>
          </w:tcPr>
          <w:p w14:paraId="61461B27" w14:textId="15954B4F" w:rsidR="00F662D0" w:rsidRPr="00CF6457" w:rsidRDefault="00F459C3" w:rsidP="00EC2B1A">
            <w:pPr>
              <w:pStyle w:val="SDMTableBoxParaNotNumbered"/>
            </w:pPr>
            <w:r w:rsidRPr="00B5612F">
              <w:t>0.19%</w:t>
            </w:r>
          </w:p>
        </w:tc>
        <w:tc>
          <w:tcPr>
            <w:tcW w:w="1039" w:type="pct"/>
          </w:tcPr>
          <w:p w14:paraId="598C83DA" w14:textId="0A8CB68A" w:rsidR="00F662D0" w:rsidRPr="00CF6457" w:rsidRDefault="003650DC" w:rsidP="00EC2B1A">
            <w:pPr>
              <w:pStyle w:val="SDMTableBoxParaNotNumbered"/>
            </w:pPr>
            <w:r w:rsidRPr="00A644C5">
              <w:t>11.06</w:t>
            </w:r>
            <w:r w:rsidR="009B0137" w:rsidRPr="00A644C5">
              <w:t>%</w:t>
            </w:r>
          </w:p>
        </w:tc>
      </w:tr>
      <w:tr w:rsidR="00F662D0" w:rsidRPr="00EC2B1A" w14:paraId="79C81783" w14:textId="77777777" w:rsidTr="008F3C9F">
        <w:trPr>
          <w:jc w:val="right"/>
        </w:trPr>
        <w:tc>
          <w:tcPr>
            <w:tcW w:w="1905" w:type="pct"/>
          </w:tcPr>
          <w:p w14:paraId="0956094B" w14:textId="77777777" w:rsidR="00F662D0" w:rsidRDefault="00F662D0" w:rsidP="00EC2B1A">
            <w:pPr>
              <w:pStyle w:val="SDMTableBoxParaNotNumbered"/>
            </w:pPr>
            <w:r w:rsidRPr="002243E8">
              <w:t>Bulgaria</w:t>
            </w:r>
          </w:p>
        </w:tc>
        <w:tc>
          <w:tcPr>
            <w:tcW w:w="1069" w:type="pct"/>
          </w:tcPr>
          <w:p w14:paraId="44AF386B" w14:textId="2177FECA" w:rsidR="00F662D0" w:rsidRPr="00CF6457" w:rsidRDefault="00E752CF" w:rsidP="00EC2B1A">
            <w:pPr>
              <w:pStyle w:val="SDMTableBoxParaNotNumbered"/>
            </w:pPr>
            <w:r w:rsidRPr="0070652D">
              <w:t>1.05%</w:t>
            </w:r>
          </w:p>
        </w:tc>
        <w:tc>
          <w:tcPr>
            <w:tcW w:w="987" w:type="pct"/>
          </w:tcPr>
          <w:p w14:paraId="1114473A" w14:textId="1B76D6BD" w:rsidR="00F662D0" w:rsidRPr="00CF6457" w:rsidRDefault="00F459C3" w:rsidP="00EC2B1A">
            <w:pPr>
              <w:pStyle w:val="SDMTableBoxParaNotNumbered"/>
            </w:pPr>
            <w:r w:rsidRPr="00B5612F">
              <w:t>8.09%</w:t>
            </w:r>
          </w:p>
        </w:tc>
        <w:tc>
          <w:tcPr>
            <w:tcW w:w="1039" w:type="pct"/>
          </w:tcPr>
          <w:p w14:paraId="51FD3431" w14:textId="5F105A84" w:rsidR="00F662D0" w:rsidRPr="00CF6457" w:rsidRDefault="003650DC" w:rsidP="00EC2B1A">
            <w:pPr>
              <w:pStyle w:val="SDMTableBoxParaNotNumbered"/>
            </w:pPr>
            <w:r w:rsidRPr="00A644C5">
              <w:t>34.14</w:t>
            </w:r>
            <w:r w:rsidR="009B0137" w:rsidRPr="00A644C5">
              <w:t>%</w:t>
            </w:r>
          </w:p>
        </w:tc>
      </w:tr>
      <w:tr w:rsidR="00F662D0" w:rsidRPr="00EC2B1A" w14:paraId="7A3D46B1" w14:textId="77777777" w:rsidTr="008F3C9F">
        <w:trPr>
          <w:jc w:val="right"/>
        </w:trPr>
        <w:tc>
          <w:tcPr>
            <w:tcW w:w="1905" w:type="pct"/>
          </w:tcPr>
          <w:p w14:paraId="0C3AE305" w14:textId="77777777" w:rsidR="00F662D0" w:rsidRDefault="00F662D0" w:rsidP="00EC2B1A">
            <w:pPr>
              <w:pStyle w:val="SDMTableBoxParaNotNumbered"/>
            </w:pPr>
            <w:r w:rsidRPr="002243E8">
              <w:t>Burkina Faso</w:t>
            </w:r>
          </w:p>
        </w:tc>
        <w:tc>
          <w:tcPr>
            <w:tcW w:w="1069" w:type="pct"/>
          </w:tcPr>
          <w:p w14:paraId="4A23F5FB" w14:textId="13765BDC" w:rsidR="00F662D0" w:rsidRPr="00CF6457" w:rsidRDefault="00E752CF" w:rsidP="00EC2B1A">
            <w:pPr>
              <w:pStyle w:val="SDMTableBoxParaNotNumbered"/>
            </w:pPr>
            <w:r w:rsidRPr="0070652D">
              <w:t>0.13%</w:t>
            </w:r>
          </w:p>
        </w:tc>
        <w:tc>
          <w:tcPr>
            <w:tcW w:w="987" w:type="pct"/>
          </w:tcPr>
          <w:p w14:paraId="60A07CBE" w14:textId="3918DD9D" w:rsidR="00F662D0" w:rsidRPr="00CF6457" w:rsidRDefault="00F459C3" w:rsidP="00EC2B1A">
            <w:pPr>
              <w:pStyle w:val="SDMTableBoxParaNotNumbered"/>
            </w:pPr>
            <w:r w:rsidRPr="00B5612F">
              <w:t>1.45%</w:t>
            </w:r>
          </w:p>
        </w:tc>
        <w:tc>
          <w:tcPr>
            <w:tcW w:w="1039" w:type="pct"/>
          </w:tcPr>
          <w:p w14:paraId="07DE67B5" w14:textId="2BD8118A" w:rsidR="00F662D0" w:rsidRPr="00CF6457" w:rsidRDefault="009B0137" w:rsidP="00EC2B1A">
            <w:pPr>
              <w:pStyle w:val="SDMTableBoxParaNotNumbered"/>
            </w:pPr>
            <w:r w:rsidRPr="00A644C5">
              <w:t>0.</w:t>
            </w:r>
            <w:r w:rsidR="003650DC" w:rsidRPr="00A644C5">
              <w:t>17</w:t>
            </w:r>
            <w:r w:rsidRPr="00A644C5">
              <w:t>%</w:t>
            </w:r>
          </w:p>
        </w:tc>
      </w:tr>
      <w:tr w:rsidR="00F662D0" w:rsidRPr="00EC2B1A" w14:paraId="414BBE42" w14:textId="77777777" w:rsidTr="008F3C9F">
        <w:trPr>
          <w:jc w:val="right"/>
        </w:trPr>
        <w:tc>
          <w:tcPr>
            <w:tcW w:w="1905" w:type="pct"/>
          </w:tcPr>
          <w:p w14:paraId="1BCE007F" w14:textId="77777777" w:rsidR="00F662D0" w:rsidRDefault="00F662D0" w:rsidP="00EC2B1A">
            <w:pPr>
              <w:pStyle w:val="SDMTableBoxParaNotNumbered"/>
            </w:pPr>
            <w:r w:rsidRPr="002243E8">
              <w:t>Burundi</w:t>
            </w:r>
          </w:p>
        </w:tc>
        <w:tc>
          <w:tcPr>
            <w:tcW w:w="1069" w:type="pct"/>
          </w:tcPr>
          <w:p w14:paraId="48F5B5EB" w14:textId="3EAEBD8C" w:rsidR="00F662D0" w:rsidRPr="00CF6457" w:rsidRDefault="00E752CF" w:rsidP="00EC2B1A">
            <w:pPr>
              <w:pStyle w:val="SDMTableBoxParaNotNumbered"/>
            </w:pPr>
            <w:r w:rsidRPr="0070652D">
              <w:t>2.23%</w:t>
            </w:r>
          </w:p>
        </w:tc>
        <w:tc>
          <w:tcPr>
            <w:tcW w:w="987" w:type="pct"/>
          </w:tcPr>
          <w:p w14:paraId="1550D18A" w14:textId="09FA986B" w:rsidR="00F662D0" w:rsidRPr="00CF6457" w:rsidRDefault="00F459C3" w:rsidP="00EC2B1A">
            <w:pPr>
              <w:pStyle w:val="SDMTableBoxParaNotNumbered"/>
            </w:pPr>
            <w:r w:rsidRPr="00B5612F">
              <w:t>0.00%</w:t>
            </w:r>
          </w:p>
        </w:tc>
        <w:tc>
          <w:tcPr>
            <w:tcW w:w="1039" w:type="pct"/>
          </w:tcPr>
          <w:p w14:paraId="58835474" w14:textId="05E7384E" w:rsidR="00F662D0" w:rsidRPr="00CF6457" w:rsidRDefault="000A16B8" w:rsidP="00EC2B1A">
            <w:pPr>
              <w:pStyle w:val="SDMTableBoxParaNotNumbered"/>
            </w:pPr>
            <w:r w:rsidRPr="00A644C5">
              <w:t>Use global value</w:t>
            </w:r>
          </w:p>
        </w:tc>
      </w:tr>
      <w:tr w:rsidR="00F662D0" w:rsidRPr="00EC2B1A" w14:paraId="27E30188" w14:textId="77777777" w:rsidTr="008F3C9F">
        <w:trPr>
          <w:jc w:val="right"/>
        </w:trPr>
        <w:tc>
          <w:tcPr>
            <w:tcW w:w="1905" w:type="pct"/>
          </w:tcPr>
          <w:p w14:paraId="11CEB4D5" w14:textId="77777777" w:rsidR="00F662D0" w:rsidRDefault="00F662D0" w:rsidP="00EC2B1A">
            <w:pPr>
              <w:pStyle w:val="SDMTableBoxParaNotNumbered"/>
            </w:pPr>
            <w:r w:rsidRPr="002243E8">
              <w:t>Cabo Verde</w:t>
            </w:r>
          </w:p>
        </w:tc>
        <w:tc>
          <w:tcPr>
            <w:tcW w:w="1069" w:type="pct"/>
          </w:tcPr>
          <w:p w14:paraId="41FC1477" w14:textId="50AA674B" w:rsidR="00F662D0" w:rsidRPr="00CF6457" w:rsidRDefault="00E752CF" w:rsidP="00EC2B1A">
            <w:pPr>
              <w:pStyle w:val="SDMTableBoxParaNotNumbered"/>
            </w:pPr>
            <w:r w:rsidRPr="0070652D">
              <w:t>0.25%</w:t>
            </w:r>
          </w:p>
        </w:tc>
        <w:tc>
          <w:tcPr>
            <w:tcW w:w="987" w:type="pct"/>
          </w:tcPr>
          <w:p w14:paraId="7EA9DED6" w14:textId="6DB6062D" w:rsidR="00F662D0" w:rsidRPr="00CF6457" w:rsidRDefault="00F459C3" w:rsidP="00EC2B1A">
            <w:pPr>
              <w:pStyle w:val="SDMTableBoxParaNotNumbered"/>
            </w:pPr>
            <w:r w:rsidRPr="00B5612F">
              <w:t>2.73%</w:t>
            </w:r>
          </w:p>
        </w:tc>
        <w:tc>
          <w:tcPr>
            <w:tcW w:w="1039" w:type="pct"/>
          </w:tcPr>
          <w:p w14:paraId="55D6AE21" w14:textId="31E1BD9F" w:rsidR="00F662D0" w:rsidRPr="00CF6457" w:rsidRDefault="009B0137" w:rsidP="00EC2B1A">
            <w:pPr>
              <w:pStyle w:val="SDMTableBoxParaNotNumbered"/>
            </w:pPr>
            <w:r w:rsidRPr="00A644C5">
              <w:t>0.</w:t>
            </w:r>
            <w:r w:rsidR="003650DC" w:rsidRPr="00A644C5">
              <w:t>26</w:t>
            </w:r>
            <w:r w:rsidRPr="00A644C5">
              <w:t>%</w:t>
            </w:r>
          </w:p>
        </w:tc>
      </w:tr>
      <w:tr w:rsidR="00F662D0" w:rsidRPr="00EC2B1A" w14:paraId="705B4AA4" w14:textId="77777777" w:rsidTr="008F3C9F">
        <w:trPr>
          <w:jc w:val="right"/>
        </w:trPr>
        <w:tc>
          <w:tcPr>
            <w:tcW w:w="1905" w:type="pct"/>
          </w:tcPr>
          <w:p w14:paraId="4ABE7434" w14:textId="77777777" w:rsidR="00F662D0" w:rsidRDefault="00F662D0" w:rsidP="00EC2B1A">
            <w:pPr>
              <w:pStyle w:val="SDMTableBoxParaNotNumbered"/>
            </w:pPr>
            <w:r w:rsidRPr="002243E8">
              <w:t>Cambodia</w:t>
            </w:r>
          </w:p>
        </w:tc>
        <w:tc>
          <w:tcPr>
            <w:tcW w:w="1069" w:type="pct"/>
          </w:tcPr>
          <w:p w14:paraId="077CD8C5" w14:textId="3449945E" w:rsidR="00F662D0" w:rsidRPr="00CF6457" w:rsidRDefault="00E752CF" w:rsidP="00EC2B1A">
            <w:pPr>
              <w:pStyle w:val="SDMTableBoxParaNotNumbered"/>
            </w:pPr>
            <w:r w:rsidRPr="0070652D">
              <w:t>0.50%</w:t>
            </w:r>
          </w:p>
        </w:tc>
        <w:tc>
          <w:tcPr>
            <w:tcW w:w="987" w:type="pct"/>
          </w:tcPr>
          <w:p w14:paraId="5B94A3EE" w14:textId="7B17ED39" w:rsidR="00F662D0" w:rsidRPr="00CF6457" w:rsidRDefault="00F459C3" w:rsidP="00EC2B1A">
            <w:pPr>
              <w:pStyle w:val="SDMTableBoxParaNotNumbered"/>
            </w:pPr>
            <w:r w:rsidRPr="00B5612F">
              <w:t>5.62%</w:t>
            </w:r>
          </w:p>
        </w:tc>
        <w:tc>
          <w:tcPr>
            <w:tcW w:w="1039" w:type="pct"/>
          </w:tcPr>
          <w:p w14:paraId="7061BB4C" w14:textId="3E0DCD93" w:rsidR="00F662D0" w:rsidRPr="00CF6457" w:rsidRDefault="003650DC" w:rsidP="00EC2B1A">
            <w:pPr>
              <w:pStyle w:val="SDMTableBoxParaNotNumbered"/>
            </w:pPr>
            <w:r w:rsidRPr="00A644C5">
              <w:t>29.73</w:t>
            </w:r>
            <w:r w:rsidR="009B0137" w:rsidRPr="00A644C5">
              <w:t>%</w:t>
            </w:r>
          </w:p>
        </w:tc>
      </w:tr>
      <w:tr w:rsidR="00F662D0" w:rsidRPr="00EC2B1A" w14:paraId="37624B99" w14:textId="77777777" w:rsidTr="008F3C9F">
        <w:trPr>
          <w:jc w:val="right"/>
        </w:trPr>
        <w:tc>
          <w:tcPr>
            <w:tcW w:w="1905" w:type="pct"/>
          </w:tcPr>
          <w:p w14:paraId="794B757A" w14:textId="77777777" w:rsidR="00F662D0" w:rsidRDefault="00F662D0" w:rsidP="00EC2B1A">
            <w:pPr>
              <w:pStyle w:val="SDMTableBoxParaNotNumbered"/>
            </w:pPr>
            <w:r w:rsidRPr="002243E8">
              <w:t>Cameroon</w:t>
            </w:r>
          </w:p>
        </w:tc>
        <w:tc>
          <w:tcPr>
            <w:tcW w:w="1069" w:type="pct"/>
          </w:tcPr>
          <w:p w14:paraId="5EE6CBEB" w14:textId="05CDB81D" w:rsidR="00F662D0" w:rsidRPr="00CF6457" w:rsidRDefault="00E752CF" w:rsidP="00EC2B1A">
            <w:pPr>
              <w:pStyle w:val="SDMTableBoxParaNotNumbered"/>
            </w:pPr>
            <w:r w:rsidRPr="0070652D">
              <w:t>0.17%</w:t>
            </w:r>
          </w:p>
        </w:tc>
        <w:tc>
          <w:tcPr>
            <w:tcW w:w="987" w:type="pct"/>
          </w:tcPr>
          <w:p w14:paraId="5729E749" w14:textId="5FF48DBB" w:rsidR="00F662D0" w:rsidRPr="00CF6457" w:rsidRDefault="00F459C3" w:rsidP="00EC2B1A">
            <w:pPr>
              <w:pStyle w:val="SDMTableBoxParaNotNumbered"/>
            </w:pPr>
            <w:r w:rsidRPr="00B5612F">
              <w:t>2.93%</w:t>
            </w:r>
          </w:p>
        </w:tc>
        <w:tc>
          <w:tcPr>
            <w:tcW w:w="1039" w:type="pct"/>
          </w:tcPr>
          <w:p w14:paraId="7D9AD174" w14:textId="67C63102" w:rsidR="00F662D0" w:rsidRPr="00CF6457" w:rsidRDefault="000A16B8" w:rsidP="00EC2B1A">
            <w:pPr>
              <w:pStyle w:val="SDMTableBoxParaNotNumbered"/>
            </w:pPr>
            <w:r w:rsidRPr="00A644C5">
              <w:t>Use global value</w:t>
            </w:r>
          </w:p>
        </w:tc>
      </w:tr>
      <w:tr w:rsidR="00F662D0" w:rsidRPr="00EC2B1A" w14:paraId="7E1BCF84" w14:textId="77777777" w:rsidTr="008F3C9F">
        <w:trPr>
          <w:jc w:val="right"/>
        </w:trPr>
        <w:tc>
          <w:tcPr>
            <w:tcW w:w="1905" w:type="pct"/>
          </w:tcPr>
          <w:p w14:paraId="50FAFB2E" w14:textId="77777777" w:rsidR="00F662D0" w:rsidRDefault="00F662D0" w:rsidP="00EC2B1A">
            <w:pPr>
              <w:pStyle w:val="SDMTableBoxParaNotNumbered"/>
            </w:pPr>
            <w:r w:rsidRPr="002243E8">
              <w:t>Canada</w:t>
            </w:r>
          </w:p>
        </w:tc>
        <w:tc>
          <w:tcPr>
            <w:tcW w:w="1069" w:type="pct"/>
          </w:tcPr>
          <w:p w14:paraId="4783024E" w14:textId="401CDB78" w:rsidR="00F662D0" w:rsidRPr="00CF6457" w:rsidRDefault="00E752CF" w:rsidP="00EC2B1A">
            <w:pPr>
              <w:pStyle w:val="SDMTableBoxParaNotNumbered"/>
            </w:pPr>
            <w:r w:rsidRPr="0070652D">
              <w:t>1.06%</w:t>
            </w:r>
          </w:p>
        </w:tc>
        <w:tc>
          <w:tcPr>
            <w:tcW w:w="987" w:type="pct"/>
          </w:tcPr>
          <w:p w14:paraId="07FC4813" w14:textId="43EE19AC" w:rsidR="00F662D0" w:rsidRPr="00CF6457" w:rsidRDefault="00F459C3" w:rsidP="00EC2B1A">
            <w:pPr>
              <w:pStyle w:val="SDMTableBoxParaNotNumbered"/>
            </w:pPr>
            <w:r w:rsidRPr="00B5612F">
              <w:t>2.26%</w:t>
            </w:r>
          </w:p>
        </w:tc>
        <w:tc>
          <w:tcPr>
            <w:tcW w:w="1039" w:type="pct"/>
          </w:tcPr>
          <w:p w14:paraId="7465BD4B" w14:textId="4410E865" w:rsidR="00F662D0" w:rsidRPr="00CF6457" w:rsidRDefault="003650DC" w:rsidP="00EC2B1A">
            <w:pPr>
              <w:pStyle w:val="SDMTableBoxParaNotNumbered"/>
            </w:pPr>
            <w:r w:rsidRPr="00A644C5">
              <w:t>0.70%</w:t>
            </w:r>
          </w:p>
        </w:tc>
      </w:tr>
      <w:tr w:rsidR="00F662D0" w:rsidRPr="00EC2B1A" w14:paraId="7F4097AC" w14:textId="77777777" w:rsidTr="008F3C9F">
        <w:trPr>
          <w:jc w:val="right"/>
        </w:trPr>
        <w:tc>
          <w:tcPr>
            <w:tcW w:w="1905" w:type="pct"/>
          </w:tcPr>
          <w:p w14:paraId="35C2647D" w14:textId="3A275074" w:rsidR="00F662D0" w:rsidRDefault="00F662D0" w:rsidP="00EC2B1A">
            <w:pPr>
              <w:pStyle w:val="SDMTableBoxParaNotNumbered"/>
            </w:pPr>
            <w:r w:rsidRPr="002243E8">
              <w:t>Central African Republic</w:t>
            </w:r>
          </w:p>
        </w:tc>
        <w:tc>
          <w:tcPr>
            <w:tcW w:w="1069" w:type="pct"/>
          </w:tcPr>
          <w:p w14:paraId="7D95E281" w14:textId="12BBA2B2" w:rsidR="00F662D0" w:rsidRPr="00CF6457" w:rsidRDefault="00E752CF" w:rsidP="00EC2B1A">
            <w:pPr>
              <w:pStyle w:val="SDMTableBoxParaNotNumbered"/>
            </w:pPr>
            <w:r w:rsidRPr="0070652D">
              <w:t>Use global value</w:t>
            </w:r>
          </w:p>
        </w:tc>
        <w:tc>
          <w:tcPr>
            <w:tcW w:w="987" w:type="pct"/>
          </w:tcPr>
          <w:p w14:paraId="7A1F598F" w14:textId="79172505" w:rsidR="00F662D0" w:rsidRPr="00CF6457" w:rsidRDefault="00F459C3" w:rsidP="00EC2B1A">
            <w:pPr>
              <w:pStyle w:val="SDMTableBoxParaNotNumbered"/>
            </w:pPr>
            <w:r w:rsidRPr="00B5612F">
              <w:t>Use global value</w:t>
            </w:r>
          </w:p>
        </w:tc>
        <w:tc>
          <w:tcPr>
            <w:tcW w:w="1039" w:type="pct"/>
          </w:tcPr>
          <w:p w14:paraId="1FBBB5F7" w14:textId="4B84D580" w:rsidR="00F662D0" w:rsidRPr="00CF6457" w:rsidRDefault="000A16B8" w:rsidP="00EC2B1A">
            <w:pPr>
              <w:pStyle w:val="SDMTableBoxParaNotNumbered"/>
            </w:pPr>
            <w:r w:rsidRPr="00A644C5">
              <w:t>Use global value</w:t>
            </w:r>
          </w:p>
        </w:tc>
      </w:tr>
      <w:tr w:rsidR="00F662D0" w:rsidRPr="00EC2B1A" w14:paraId="69FFD8F1" w14:textId="77777777" w:rsidTr="008F3C9F">
        <w:trPr>
          <w:jc w:val="right"/>
        </w:trPr>
        <w:tc>
          <w:tcPr>
            <w:tcW w:w="1905" w:type="pct"/>
          </w:tcPr>
          <w:p w14:paraId="6C07A49B" w14:textId="77777777" w:rsidR="00F662D0" w:rsidRDefault="00F662D0" w:rsidP="00EC2B1A">
            <w:pPr>
              <w:pStyle w:val="SDMTableBoxParaNotNumbered"/>
            </w:pPr>
            <w:r w:rsidRPr="002243E8">
              <w:t>Chad</w:t>
            </w:r>
          </w:p>
        </w:tc>
        <w:tc>
          <w:tcPr>
            <w:tcW w:w="1069" w:type="pct"/>
          </w:tcPr>
          <w:p w14:paraId="7C42C9B6" w14:textId="435D508B" w:rsidR="00F662D0" w:rsidRPr="00CF6457" w:rsidRDefault="00E752CF" w:rsidP="00EC2B1A">
            <w:pPr>
              <w:pStyle w:val="SDMTableBoxParaNotNumbered"/>
            </w:pPr>
            <w:r w:rsidRPr="0070652D">
              <w:t>0.53%</w:t>
            </w:r>
          </w:p>
        </w:tc>
        <w:tc>
          <w:tcPr>
            <w:tcW w:w="987" w:type="pct"/>
          </w:tcPr>
          <w:p w14:paraId="2941519D" w14:textId="07F429E7" w:rsidR="00F662D0" w:rsidRPr="00CF6457" w:rsidRDefault="00F459C3" w:rsidP="00EC2B1A">
            <w:pPr>
              <w:pStyle w:val="SDMTableBoxParaNotNumbered"/>
            </w:pPr>
            <w:r w:rsidRPr="00B5612F">
              <w:t>0.65%</w:t>
            </w:r>
          </w:p>
        </w:tc>
        <w:tc>
          <w:tcPr>
            <w:tcW w:w="1039" w:type="pct"/>
          </w:tcPr>
          <w:p w14:paraId="49E4CFAC" w14:textId="7AD55B64" w:rsidR="00F662D0" w:rsidRPr="00CF6457" w:rsidRDefault="000A16B8" w:rsidP="00EC2B1A">
            <w:pPr>
              <w:pStyle w:val="SDMTableBoxParaNotNumbered"/>
            </w:pPr>
            <w:r w:rsidRPr="00A644C5">
              <w:t>Use global value</w:t>
            </w:r>
          </w:p>
        </w:tc>
      </w:tr>
      <w:tr w:rsidR="00F662D0" w:rsidRPr="00EC2B1A" w14:paraId="49C326D4" w14:textId="77777777" w:rsidTr="008F3C9F">
        <w:trPr>
          <w:jc w:val="right"/>
        </w:trPr>
        <w:tc>
          <w:tcPr>
            <w:tcW w:w="1905" w:type="pct"/>
          </w:tcPr>
          <w:p w14:paraId="17327F21" w14:textId="77777777" w:rsidR="00F662D0" w:rsidRDefault="00F662D0" w:rsidP="00EC2B1A">
            <w:pPr>
              <w:pStyle w:val="SDMTableBoxParaNotNumbered"/>
            </w:pPr>
            <w:r w:rsidRPr="002243E8">
              <w:t>Chile</w:t>
            </w:r>
          </w:p>
        </w:tc>
        <w:tc>
          <w:tcPr>
            <w:tcW w:w="1069" w:type="pct"/>
          </w:tcPr>
          <w:p w14:paraId="0743C5D8" w14:textId="6DE7C214" w:rsidR="00F662D0" w:rsidRPr="00CF6457" w:rsidRDefault="00E752CF" w:rsidP="00EC2B1A">
            <w:pPr>
              <w:pStyle w:val="SDMTableBoxParaNotNumbered"/>
            </w:pPr>
            <w:r w:rsidRPr="0070652D">
              <w:t>1.20%</w:t>
            </w:r>
          </w:p>
        </w:tc>
        <w:tc>
          <w:tcPr>
            <w:tcW w:w="987" w:type="pct"/>
          </w:tcPr>
          <w:p w14:paraId="4E09B36E" w14:textId="3CF84AC6" w:rsidR="00F662D0" w:rsidRPr="00CF6457" w:rsidRDefault="00F459C3" w:rsidP="00EC2B1A">
            <w:pPr>
              <w:pStyle w:val="SDMTableBoxParaNotNumbered"/>
            </w:pPr>
            <w:r w:rsidRPr="00B5612F">
              <w:t>8.47%</w:t>
            </w:r>
          </w:p>
        </w:tc>
        <w:tc>
          <w:tcPr>
            <w:tcW w:w="1039" w:type="pct"/>
          </w:tcPr>
          <w:p w14:paraId="65355322" w14:textId="7353A120" w:rsidR="00F662D0" w:rsidRPr="00CF6457" w:rsidRDefault="003650DC" w:rsidP="00EC2B1A">
            <w:pPr>
              <w:pStyle w:val="SDMTableBoxParaNotNumbered"/>
            </w:pPr>
            <w:r w:rsidRPr="00A644C5">
              <w:t>48.48</w:t>
            </w:r>
            <w:r w:rsidR="009B0137" w:rsidRPr="00A644C5">
              <w:t>%</w:t>
            </w:r>
          </w:p>
        </w:tc>
      </w:tr>
      <w:tr w:rsidR="00F662D0" w:rsidRPr="00EC2B1A" w14:paraId="76819414" w14:textId="77777777" w:rsidTr="008F3C9F">
        <w:trPr>
          <w:jc w:val="right"/>
        </w:trPr>
        <w:tc>
          <w:tcPr>
            <w:tcW w:w="1905" w:type="pct"/>
          </w:tcPr>
          <w:p w14:paraId="5EB566EF" w14:textId="77777777" w:rsidR="00F662D0" w:rsidRDefault="00F662D0" w:rsidP="00EC2B1A">
            <w:pPr>
              <w:pStyle w:val="SDMTableBoxParaNotNumbered"/>
            </w:pPr>
            <w:r w:rsidRPr="002243E8">
              <w:t>China</w:t>
            </w:r>
          </w:p>
        </w:tc>
        <w:tc>
          <w:tcPr>
            <w:tcW w:w="1069" w:type="pct"/>
          </w:tcPr>
          <w:p w14:paraId="703AC972" w14:textId="6F0D7472" w:rsidR="00F662D0" w:rsidRPr="00CF6457" w:rsidRDefault="00E752CF" w:rsidP="00EC2B1A">
            <w:pPr>
              <w:pStyle w:val="SDMTableBoxParaNotNumbered"/>
            </w:pPr>
            <w:r w:rsidRPr="0070652D">
              <w:t>0.35%</w:t>
            </w:r>
          </w:p>
        </w:tc>
        <w:tc>
          <w:tcPr>
            <w:tcW w:w="987" w:type="pct"/>
          </w:tcPr>
          <w:p w14:paraId="1A4F0677" w14:textId="1C596F30" w:rsidR="00F662D0" w:rsidRPr="00CF6457" w:rsidRDefault="00F459C3" w:rsidP="00EC2B1A">
            <w:pPr>
              <w:pStyle w:val="SDMTableBoxParaNotNumbered"/>
            </w:pPr>
            <w:r w:rsidRPr="00B5612F">
              <w:t>2.14%</w:t>
            </w:r>
          </w:p>
        </w:tc>
        <w:tc>
          <w:tcPr>
            <w:tcW w:w="1039" w:type="pct"/>
          </w:tcPr>
          <w:p w14:paraId="64B7B402" w14:textId="7BDBFAE6" w:rsidR="00F662D0" w:rsidRPr="00CF6457" w:rsidRDefault="003650DC" w:rsidP="00EC2B1A">
            <w:pPr>
              <w:pStyle w:val="SDMTableBoxParaNotNumbered"/>
            </w:pPr>
            <w:r w:rsidRPr="00A644C5">
              <w:t>10.04</w:t>
            </w:r>
            <w:r w:rsidR="009B0137" w:rsidRPr="00A644C5">
              <w:t>%</w:t>
            </w:r>
          </w:p>
        </w:tc>
      </w:tr>
      <w:tr w:rsidR="00F662D0" w:rsidRPr="00EC2B1A" w14:paraId="22A13AA4" w14:textId="77777777" w:rsidTr="008F3C9F">
        <w:trPr>
          <w:jc w:val="right"/>
        </w:trPr>
        <w:tc>
          <w:tcPr>
            <w:tcW w:w="1905" w:type="pct"/>
          </w:tcPr>
          <w:p w14:paraId="641ABDEC" w14:textId="77777777" w:rsidR="00F662D0" w:rsidRDefault="00F662D0" w:rsidP="00EC2B1A">
            <w:pPr>
              <w:pStyle w:val="SDMTableBoxParaNotNumbered"/>
            </w:pPr>
            <w:r w:rsidRPr="002243E8">
              <w:t>Colombia</w:t>
            </w:r>
          </w:p>
        </w:tc>
        <w:tc>
          <w:tcPr>
            <w:tcW w:w="1069" w:type="pct"/>
          </w:tcPr>
          <w:p w14:paraId="70F4EDE8" w14:textId="72392AED" w:rsidR="00F662D0" w:rsidRPr="00CF6457" w:rsidRDefault="00E752CF" w:rsidP="00EC2B1A">
            <w:pPr>
              <w:pStyle w:val="SDMTableBoxParaNotNumbered"/>
            </w:pPr>
            <w:r w:rsidRPr="0070652D">
              <w:t>0.00%</w:t>
            </w:r>
          </w:p>
        </w:tc>
        <w:tc>
          <w:tcPr>
            <w:tcW w:w="987" w:type="pct"/>
          </w:tcPr>
          <w:p w14:paraId="7F57E20D" w14:textId="2E0B5570" w:rsidR="00F662D0" w:rsidRPr="00CF6457" w:rsidRDefault="00F459C3" w:rsidP="00EC2B1A">
            <w:pPr>
              <w:pStyle w:val="SDMTableBoxParaNotNumbered"/>
            </w:pPr>
            <w:r w:rsidRPr="00B5612F">
              <w:t>4.47%</w:t>
            </w:r>
          </w:p>
        </w:tc>
        <w:tc>
          <w:tcPr>
            <w:tcW w:w="1039" w:type="pct"/>
          </w:tcPr>
          <w:p w14:paraId="698807D4" w14:textId="326A1FAC" w:rsidR="00F662D0" w:rsidRPr="00CF6457" w:rsidRDefault="003650DC" w:rsidP="00EC2B1A">
            <w:pPr>
              <w:pStyle w:val="SDMTableBoxParaNotNumbered"/>
            </w:pPr>
            <w:r w:rsidRPr="00A644C5">
              <w:t>22.42</w:t>
            </w:r>
            <w:r w:rsidR="009B0137" w:rsidRPr="00A644C5">
              <w:t>%</w:t>
            </w:r>
          </w:p>
        </w:tc>
      </w:tr>
      <w:tr w:rsidR="00F662D0" w:rsidRPr="00EC2B1A" w14:paraId="2EA11F4C" w14:textId="77777777" w:rsidTr="008F3C9F">
        <w:trPr>
          <w:jc w:val="right"/>
        </w:trPr>
        <w:tc>
          <w:tcPr>
            <w:tcW w:w="1905" w:type="pct"/>
          </w:tcPr>
          <w:p w14:paraId="1E536B44" w14:textId="4ED21AD5" w:rsidR="00F662D0" w:rsidRDefault="00F662D0" w:rsidP="00EC2B1A">
            <w:pPr>
              <w:pStyle w:val="SDMTableBoxParaNotNumbered"/>
            </w:pPr>
            <w:r w:rsidRPr="002243E8">
              <w:t>Comoros</w:t>
            </w:r>
          </w:p>
        </w:tc>
        <w:tc>
          <w:tcPr>
            <w:tcW w:w="1069" w:type="pct"/>
          </w:tcPr>
          <w:p w14:paraId="0146C056" w14:textId="1630CD7F" w:rsidR="00F662D0" w:rsidRPr="00CF6457" w:rsidRDefault="00E752CF" w:rsidP="00EC2B1A">
            <w:pPr>
              <w:pStyle w:val="SDMTableBoxParaNotNumbered"/>
            </w:pPr>
            <w:r w:rsidRPr="0070652D">
              <w:t>1.59%</w:t>
            </w:r>
          </w:p>
        </w:tc>
        <w:tc>
          <w:tcPr>
            <w:tcW w:w="987" w:type="pct"/>
          </w:tcPr>
          <w:p w14:paraId="124D524D" w14:textId="03D96ABB" w:rsidR="00F662D0" w:rsidRPr="00CF6457" w:rsidRDefault="00F459C3" w:rsidP="00EC2B1A">
            <w:pPr>
              <w:pStyle w:val="SDMTableBoxParaNotNumbered"/>
            </w:pPr>
            <w:r w:rsidRPr="00B5612F">
              <w:t>1.59%</w:t>
            </w:r>
          </w:p>
        </w:tc>
        <w:tc>
          <w:tcPr>
            <w:tcW w:w="1039" w:type="pct"/>
          </w:tcPr>
          <w:p w14:paraId="3B5B0A26" w14:textId="22A9A9A7" w:rsidR="00F662D0" w:rsidRPr="00CF6457" w:rsidRDefault="000A16B8" w:rsidP="00EC2B1A">
            <w:pPr>
              <w:pStyle w:val="SDMTableBoxParaNotNumbered"/>
            </w:pPr>
            <w:r w:rsidRPr="00A644C5">
              <w:t>Use global value</w:t>
            </w:r>
          </w:p>
        </w:tc>
      </w:tr>
      <w:tr w:rsidR="00F662D0" w:rsidRPr="00EC2B1A" w14:paraId="2E435486" w14:textId="77777777" w:rsidTr="008F3C9F">
        <w:trPr>
          <w:jc w:val="right"/>
        </w:trPr>
        <w:tc>
          <w:tcPr>
            <w:tcW w:w="1905" w:type="pct"/>
          </w:tcPr>
          <w:p w14:paraId="2E72FE88" w14:textId="78A14FBE" w:rsidR="00F662D0" w:rsidRDefault="00F662D0" w:rsidP="00EC2B1A">
            <w:pPr>
              <w:pStyle w:val="SDMTableBoxParaNotNumbered"/>
            </w:pPr>
            <w:r w:rsidRPr="002243E8">
              <w:t>Congo</w:t>
            </w:r>
          </w:p>
        </w:tc>
        <w:tc>
          <w:tcPr>
            <w:tcW w:w="1069" w:type="pct"/>
          </w:tcPr>
          <w:p w14:paraId="0C9B7376" w14:textId="1364ADB5" w:rsidR="00F662D0" w:rsidRPr="00CF6457" w:rsidRDefault="00E752CF" w:rsidP="00EC2B1A">
            <w:pPr>
              <w:pStyle w:val="SDMTableBoxParaNotNumbered"/>
            </w:pPr>
            <w:r w:rsidRPr="0070652D">
              <w:t>0.11%</w:t>
            </w:r>
          </w:p>
        </w:tc>
        <w:tc>
          <w:tcPr>
            <w:tcW w:w="987" w:type="pct"/>
          </w:tcPr>
          <w:p w14:paraId="42A9375B" w14:textId="21659310" w:rsidR="00F662D0" w:rsidRPr="00CF6457" w:rsidRDefault="00F459C3" w:rsidP="00EC2B1A">
            <w:pPr>
              <w:pStyle w:val="SDMTableBoxParaNotNumbered"/>
            </w:pPr>
            <w:r w:rsidRPr="00B5612F">
              <w:t>0.00%</w:t>
            </w:r>
          </w:p>
        </w:tc>
        <w:tc>
          <w:tcPr>
            <w:tcW w:w="1039" w:type="pct"/>
          </w:tcPr>
          <w:p w14:paraId="70BD6E74" w14:textId="2893E641" w:rsidR="00F662D0" w:rsidRPr="00CF6457" w:rsidRDefault="000A16B8" w:rsidP="00EC2B1A">
            <w:pPr>
              <w:pStyle w:val="SDMTableBoxParaNotNumbered"/>
            </w:pPr>
            <w:r w:rsidRPr="00A644C5">
              <w:t>0.00%</w:t>
            </w:r>
          </w:p>
        </w:tc>
      </w:tr>
      <w:tr w:rsidR="009D50A4" w:rsidRPr="00EC2B1A" w14:paraId="061A978F" w14:textId="77777777" w:rsidTr="008F3C9F">
        <w:trPr>
          <w:jc w:val="right"/>
        </w:trPr>
        <w:tc>
          <w:tcPr>
            <w:tcW w:w="1905" w:type="pct"/>
          </w:tcPr>
          <w:p w14:paraId="3B5CB0BB" w14:textId="0189F083" w:rsidR="009D50A4" w:rsidRPr="002243E8" w:rsidRDefault="009D50A4" w:rsidP="00EC2B1A">
            <w:pPr>
              <w:pStyle w:val="SDMTableBoxParaNotNumbered"/>
            </w:pPr>
            <w:r>
              <w:t>Cook Islands</w:t>
            </w:r>
          </w:p>
        </w:tc>
        <w:tc>
          <w:tcPr>
            <w:tcW w:w="1069" w:type="pct"/>
          </w:tcPr>
          <w:p w14:paraId="6DF4B70B" w14:textId="52909CF6" w:rsidR="009D50A4" w:rsidRPr="0070652D" w:rsidRDefault="00BC270A" w:rsidP="00EC2B1A">
            <w:pPr>
              <w:pStyle w:val="SDMTableBoxParaNotNumbered"/>
            </w:pPr>
            <w:r>
              <w:t>7.16%</w:t>
            </w:r>
          </w:p>
        </w:tc>
        <w:tc>
          <w:tcPr>
            <w:tcW w:w="987" w:type="pct"/>
          </w:tcPr>
          <w:p w14:paraId="601F1B47" w14:textId="5B86C870" w:rsidR="009D50A4" w:rsidRPr="00B5612F" w:rsidRDefault="00865D5D" w:rsidP="00EC2B1A">
            <w:pPr>
              <w:pStyle w:val="SDMTableBoxParaNotNumbered"/>
            </w:pPr>
            <w:r>
              <w:t>16.54%</w:t>
            </w:r>
          </w:p>
        </w:tc>
        <w:tc>
          <w:tcPr>
            <w:tcW w:w="1039" w:type="pct"/>
          </w:tcPr>
          <w:p w14:paraId="24665D6B" w14:textId="1AD9F1E0" w:rsidR="009D50A4" w:rsidRPr="00A644C5" w:rsidRDefault="002F326B" w:rsidP="00EC2B1A">
            <w:pPr>
              <w:pStyle w:val="SDMTableBoxParaNotNumbered"/>
            </w:pPr>
            <w:r w:rsidRPr="002F326B">
              <w:t>Use global value</w:t>
            </w:r>
          </w:p>
        </w:tc>
      </w:tr>
      <w:tr w:rsidR="00F662D0" w:rsidRPr="00EC2B1A" w14:paraId="5023539E" w14:textId="77777777" w:rsidTr="008F3C9F">
        <w:trPr>
          <w:jc w:val="right"/>
        </w:trPr>
        <w:tc>
          <w:tcPr>
            <w:tcW w:w="1905" w:type="pct"/>
          </w:tcPr>
          <w:p w14:paraId="68C3E0F6" w14:textId="77777777" w:rsidR="00F662D0" w:rsidRDefault="00F662D0" w:rsidP="00EC2B1A">
            <w:pPr>
              <w:pStyle w:val="SDMTableBoxParaNotNumbered"/>
            </w:pPr>
            <w:r w:rsidRPr="002243E8">
              <w:t>Costa Rica</w:t>
            </w:r>
          </w:p>
        </w:tc>
        <w:tc>
          <w:tcPr>
            <w:tcW w:w="1069" w:type="pct"/>
          </w:tcPr>
          <w:p w14:paraId="3D9A218C" w14:textId="05AC4231" w:rsidR="00F662D0" w:rsidRPr="00CF6457" w:rsidRDefault="00E752CF" w:rsidP="00EC2B1A">
            <w:pPr>
              <w:pStyle w:val="SDMTableBoxParaNotNumbered"/>
            </w:pPr>
            <w:r w:rsidRPr="0070652D">
              <w:t>5.12%</w:t>
            </w:r>
          </w:p>
        </w:tc>
        <w:tc>
          <w:tcPr>
            <w:tcW w:w="987" w:type="pct"/>
          </w:tcPr>
          <w:p w14:paraId="5D05CC14" w14:textId="133D89C7" w:rsidR="00F662D0" w:rsidRPr="00CF6457" w:rsidRDefault="00F459C3" w:rsidP="00EC2B1A">
            <w:pPr>
              <w:pStyle w:val="SDMTableBoxParaNotNumbered"/>
            </w:pPr>
            <w:r w:rsidRPr="00B5612F">
              <w:t>12.08%</w:t>
            </w:r>
          </w:p>
        </w:tc>
        <w:tc>
          <w:tcPr>
            <w:tcW w:w="1039" w:type="pct"/>
          </w:tcPr>
          <w:p w14:paraId="4272FB66" w14:textId="798FCBBF" w:rsidR="00F662D0" w:rsidRPr="00CF6457" w:rsidRDefault="009B0137" w:rsidP="00EC2B1A">
            <w:pPr>
              <w:pStyle w:val="SDMTableBoxParaNotNumbered"/>
            </w:pPr>
            <w:r w:rsidRPr="00A644C5">
              <w:t>46</w:t>
            </w:r>
            <w:r w:rsidR="003650DC" w:rsidRPr="00A644C5">
              <w:t>.20</w:t>
            </w:r>
            <w:r w:rsidRPr="00A644C5">
              <w:t>%</w:t>
            </w:r>
          </w:p>
        </w:tc>
      </w:tr>
      <w:tr w:rsidR="00F662D0" w:rsidRPr="00EC2B1A" w14:paraId="4E08F4DB" w14:textId="77777777" w:rsidTr="008F3C9F">
        <w:trPr>
          <w:jc w:val="right"/>
        </w:trPr>
        <w:tc>
          <w:tcPr>
            <w:tcW w:w="1905" w:type="pct"/>
          </w:tcPr>
          <w:p w14:paraId="764BACE3" w14:textId="77777777" w:rsidR="00F662D0" w:rsidRDefault="00F662D0" w:rsidP="00EC2B1A">
            <w:pPr>
              <w:pStyle w:val="SDMTableBoxParaNotNumbered"/>
            </w:pPr>
            <w:r w:rsidRPr="002243E8">
              <w:t>Cote d'Ivoire</w:t>
            </w:r>
          </w:p>
        </w:tc>
        <w:tc>
          <w:tcPr>
            <w:tcW w:w="1069" w:type="pct"/>
          </w:tcPr>
          <w:p w14:paraId="50346E29" w14:textId="3C7404AD" w:rsidR="00F662D0" w:rsidRPr="00CF6457" w:rsidRDefault="00E752CF" w:rsidP="00EC2B1A">
            <w:pPr>
              <w:pStyle w:val="SDMTableBoxParaNotNumbered"/>
            </w:pPr>
            <w:r w:rsidRPr="0070652D">
              <w:t>0.20%</w:t>
            </w:r>
          </w:p>
        </w:tc>
        <w:tc>
          <w:tcPr>
            <w:tcW w:w="987" w:type="pct"/>
          </w:tcPr>
          <w:p w14:paraId="0672F1BE" w14:textId="3ADB5AF4" w:rsidR="00F662D0" w:rsidRPr="00CF6457" w:rsidRDefault="00F459C3" w:rsidP="00EC2B1A">
            <w:pPr>
              <w:pStyle w:val="SDMTableBoxParaNotNumbered"/>
            </w:pPr>
            <w:r w:rsidRPr="00B5612F">
              <w:t>3.53%</w:t>
            </w:r>
          </w:p>
        </w:tc>
        <w:tc>
          <w:tcPr>
            <w:tcW w:w="1039" w:type="pct"/>
          </w:tcPr>
          <w:p w14:paraId="02B0A725" w14:textId="33154178" w:rsidR="00F662D0" w:rsidRPr="00CF6457" w:rsidRDefault="003650DC" w:rsidP="00EC2B1A">
            <w:pPr>
              <w:pStyle w:val="SDMTableBoxParaNotNumbered"/>
            </w:pPr>
            <w:r w:rsidRPr="00A644C5">
              <w:t>125.80%</w:t>
            </w:r>
          </w:p>
        </w:tc>
      </w:tr>
      <w:tr w:rsidR="00F662D0" w:rsidRPr="00EC2B1A" w14:paraId="0EF56E28" w14:textId="77777777" w:rsidTr="008F3C9F">
        <w:trPr>
          <w:jc w:val="right"/>
        </w:trPr>
        <w:tc>
          <w:tcPr>
            <w:tcW w:w="1905" w:type="pct"/>
          </w:tcPr>
          <w:p w14:paraId="48A65B2A" w14:textId="77777777" w:rsidR="00F662D0" w:rsidRDefault="00F662D0" w:rsidP="00EC2B1A">
            <w:pPr>
              <w:pStyle w:val="SDMTableBoxParaNotNumbered"/>
            </w:pPr>
            <w:r w:rsidRPr="002243E8">
              <w:t>Croatia</w:t>
            </w:r>
          </w:p>
        </w:tc>
        <w:tc>
          <w:tcPr>
            <w:tcW w:w="1069" w:type="pct"/>
          </w:tcPr>
          <w:p w14:paraId="3104306D" w14:textId="49E44780" w:rsidR="00F662D0" w:rsidRPr="00CF6457" w:rsidRDefault="00E752CF" w:rsidP="00EC2B1A">
            <w:pPr>
              <w:pStyle w:val="SDMTableBoxParaNotNumbered"/>
            </w:pPr>
            <w:r w:rsidRPr="0070652D">
              <w:t>5.52%</w:t>
            </w:r>
          </w:p>
        </w:tc>
        <w:tc>
          <w:tcPr>
            <w:tcW w:w="987" w:type="pct"/>
          </w:tcPr>
          <w:p w14:paraId="08C29B18" w14:textId="0C3D1D4F" w:rsidR="00F662D0" w:rsidRPr="00CF6457" w:rsidRDefault="00F459C3" w:rsidP="00EC2B1A">
            <w:pPr>
              <w:pStyle w:val="SDMTableBoxParaNotNumbered"/>
            </w:pPr>
            <w:r w:rsidRPr="00B5612F">
              <w:t>5.82%</w:t>
            </w:r>
          </w:p>
        </w:tc>
        <w:tc>
          <w:tcPr>
            <w:tcW w:w="1039" w:type="pct"/>
          </w:tcPr>
          <w:p w14:paraId="2CC4A4DD" w14:textId="5545765D" w:rsidR="00F662D0" w:rsidRPr="00CF6457" w:rsidRDefault="003650DC" w:rsidP="00EC2B1A">
            <w:pPr>
              <w:pStyle w:val="SDMTableBoxParaNotNumbered"/>
            </w:pPr>
            <w:r w:rsidRPr="00A644C5">
              <w:t>23.87%</w:t>
            </w:r>
          </w:p>
        </w:tc>
      </w:tr>
      <w:tr w:rsidR="00F662D0" w:rsidRPr="00EC2B1A" w14:paraId="35D40DF2" w14:textId="77777777" w:rsidTr="008F3C9F">
        <w:trPr>
          <w:jc w:val="right"/>
        </w:trPr>
        <w:tc>
          <w:tcPr>
            <w:tcW w:w="1905" w:type="pct"/>
          </w:tcPr>
          <w:p w14:paraId="788FAD06" w14:textId="77777777" w:rsidR="00F662D0" w:rsidRDefault="00F662D0" w:rsidP="00EC2B1A">
            <w:pPr>
              <w:pStyle w:val="SDMTableBoxParaNotNumbered"/>
            </w:pPr>
            <w:r w:rsidRPr="002243E8">
              <w:t>Cuba</w:t>
            </w:r>
          </w:p>
        </w:tc>
        <w:tc>
          <w:tcPr>
            <w:tcW w:w="1069" w:type="pct"/>
          </w:tcPr>
          <w:p w14:paraId="3AEDBDBC" w14:textId="5597CD7E" w:rsidR="00F662D0" w:rsidRPr="00CF6457" w:rsidRDefault="00E752CF" w:rsidP="00EC2B1A">
            <w:pPr>
              <w:pStyle w:val="SDMTableBoxParaNotNumbered"/>
            </w:pPr>
            <w:r w:rsidRPr="0070652D">
              <w:t>0.07%</w:t>
            </w:r>
          </w:p>
        </w:tc>
        <w:tc>
          <w:tcPr>
            <w:tcW w:w="987" w:type="pct"/>
          </w:tcPr>
          <w:p w14:paraId="4D94A731" w14:textId="1F9A0AEF" w:rsidR="00F662D0" w:rsidRPr="00CF6457" w:rsidRDefault="00F459C3" w:rsidP="00EC2B1A">
            <w:pPr>
              <w:pStyle w:val="SDMTableBoxParaNotNumbered"/>
            </w:pPr>
            <w:r w:rsidRPr="00B5612F">
              <w:t>0.20%</w:t>
            </w:r>
          </w:p>
        </w:tc>
        <w:tc>
          <w:tcPr>
            <w:tcW w:w="1039" w:type="pct"/>
          </w:tcPr>
          <w:p w14:paraId="5ADEF118" w14:textId="371AABBB" w:rsidR="00F662D0" w:rsidRPr="00CF6457" w:rsidRDefault="003650DC" w:rsidP="00EC2B1A">
            <w:pPr>
              <w:pStyle w:val="SDMTableBoxParaNotNumbered"/>
            </w:pPr>
            <w:r w:rsidRPr="00A644C5">
              <w:t>27.25</w:t>
            </w:r>
            <w:r w:rsidR="009B0137" w:rsidRPr="00A644C5">
              <w:t>%</w:t>
            </w:r>
          </w:p>
        </w:tc>
      </w:tr>
      <w:tr w:rsidR="00F662D0" w:rsidRPr="00EC2B1A" w14:paraId="3130BE6E" w14:textId="77777777" w:rsidTr="008F3C9F">
        <w:trPr>
          <w:jc w:val="right"/>
        </w:trPr>
        <w:tc>
          <w:tcPr>
            <w:tcW w:w="1905" w:type="pct"/>
          </w:tcPr>
          <w:p w14:paraId="2327C9CB" w14:textId="77777777" w:rsidR="00F662D0" w:rsidRDefault="00F662D0" w:rsidP="00EC2B1A">
            <w:pPr>
              <w:pStyle w:val="SDMTableBoxParaNotNumbered"/>
            </w:pPr>
            <w:r w:rsidRPr="002243E8">
              <w:t>Cyprus</w:t>
            </w:r>
          </w:p>
        </w:tc>
        <w:tc>
          <w:tcPr>
            <w:tcW w:w="1069" w:type="pct"/>
          </w:tcPr>
          <w:p w14:paraId="48753229" w14:textId="3BB34C5E" w:rsidR="00F662D0" w:rsidRPr="00CF6457" w:rsidRDefault="00E752CF" w:rsidP="00EC2B1A">
            <w:pPr>
              <w:pStyle w:val="SDMTableBoxParaNotNumbered"/>
            </w:pPr>
            <w:r w:rsidRPr="0070652D">
              <w:t>0.01%</w:t>
            </w:r>
          </w:p>
        </w:tc>
        <w:tc>
          <w:tcPr>
            <w:tcW w:w="987" w:type="pct"/>
          </w:tcPr>
          <w:p w14:paraId="53121853" w14:textId="73A2453E" w:rsidR="00F662D0" w:rsidRPr="00CF6457" w:rsidRDefault="00F459C3" w:rsidP="00EC2B1A">
            <w:pPr>
              <w:pStyle w:val="SDMTableBoxParaNotNumbered"/>
            </w:pPr>
            <w:r w:rsidRPr="00B5612F">
              <w:t>2.50%</w:t>
            </w:r>
          </w:p>
        </w:tc>
        <w:tc>
          <w:tcPr>
            <w:tcW w:w="1039" w:type="pct"/>
          </w:tcPr>
          <w:p w14:paraId="783C024A" w14:textId="148BD540" w:rsidR="00F662D0" w:rsidRPr="00CF6457" w:rsidRDefault="003650DC" w:rsidP="00EC2B1A">
            <w:pPr>
              <w:pStyle w:val="SDMTableBoxParaNotNumbered"/>
            </w:pPr>
            <w:r w:rsidRPr="00A644C5">
              <w:t>112.18%</w:t>
            </w:r>
          </w:p>
        </w:tc>
      </w:tr>
      <w:tr w:rsidR="00F662D0" w:rsidRPr="00EC2B1A" w14:paraId="15D84969" w14:textId="77777777" w:rsidTr="008F3C9F">
        <w:trPr>
          <w:jc w:val="right"/>
        </w:trPr>
        <w:tc>
          <w:tcPr>
            <w:tcW w:w="1905" w:type="pct"/>
          </w:tcPr>
          <w:p w14:paraId="36064B04" w14:textId="77777777" w:rsidR="00F662D0" w:rsidRDefault="00F662D0" w:rsidP="00EC2B1A">
            <w:pPr>
              <w:pStyle w:val="SDMTableBoxParaNotNumbered"/>
            </w:pPr>
            <w:r w:rsidRPr="002243E8">
              <w:t>Czechia</w:t>
            </w:r>
          </w:p>
        </w:tc>
        <w:tc>
          <w:tcPr>
            <w:tcW w:w="1069" w:type="pct"/>
          </w:tcPr>
          <w:p w14:paraId="2A78B61D" w14:textId="688573B5" w:rsidR="00F662D0" w:rsidRPr="00CF6457" w:rsidRDefault="00E752CF" w:rsidP="00EC2B1A">
            <w:pPr>
              <w:pStyle w:val="SDMTableBoxParaNotNumbered"/>
            </w:pPr>
            <w:r w:rsidRPr="0070652D">
              <w:t>0.76%</w:t>
            </w:r>
          </w:p>
        </w:tc>
        <w:tc>
          <w:tcPr>
            <w:tcW w:w="987" w:type="pct"/>
          </w:tcPr>
          <w:p w14:paraId="73EF5252" w14:textId="3347543C" w:rsidR="00F662D0" w:rsidRPr="00CF6457" w:rsidRDefault="00F459C3" w:rsidP="00EC2B1A">
            <w:pPr>
              <w:pStyle w:val="SDMTableBoxParaNotNumbered"/>
            </w:pPr>
            <w:r w:rsidRPr="00B5612F">
              <w:t>4.19%</w:t>
            </w:r>
          </w:p>
        </w:tc>
        <w:tc>
          <w:tcPr>
            <w:tcW w:w="1039" w:type="pct"/>
          </w:tcPr>
          <w:p w14:paraId="3F36012F" w14:textId="0AA7ABFA" w:rsidR="00F662D0" w:rsidRPr="00CF6457" w:rsidRDefault="003650DC" w:rsidP="00EC2B1A">
            <w:pPr>
              <w:pStyle w:val="SDMTableBoxParaNotNumbered"/>
            </w:pPr>
            <w:r w:rsidRPr="00A644C5">
              <w:t>55.01</w:t>
            </w:r>
            <w:r w:rsidR="009B0137" w:rsidRPr="00A644C5">
              <w:t>%</w:t>
            </w:r>
          </w:p>
        </w:tc>
      </w:tr>
      <w:tr w:rsidR="00F22106" w:rsidRPr="00EC2B1A" w14:paraId="0F2700BC" w14:textId="77777777" w:rsidTr="008F3C9F">
        <w:trPr>
          <w:jc w:val="right"/>
        </w:trPr>
        <w:tc>
          <w:tcPr>
            <w:tcW w:w="1905" w:type="pct"/>
          </w:tcPr>
          <w:p w14:paraId="74220B6E" w14:textId="3F1603C1" w:rsidR="00F22106" w:rsidRDefault="00F22106" w:rsidP="00EC2B1A">
            <w:pPr>
              <w:pStyle w:val="SDMTableBoxParaNotNumbered"/>
            </w:pPr>
            <w:r w:rsidRPr="002243E8">
              <w:t>Democratic People's Republic of Korea</w:t>
            </w:r>
          </w:p>
        </w:tc>
        <w:tc>
          <w:tcPr>
            <w:tcW w:w="1069" w:type="pct"/>
          </w:tcPr>
          <w:p w14:paraId="591D7EAF" w14:textId="77777777" w:rsidR="00F22106" w:rsidRPr="00CF6457" w:rsidRDefault="00F22106" w:rsidP="00EC2B1A">
            <w:pPr>
              <w:pStyle w:val="SDMTableBoxParaNotNumbered"/>
            </w:pPr>
            <w:r w:rsidRPr="0070652D">
              <w:t>0.00%</w:t>
            </w:r>
          </w:p>
        </w:tc>
        <w:tc>
          <w:tcPr>
            <w:tcW w:w="987" w:type="pct"/>
          </w:tcPr>
          <w:p w14:paraId="5B91E600" w14:textId="77777777" w:rsidR="00F22106" w:rsidRPr="00CF6457" w:rsidRDefault="00F22106" w:rsidP="00EC2B1A">
            <w:pPr>
              <w:pStyle w:val="SDMTableBoxParaNotNumbered"/>
            </w:pPr>
            <w:r w:rsidRPr="00B5612F">
              <w:t>6.67%</w:t>
            </w:r>
          </w:p>
        </w:tc>
        <w:tc>
          <w:tcPr>
            <w:tcW w:w="1039" w:type="pct"/>
          </w:tcPr>
          <w:p w14:paraId="07317375" w14:textId="77777777" w:rsidR="00F22106" w:rsidRPr="00CF6457" w:rsidRDefault="00F22106" w:rsidP="00EC2B1A">
            <w:pPr>
              <w:pStyle w:val="SDMTableBoxParaNotNumbered"/>
            </w:pPr>
            <w:r w:rsidRPr="00A644C5">
              <w:t>18.73%</w:t>
            </w:r>
          </w:p>
        </w:tc>
      </w:tr>
      <w:tr w:rsidR="00F22106" w:rsidRPr="00EC2B1A" w14:paraId="12DC86CE" w14:textId="77777777" w:rsidTr="008F3C9F">
        <w:trPr>
          <w:jc w:val="right"/>
        </w:trPr>
        <w:tc>
          <w:tcPr>
            <w:tcW w:w="1905" w:type="pct"/>
          </w:tcPr>
          <w:p w14:paraId="624B824B" w14:textId="3BB75B2A" w:rsidR="00F22106" w:rsidRDefault="00F22106" w:rsidP="00EC2B1A">
            <w:pPr>
              <w:pStyle w:val="SDMTableBoxParaNotNumbered"/>
            </w:pPr>
            <w:r w:rsidRPr="002243E8">
              <w:t>Democratic Republic of the Congo</w:t>
            </w:r>
          </w:p>
        </w:tc>
        <w:tc>
          <w:tcPr>
            <w:tcW w:w="1069" w:type="pct"/>
          </w:tcPr>
          <w:p w14:paraId="05D270C9" w14:textId="77777777" w:rsidR="00F22106" w:rsidRPr="00CF6457" w:rsidRDefault="00F22106" w:rsidP="00EC2B1A">
            <w:pPr>
              <w:pStyle w:val="SDMTableBoxParaNotNumbered"/>
            </w:pPr>
            <w:r w:rsidRPr="0070652D">
              <w:t>0.00%</w:t>
            </w:r>
          </w:p>
        </w:tc>
        <w:tc>
          <w:tcPr>
            <w:tcW w:w="987" w:type="pct"/>
          </w:tcPr>
          <w:p w14:paraId="753D73F5" w14:textId="77777777" w:rsidR="00F22106" w:rsidRPr="00CF6457" w:rsidRDefault="00F22106" w:rsidP="00EC2B1A">
            <w:pPr>
              <w:pStyle w:val="SDMTableBoxParaNotNumbered"/>
            </w:pPr>
            <w:r w:rsidRPr="00B5612F">
              <w:t>1.83%</w:t>
            </w:r>
          </w:p>
        </w:tc>
        <w:tc>
          <w:tcPr>
            <w:tcW w:w="1039" w:type="pct"/>
          </w:tcPr>
          <w:p w14:paraId="51966CE6" w14:textId="77777777" w:rsidR="00F22106" w:rsidRPr="00CF6457" w:rsidRDefault="00F22106" w:rsidP="00EC2B1A">
            <w:pPr>
              <w:pStyle w:val="SDMTableBoxParaNotNumbered"/>
            </w:pPr>
            <w:r w:rsidRPr="00A644C5">
              <w:t>2.30%</w:t>
            </w:r>
          </w:p>
        </w:tc>
      </w:tr>
      <w:tr w:rsidR="00F662D0" w:rsidRPr="00EC2B1A" w14:paraId="65F6F548" w14:textId="77777777" w:rsidTr="008F3C9F">
        <w:trPr>
          <w:jc w:val="right"/>
        </w:trPr>
        <w:tc>
          <w:tcPr>
            <w:tcW w:w="1905" w:type="pct"/>
          </w:tcPr>
          <w:p w14:paraId="2584F2C0" w14:textId="77777777" w:rsidR="00F662D0" w:rsidRDefault="00F662D0" w:rsidP="00EC2B1A">
            <w:pPr>
              <w:pStyle w:val="SDMTableBoxParaNotNumbered"/>
            </w:pPr>
            <w:r w:rsidRPr="002243E8">
              <w:t>Denmark</w:t>
            </w:r>
          </w:p>
        </w:tc>
        <w:tc>
          <w:tcPr>
            <w:tcW w:w="1069" w:type="pct"/>
          </w:tcPr>
          <w:p w14:paraId="78616CAA" w14:textId="62B4E47B" w:rsidR="00F662D0" w:rsidRPr="00CF6457" w:rsidRDefault="00E752CF" w:rsidP="00EC2B1A">
            <w:pPr>
              <w:pStyle w:val="SDMTableBoxParaNotNumbered"/>
            </w:pPr>
            <w:r w:rsidRPr="0070652D">
              <w:t>1.37%</w:t>
            </w:r>
          </w:p>
        </w:tc>
        <w:tc>
          <w:tcPr>
            <w:tcW w:w="987" w:type="pct"/>
          </w:tcPr>
          <w:p w14:paraId="4C92A972" w14:textId="52774D40" w:rsidR="00F662D0" w:rsidRPr="00CF6457" w:rsidRDefault="00F459C3" w:rsidP="00EC2B1A">
            <w:pPr>
              <w:pStyle w:val="SDMTableBoxParaNotNumbered"/>
            </w:pPr>
            <w:r w:rsidRPr="00B5612F">
              <w:t>12.34%</w:t>
            </w:r>
          </w:p>
        </w:tc>
        <w:tc>
          <w:tcPr>
            <w:tcW w:w="1039" w:type="pct"/>
          </w:tcPr>
          <w:p w14:paraId="317B65A3" w14:textId="2CFE3CED" w:rsidR="00F662D0" w:rsidRPr="00CF6457" w:rsidRDefault="003650DC" w:rsidP="00EC2B1A">
            <w:pPr>
              <w:pStyle w:val="SDMTableBoxParaNotNumbered"/>
            </w:pPr>
            <w:r w:rsidRPr="00A644C5">
              <w:t>21.76</w:t>
            </w:r>
            <w:r w:rsidR="009B0137" w:rsidRPr="00A644C5">
              <w:t>%</w:t>
            </w:r>
          </w:p>
        </w:tc>
      </w:tr>
      <w:tr w:rsidR="00F662D0" w:rsidRPr="00EC2B1A" w14:paraId="51E6366D" w14:textId="77777777" w:rsidTr="008F3C9F">
        <w:trPr>
          <w:jc w:val="right"/>
        </w:trPr>
        <w:tc>
          <w:tcPr>
            <w:tcW w:w="1905" w:type="pct"/>
          </w:tcPr>
          <w:p w14:paraId="4E2CA78B" w14:textId="77777777" w:rsidR="00F662D0" w:rsidRDefault="00F662D0" w:rsidP="00EC2B1A">
            <w:pPr>
              <w:pStyle w:val="SDMTableBoxParaNotNumbered"/>
            </w:pPr>
            <w:r w:rsidRPr="002243E8">
              <w:t>Djibouti</w:t>
            </w:r>
          </w:p>
        </w:tc>
        <w:tc>
          <w:tcPr>
            <w:tcW w:w="1069" w:type="pct"/>
          </w:tcPr>
          <w:p w14:paraId="222457EA" w14:textId="50AE3AF1" w:rsidR="00F662D0" w:rsidRPr="00CF6457" w:rsidRDefault="00E752CF" w:rsidP="00EC2B1A">
            <w:pPr>
              <w:pStyle w:val="SDMTableBoxParaNotNumbered"/>
            </w:pPr>
            <w:r w:rsidRPr="0070652D">
              <w:t>0.00%</w:t>
            </w:r>
          </w:p>
        </w:tc>
        <w:tc>
          <w:tcPr>
            <w:tcW w:w="987" w:type="pct"/>
          </w:tcPr>
          <w:p w14:paraId="674D6C5F" w14:textId="45DB66B8" w:rsidR="00F662D0" w:rsidRPr="00CF6457" w:rsidRDefault="00F459C3" w:rsidP="00EC2B1A">
            <w:pPr>
              <w:pStyle w:val="SDMTableBoxParaNotNumbered"/>
            </w:pPr>
            <w:r w:rsidRPr="00B5612F">
              <w:t>7.75%</w:t>
            </w:r>
          </w:p>
        </w:tc>
        <w:tc>
          <w:tcPr>
            <w:tcW w:w="1039" w:type="pct"/>
          </w:tcPr>
          <w:p w14:paraId="2043537A" w14:textId="2C39B282" w:rsidR="00F662D0" w:rsidRPr="00CF6457" w:rsidRDefault="000A16B8" w:rsidP="00EC2B1A">
            <w:pPr>
              <w:pStyle w:val="SDMTableBoxParaNotNumbered"/>
            </w:pPr>
            <w:r w:rsidRPr="00A644C5">
              <w:t>Use global value</w:t>
            </w:r>
          </w:p>
        </w:tc>
      </w:tr>
      <w:tr w:rsidR="00F662D0" w:rsidRPr="00EC2B1A" w14:paraId="3C48755A" w14:textId="77777777" w:rsidTr="008F3C9F">
        <w:trPr>
          <w:jc w:val="right"/>
        </w:trPr>
        <w:tc>
          <w:tcPr>
            <w:tcW w:w="1905" w:type="pct"/>
          </w:tcPr>
          <w:p w14:paraId="07C2DBE7" w14:textId="77777777" w:rsidR="00F662D0" w:rsidRDefault="00F662D0" w:rsidP="00EC2B1A">
            <w:pPr>
              <w:pStyle w:val="SDMTableBoxParaNotNumbered"/>
            </w:pPr>
            <w:r w:rsidRPr="002243E8">
              <w:t>Dominica</w:t>
            </w:r>
          </w:p>
        </w:tc>
        <w:tc>
          <w:tcPr>
            <w:tcW w:w="1069" w:type="pct"/>
          </w:tcPr>
          <w:p w14:paraId="597ADA66" w14:textId="47181DD8" w:rsidR="00F662D0" w:rsidRPr="00CF6457" w:rsidRDefault="00E752CF" w:rsidP="00EC2B1A">
            <w:pPr>
              <w:pStyle w:val="SDMTableBoxParaNotNumbered"/>
            </w:pPr>
            <w:r w:rsidRPr="0070652D">
              <w:t>0.72%</w:t>
            </w:r>
          </w:p>
        </w:tc>
        <w:tc>
          <w:tcPr>
            <w:tcW w:w="987" w:type="pct"/>
          </w:tcPr>
          <w:p w14:paraId="59195EB5" w14:textId="0D006BDA" w:rsidR="00F662D0" w:rsidRPr="00CF6457" w:rsidRDefault="00F459C3" w:rsidP="00EC2B1A">
            <w:pPr>
              <w:pStyle w:val="SDMTableBoxParaNotNumbered"/>
            </w:pPr>
            <w:r w:rsidRPr="00B5612F">
              <w:t>1.37%</w:t>
            </w:r>
          </w:p>
        </w:tc>
        <w:tc>
          <w:tcPr>
            <w:tcW w:w="1039" w:type="pct"/>
          </w:tcPr>
          <w:p w14:paraId="3D5335EC" w14:textId="6C48CDF7" w:rsidR="00F662D0" w:rsidRPr="00CF6457" w:rsidRDefault="000A16B8" w:rsidP="00EC2B1A">
            <w:pPr>
              <w:pStyle w:val="SDMTableBoxParaNotNumbered"/>
            </w:pPr>
            <w:r w:rsidRPr="00A644C5">
              <w:t>Use global value</w:t>
            </w:r>
          </w:p>
        </w:tc>
      </w:tr>
      <w:tr w:rsidR="00F662D0" w:rsidRPr="00EC2B1A" w14:paraId="02BF2BFE" w14:textId="77777777" w:rsidTr="008F3C9F">
        <w:trPr>
          <w:jc w:val="right"/>
        </w:trPr>
        <w:tc>
          <w:tcPr>
            <w:tcW w:w="1905" w:type="pct"/>
          </w:tcPr>
          <w:p w14:paraId="42CAD6A3" w14:textId="44E620B8" w:rsidR="00F662D0" w:rsidRDefault="00F662D0" w:rsidP="00EC2B1A">
            <w:pPr>
              <w:pStyle w:val="SDMTableBoxParaNotNumbered"/>
            </w:pPr>
            <w:r w:rsidRPr="002243E8">
              <w:t>Dominican Republic</w:t>
            </w:r>
          </w:p>
        </w:tc>
        <w:tc>
          <w:tcPr>
            <w:tcW w:w="1069" w:type="pct"/>
          </w:tcPr>
          <w:p w14:paraId="7A98F5FD" w14:textId="033DCFB3" w:rsidR="00F662D0" w:rsidRPr="00CF6457" w:rsidRDefault="00E752CF" w:rsidP="00EC2B1A">
            <w:pPr>
              <w:pStyle w:val="SDMTableBoxParaNotNumbered"/>
            </w:pPr>
            <w:r w:rsidRPr="0070652D">
              <w:t>0.00%</w:t>
            </w:r>
          </w:p>
        </w:tc>
        <w:tc>
          <w:tcPr>
            <w:tcW w:w="987" w:type="pct"/>
          </w:tcPr>
          <w:p w14:paraId="5921F5C0" w14:textId="643636DA" w:rsidR="00F662D0" w:rsidRPr="00CF6457" w:rsidRDefault="00F459C3" w:rsidP="00EC2B1A">
            <w:pPr>
              <w:pStyle w:val="SDMTableBoxParaNotNumbered"/>
            </w:pPr>
            <w:r w:rsidRPr="00B5612F">
              <w:t>1.11%</w:t>
            </w:r>
          </w:p>
        </w:tc>
        <w:tc>
          <w:tcPr>
            <w:tcW w:w="1039" w:type="pct"/>
          </w:tcPr>
          <w:p w14:paraId="06DDB6EC" w14:textId="1C3C3D72" w:rsidR="00F662D0" w:rsidRPr="00CF6457" w:rsidRDefault="003650DC" w:rsidP="00EC2B1A">
            <w:pPr>
              <w:pStyle w:val="SDMTableBoxParaNotNumbered"/>
            </w:pPr>
            <w:r w:rsidRPr="00A644C5">
              <w:t>24.18</w:t>
            </w:r>
            <w:r w:rsidR="009B0137" w:rsidRPr="00A644C5">
              <w:t>%</w:t>
            </w:r>
          </w:p>
        </w:tc>
      </w:tr>
      <w:tr w:rsidR="00F662D0" w:rsidRPr="00EC2B1A" w14:paraId="1F447B59" w14:textId="77777777" w:rsidTr="008F3C9F">
        <w:trPr>
          <w:jc w:val="right"/>
        </w:trPr>
        <w:tc>
          <w:tcPr>
            <w:tcW w:w="1905" w:type="pct"/>
          </w:tcPr>
          <w:p w14:paraId="7B0761D9" w14:textId="77777777" w:rsidR="00F662D0" w:rsidRDefault="00F662D0" w:rsidP="00EC2B1A">
            <w:pPr>
              <w:pStyle w:val="SDMTableBoxParaNotNumbered"/>
            </w:pPr>
            <w:r w:rsidRPr="002243E8">
              <w:t>Ecuador</w:t>
            </w:r>
          </w:p>
        </w:tc>
        <w:tc>
          <w:tcPr>
            <w:tcW w:w="1069" w:type="pct"/>
          </w:tcPr>
          <w:p w14:paraId="6541B2F9" w14:textId="7555AC8A" w:rsidR="00F662D0" w:rsidRPr="00CF6457" w:rsidRDefault="00E752CF" w:rsidP="00EC2B1A">
            <w:pPr>
              <w:pStyle w:val="SDMTableBoxParaNotNumbered"/>
            </w:pPr>
            <w:r w:rsidRPr="0070652D">
              <w:t>0.26%</w:t>
            </w:r>
          </w:p>
        </w:tc>
        <w:tc>
          <w:tcPr>
            <w:tcW w:w="987" w:type="pct"/>
          </w:tcPr>
          <w:p w14:paraId="247BF604" w14:textId="0EE32CEE" w:rsidR="00F662D0" w:rsidRPr="00CF6457" w:rsidRDefault="00F459C3" w:rsidP="00EC2B1A">
            <w:pPr>
              <w:pStyle w:val="SDMTableBoxParaNotNumbered"/>
            </w:pPr>
            <w:r w:rsidRPr="00B5612F">
              <w:t>14.66%</w:t>
            </w:r>
          </w:p>
        </w:tc>
        <w:tc>
          <w:tcPr>
            <w:tcW w:w="1039" w:type="pct"/>
          </w:tcPr>
          <w:p w14:paraId="4299BF16" w14:textId="07EBAAAB" w:rsidR="00F662D0" w:rsidRPr="00CF6457" w:rsidRDefault="003650DC" w:rsidP="00EC2B1A">
            <w:pPr>
              <w:pStyle w:val="SDMTableBoxParaNotNumbered"/>
            </w:pPr>
            <w:r w:rsidRPr="00A644C5">
              <w:t>0.70%</w:t>
            </w:r>
          </w:p>
        </w:tc>
      </w:tr>
      <w:tr w:rsidR="00F662D0" w:rsidRPr="00EC2B1A" w14:paraId="522A031C" w14:textId="77777777" w:rsidTr="008F3C9F">
        <w:trPr>
          <w:jc w:val="right"/>
        </w:trPr>
        <w:tc>
          <w:tcPr>
            <w:tcW w:w="1905" w:type="pct"/>
          </w:tcPr>
          <w:p w14:paraId="213CBC55" w14:textId="77777777" w:rsidR="00F662D0" w:rsidRDefault="00F662D0" w:rsidP="00EC2B1A">
            <w:pPr>
              <w:pStyle w:val="SDMTableBoxParaNotNumbered"/>
            </w:pPr>
            <w:r w:rsidRPr="002243E8">
              <w:t>Egypt</w:t>
            </w:r>
          </w:p>
        </w:tc>
        <w:tc>
          <w:tcPr>
            <w:tcW w:w="1069" w:type="pct"/>
          </w:tcPr>
          <w:p w14:paraId="3211C8CB" w14:textId="72C911E8" w:rsidR="00F662D0" w:rsidRPr="00CF6457" w:rsidRDefault="00E752CF" w:rsidP="00EC2B1A">
            <w:pPr>
              <w:pStyle w:val="SDMTableBoxParaNotNumbered"/>
            </w:pPr>
            <w:r w:rsidRPr="0070652D">
              <w:t>0.07%</w:t>
            </w:r>
          </w:p>
        </w:tc>
        <w:tc>
          <w:tcPr>
            <w:tcW w:w="987" w:type="pct"/>
          </w:tcPr>
          <w:p w14:paraId="6F50EB43" w14:textId="3C3F50DF" w:rsidR="00F662D0" w:rsidRPr="00CF6457" w:rsidRDefault="00F459C3" w:rsidP="00EC2B1A">
            <w:pPr>
              <w:pStyle w:val="SDMTableBoxParaNotNumbered"/>
            </w:pPr>
            <w:r w:rsidRPr="00B5612F">
              <w:t>0.81%</w:t>
            </w:r>
          </w:p>
        </w:tc>
        <w:tc>
          <w:tcPr>
            <w:tcW w:w="1039" w:type="pct"/>
          </w:tcPr>
          <w:p w14:paraId="0E5E492D" w14:textId="32AA433B" w:rsidR="00F662D0" w:rsidRPr="00CF6457" w:rsidRDefault="003650DC" w:rsidP="00EC2B1A">
            <w:pPr>
              <w:pStyle w:val="SDMTableBoxParaNotNumbered"/>
            </w:pPr>
            <w:r w:rsidRPr="00A644C5">
              <w:t>26</w:t>
            </w:r>
            <w:r w:rsidR="009B0137" w:rsidRPr="00A644C5">
              <w:t>.51%</w:t>
            </w:r>
          </w:p>
        </w:tc>
      </w:tr>
      <w:tr w:rsidR="00F662D0" w:rsidRPr="00EC2B1A" w14:paraId="776546FF" w14:textId="77777777" w:rsidTr="008F3C9F">
        <w:trPr>
          <w:jc w:val="right"/>
        </w:trPr>
        <w:tc>
          <w:tcPr>
            <w:tcW w:w="1905" w:type="pct"/>
          </w:tcPr>
          <w:p w14:paraId="30C6391E" w14:textId="77777777" w:rsidR="00F662D0" w:rsidRDefault="00F662D0" w:rsidP="00EC2B1A">
            <w:pPr>
              <w:pStyle w:val="SDMTableBoxParaNotNumbered"/>
            </w:pPr>
            <w:r w:rsidRPr="002243E8">
              <w:t>El Salvador</w:t>
            </w:r>
          </w:p>
        </w:tc>
        <w:tc>
          <w:tcPr>
            <w:tcW w:w="1069" w:type="pct"/>
          </w:tcPr>
          <w:p w14:paraId="3F89F59C" w14:textId="26C0F814" w:rsidR="00F662D0" w:rsidRPr="00CF6457" w:rsidRDefault="00E752CF" w:rsidP="00EC2B1A">
            <w:pPr>
              <w:pStyle w:val="SDMTableBoxParaNotNumbered"/>
            </w:pPr>
            <w:r w:rsidRPr="0070652D">
              <w:t>0.13%</w:t>
            </w:r>
          </w:p>
        </w:tc>
        <w:tc>
          <w:tcPr>
            <w:tcW w:w="987" w:type="pct"/>
          </w:tcPr>
          <w:p w14:paraId="2AA046FA" w14:textId="640E4D82" w:rsidR="00F662D0" w:rsidRPr="00CF6457" w:rsidRDefault="00F459C3" w:rsidP="00EC2B1A">
            <w:pPr>
              <w:pStyle w:val="SDMTableBoxParaNotNumbered"/>
            </w:pPr>
            <w:r w:rsidRPr="00B5612F">
              <w:t>15.70%</w:t>
            </w:r>
          </w:p>
        </w:tc>
        <w:tc>
          <w:tcPr>
            <w:tcW w:w="1039" w:type="pct"/>
          </w:tcPr>
          <w:p w14:paraId="61CFAE79" w14:textId="1F4ADACC" w:rsidR="00F662D0" w:rsidRPr="00CF6457" w:rsidRDefault="003650DC" w:rsidP="00EC2B1A">
            <w:pPr>
              <w:pStyle w:val="SDMTableBoxParaNotNumbered"/>
            </w:pPr>
            <w:r w:rsidRPr="00A644C5">
              <w:t>39.14</w:t>
            </w:r>
            <w:r w:rsidR="009B0137" w:rsidRPr="00A644C5">
              <w:t>%</w:t>
            </w:r>
          </w:p>
        </w:tc>
      </w:tr>
      <w:tr w:rsidR="00F662D0" w:rsidRPr="00EC2B1A" w14:paraId="679D25AA" w14:textId="77777777" w:rsidTr="008F3C9F">
        <w:trPr>
          <w:jc w:val="right"/>
        </w:trPr>
        <w:tc>
          <w:tcPr>
            <w:tcW w:w="1905" w:type="pct"/>
          </w:tcPr>
          <w:p w14:paraId="0361AC30" w14:textId="77777777" w:rsidR="00F662D0" w:rsidRDefault="00F662D0" w:rsidP="00EC2B1A">
            <w:pPr>
              <w:pStyle w:val="SDMTableBoxParaNotNumbered"/>
            </w:pPr>
            <w:r w:rsidRPr="002243E8">
              <w:t>Equatorial Guinea</w:t>
            </w:r>
          </w:p>
        </w:tc>
        <w:tc>
          <w:tcPr>
            <w:tcW w:w="1069" w:type="pct"/>
          </w:tcPr>
          <w:p w14:paraId="5517512D" w14:textId="53F9E869" w:rsidR="00F662D0" w:rsidRPr="00CF6457" w:rsidRDefault="00E752CF" w:rsidP="00EC2B1A">
            <w:pPr>
              <w:pStyle w:val="SDMTableBoxParaNotNumbered"/>
            </w:pPr>
            <w:r w:rsidRPr="0070652D">
              <w:t>0.19%</w:t>
            </w:r>
          </w:p>
        </w:tc>
        <w:tc>
          <w:tcPr>
            <w:tcW w:w="987" w:type="pct"/>
          </w:tcPr>
          <w:p w14:paraId="7A921DD6" w14:textId="13C04D8B" w:rsidR="00F662D0" w:rsidRPr="00CF6457" w:rsidRDefault="00F459C3" w:rsidP="00EC2B1A">
            <w:pPr>
              <w:pStyle w:val="SDMTableBoxParaNotNumbered"/>
            </w:pPr>
            <w:r w:rsidRPr="00B5612F">
              <w:t>0.00%</w:t>
            </w:r>
          </w:p>
        </w:tc>
        <w:tc>
          <w:tcPr>
            <w:tcW w:w="1039" w:type="pct"/>
          </w:tcPr>
          <w:p w14:paraId="528F898F" w14:textId="64799D00" w:rsidR="00F662D0" w:rsidRPr="00CF6457" w:rsidRDefault="003650DC" w:rsidP="00EC2B1A">
            <w:pPr>
              <w:pStyle w:val="SDMTableBoxParaNotNumbered"/>
            </w:pPr>
            <w:r w:rsidRPr="00A644C5">
              <w:t>26.31</w:t>
            </w:r>
            <w:r w:rsidR="009B0137" w:rsidRPr="00A644C5">
              <w:t>%</w:t>
            </w:r>
          </w:p>
        </w:tc>
      </w:tr>
      <w:tr w:rsidR="00F662D0" w:rsidRPr="00EC2B1A" w14:paraId="7F0FE8F2" w14:textId="77777777" w:rsidTr="008F3C9F">
        <w:trPr>
          <w:jc w:val="right"/>
        </w:trPr>
        <w:tc>
          <w:tcPr>
            <w:tcW w:w="1905" w:type="pct"/>
          </w:tcPr>
          <w:p w14:paraId="12BAC81F" w14:textId="77777777" w:rsidR="00F662D0" w:rsidRDefault="00F662D0" w:rsidP="00EC2B1A">
            <w:pPr>
              <w:pStyle w:val="SDMTableBoxParaNotNumbered"/>
            </w:pPr>
            <w:r w:rsidRPr="002243E8">
              <w:t>Eritrea</w:t>
            </w:r>
          </w:p>
        </w:tc>
        <w:tc>
          <w:tcPr>
            <w:tcW w:w="1069" w:type="pct"/>
          </w:tcPr>
          <w:p w14:paraId="229C0D2D" w14:textId="3555F97C" w:rsidR="00F662D0" w:rsidRPr="00CF6457" w:rsidRDefault="00E752CF" w:rsidP="00EC2B1A">
            <w:pPr>
              <w:pStyle w:val="SDMTableBoxParaNotNumbered"/>
            </w:pPr>
            <w:r w:rsidRPr="0070652D">
              <w:t>0.24%</w:t>
            </w:r>
          </w:p>
        </w:tc>
        <w:tc>
          <w:tcPr>
            <w:tcW w:w="987" w:type="pct"/>
          </w:tcPr>
          <w:p w14:paraId="57B24EDD" w14:textId="536B94C1" w:rsidR="00F662D0" w:rsidRPr="00CF6457" w:rsidRDefault="00F459C3" w:rsidP="00EC2B1A">
            <w:pPr>
              <w:pStyle w:val="SDMTableBoxParaNotNumbered"/>
            </w:pPr>
            <w:r w:rsidRPr="00B5612F">
              <w:t>3.00%</w:t>
            </w:r>
          </w:p>
        </w:tc>
        <w:tc>
          <w:tcPr>
            <w:tcW w:w="1039" w:type="pct"/>
          </w:tcPr>
          <w:p w14:paraId="6E88541E" w14:textId="2C04E3A2" w:rsidR="00F662D0" w:rsidRPr="00CF6457" w:rsidRDefault="003650DC" w:rsidP="00EC2B1A">
            <w:pPr>
              <w:pStyle w:val="SDMTableBoxParaNotNumbered"/>
            </w:pPr>
            <w:r w:rsidRPr="00A644C5">
              <w:t>6.15</w:t>
            </w:r>
            <w:r w:rsidR="009B0137" w:rsidRPr="00A644C5">
              <w:t>%</w:t>
            </w:r>
          </w:p>
        </w:tc>
      </w:tr>
      <w:tr w:rsidR="00F662D0" w:rsidRPr="00EC2B1A" w14:paraId="5446B4BE" w14:textId="77777777" w:rsidTr="008F3C9F">
        <w:trPr>
          <w:jc w:val="right"/>
        </w:trPr>
        <w:tc>
          <w:tcPr>
            <w:tcW w:w="1905" w:type="pct"/>
          </w:tcPr>
          <w:p w14:paraId="20689B67" w14:textId="77777777" w:rsidR="00F662D0" w:rsidRDefault="00F662D0" w:rsidP="00EC2B1A">
            <w:pPr>
              <w:pStyle w:val="SDMTableBoxParaNotNumbered"/>
            </w:pPr>
            <w:r w:rsidRPr="002243E8">
              <w:t>Estonia</w:t>
            </w:r>
          </w:p>
        </w:tc>
        <w:tc>
          <w:tcPr>
            <w:tcW w:w="1069" w:type="pct"/>
          </w:tcPr>
          <w:p w14:paraId="681E9243" w14:textId="3E50CEC2" w:rsidR="00F662D0" w:rsidRPr="00CF6457" w:rsidRDefault="00E752CF" w:rsidP="00EC2B1A">
            <w:pPr>
              <w:pStyle w:val="SDMTableBoxParaNotNumbered"/>
            </w:pPr>
            <w:r w:rsidRPr="0070652D">
              <w:t>0.03%</w:t>
            </w:r>
          </w:p>
        </w:tc>
        <w:tc>
          <w:tcPr>
            <w:tcW w:w="987" w:type="pct"/>
          </w:tcPr>
          <w:p w14:paraId="77DDF7FE" w14:textId="61367FFC" w:rsidR="00F662D0" w:rsidRPr="00CF6457" w:rsidRDefault="00F459C3" w:rsidP="00EC2B1A">
            <w:pPr>
              <w:pStyle w:val="SDMTableBoxParaNotNumbered"/>
            </w:pPr>
            <w:r w:rsidRPr="00B5612F">
              <w:t>7.39%</w:t>
            </w:r>
          </w:p>
        </w:tc>
        <w:tc>
          <w:tcPr>
            <w:tcW w:w="1039" w:type="pct"/>
          </w:tcPr>
          <w:p w14:paraId="197FBB72" w14:textId="01220660" w:rsidR="00F662D0" w:rsidRPr="00CF6457" w:rsidRDefault="003650DC" w:rsidP="00EC2B1A">
            <w:pPr>
              <w:pStyle w:val="SDMTableBoxParaNotNumbered"/>
            </w:pPr>
            <w:r w:rsidRPr="00A644C5">
              <w:t>46.17</w:t>
            </w:r>
            <w:r w:rsidR="009B0137" w:rsidRPr="00A644C5">
              <w:t>%</w:t>
            </w:r>
          </w:p>
        </w:tc>
      </w:tr>
      <w:tr w:rsidR="00F662D0" w:rsidRPr="00EC2B1A" w14:paraId="5210A916" w14:textId="77777777" w:rsidTr="008F3C9F">
        <w:trPr>
          <w:jc w:val="right"/>
        </w:trPr>
        <w:tc>
          <w:tcPr>
            <w:tcW w:w="1905" w:type="pct"/>
          </w:tcPr>
          <w:p w14:paraId="3790BCEF" w14:textId="22D338E9" w:rsidR="00F662D0" w:rsidRDefault="00F662D0" w:rsidP="00EC2B1A">
            <w:pPr>
              <w:pStyle w:val="SDMTableBoxParaNotNumbered"/>
            </w:pPr>
            <w:r w:rsidRPr="002243E8">
              <w:t>Eswatini</w:t>
            </w:r>
          </w:p>
        </w:tc>
        <w:tc>
          <w:tcPr>
            <w:tcW w:w="1069" w:type="pct"/>
          </w:tcPr>
          <w:p w14:paraId="46ACE37B" w14:textId="3D18B19B" w:rsidR="00F662D0" w:rsidRPr="00CF6457" w:rsidRDefault="00E752CF" w:rsidP="00EC2B1A">
            <w:pPr>
              <w:pStyle w:val="SDMTableBoxParaNotNumbered"/>
            </w:pPr>
            <w:r w:rsidRPr="0070652D">
              <w:t>0.00%</w:t>
            </w:r>
          </w:p>
        </w:tc>
        <w:tc>
          <w:tcPr>
            <w:tcW w:w="987" w:type="pct"/>
          </w:tcPr>
          <w:p w14:paraId="719FCA89" w14:textId="02D8D884" w:rsidR="00F662D0" w:rsidRPr="00CF6457" w:rsidRDefault="00F459C3" w:rsidP="00EC2B1A">
            <w:pPr>
              <w:pStyle w:val="SDMTableBoxParaNotNumbered"/>
            </w:pPr>
            <w:r w:rsidRPr="00B5612F">
              <w:t>8.60%</w:t>
            </w:r>
          </w:p>
        </w:tc>
        <w:tc>
          <w:tcPr>
            <w:tcW w:w="1039" w:type="pct"/>
          </w:tcPr>
          <w:p w14:paraId="1A29D658" w14:textId="7F67375A" w:rsidR="00F662D0" w:rsidRPr="00CF6457" w:rsidRDefault="000A16B8" w:rsidP="00EC2B1A">
            <w:pPr>
              <w:pStyle w:val="SDMTableBoxParaNotNumbered"/>
            </w:pPr>
            <w:r w:rsidRPr="00A644C5">
              <w:t>Use global value</w:t>
            </w:r>
          </w:p>
        </w:tc>
      </w:tr>
      <w:tr w:rsidR="00F662D0" w:rsidRPr="00EC2B1A" w14:paraId="138BCC01" w14:textId="77777777" w:rsidTr="008F3C9F">
        <w:trPr>
          <w:jc w:val="right"/>
        </w:trPr>
        <w:tc>
          <w:tcPr>
            <w:tcW w:w="1905" w:type="pct"/>
          </w:tcPr>
          <w:p w14:paraId="643396E5" w14:textId="77777777" w:rsidR="00F662D0" w:rsidRDefault="00F662D0" w:rsidP="00EC2B1A">
            <w:pPr>
              <w:pStyle w:val="SDMTableBoxParaNotNumbered"/>
            </w:pPr>
            <w:r w:rsidRPr="002243E8">
              <w:t>Ethiopia</w:t>
            </w:r>
          </w:p>
        </w:tc>
        <w:tc>
          <w:tcPr>
            <w:tcW w:w="1069" w:type="pct"/>
          </w:tcPr>
          <w:p w14:paraId="2A30AA3B" w14:textId="77626BEF" w:rsidR="00F662D0" w:rsidRPr="00CF6457" w:rsidRDefault="00E752CF" w:rsidP="00EC2B1A">
            <w:pPr>
              <w:pStyle w:val="SDMTableBoxParaNotNumbered"/>
            </w:pPr>
            <w:r w:rsidRPr="0070652D">
              <w:t>Use global value</w:t>
            </w:r>
          </w:p>
        </w:tc>
        <w:tc>
          <w:tcPr>
            <w:tcW w:w="987" w:type="pct"/>
          </w:tcPr>
          <w:p w14:paraId="27FF6783" w14:textId="53F6FDFE" w:rsidR="00F662D0" w:rsidRPr="00CF6457" w:rsidRDefault="00F459C3" w:rsidP="00EC2B1A">
            <w:pPr>
              <w:pStyle w:val="SDMTableBoxParaNotNumbered"/>
            </w:pPr>
            <w:r w:rsidRPr="00B5612F">
              <w:t>0.65%</w:t>
            </w:r>
          </w:p>
        </w:tc>
        <w:tc>
          <w:tcPr>
            <w:tcW w:w="1039" w:type="pct"/>
          </w:tcPr>
          <w:p w14:paraId="0C32CA69" w14:textId="247FDF76" w:rsidR="00F662D0" w:rsidRPr="00CF6457" w:rsidRDefault="003650DC" w:rsidP="00EC2B1A">
            <w:pPr>
              <w:pStyle w:val="SDMTableBoxParaNotNumbered"/>
            </w:pPr>
            <w:r w:rsidRPr="00A644C5">
              <w:t>40.02</w:t>
            </w:r>
            <w:r w:rsidR="009B0137" w:rsidRPr="00A644C5">
              <w:t>%</w:t>
            </w:r>
          </w:p>
        </w:tc>
      </w:tr>
      <w:tr w:rsidR="00F662D0" w:rsidRPr="00EC2B1A" w14:paraId="795055A7" w14:textId="77777777" w:rsidTr="008F3C9F">
        <w:trPr>
          <w:jc w:val="right"/>
        </w:trPr>
        <w:tc>
          <w:tcPr>
            <w:tcW w:w="1905" w:type="pct"/>
          </w:tcPr>
          <w:p w14:paraId="691008E9" w14:textId="77777777" w:rsidR="00F662D0" w:rsidRDefault="00F662D0" w:rsidP="00EC2B1A">
            <w:pPr>
              <w:pStyle w:val="SDMTableBoxParaNotNumbered"/>
            </w:pPr>
            <w:r w:rsidRPr="002243E8">
              <w:t>Fiji</w:t>
            </w:r>
          </w:p>
        </w:tc>
        <w:tc>
          <w:tcPr>
            <w:tcW w:w="1069" w:type="pct"/>
          </w:tcPr>
          <w:p w14:paraId="2732C86F" w14:textId="3C43AE48" w:rsidR="00F662D0" w:rsidRPr="00CF6457" w:rsidRDefault="00E752CF" w:rsidP="00EC2B1A">
            <w:pPr>
              <w:pStyle w:val="SDMTableBoxParaNotNumbered"/>
            </w:pPr>
            <w:r w:rsidRPr="0070652D">
              <w:t>0.38%</w:t>
            </w:r>
          </w:p>
        </w:tc>
        <w:tc>
          <w:tcPr>
            <w:tcW w:w="987" w:type="pct"/>
          </w:tcPr>
          <w:p w14:paraId="6240127A" w14:textId="085291A4" w:rsidR="00F662D0" w:rsidRPr="00CF6457" w:rsidRDefault="00F459C3" w:rsidP="00EC2B1A">
            <w:pPr>
              <w:pStyle w:val="SDMTableBoxParaNotNumbered"/>
            </w:pPr>
            <w:r w:rsidRPr="00B5612F">
              <w:t>5.69%</w:t>
            </w:r>
          </w:p>
        </w:tc>
        <w:tc>
          <w:tcPr>
            <w:tcW w:w="1039" w:type="pct"/>
          </w:tcPr>
          <w:p w14:paraId="4F11CF73" w14:textId="098D07DC" w:rsidR="00F662D0" w:rsidRPr="00CF6457" w:rsidRDefault="003650DC" w:rsidP="00EC2B1A">
            <w:pPr>
              <w:pStyle w:val="SDMTableBoxParaNotNumbered"/>
            </w:pPr>
            <w:r w:rsidRPr="00A644C5">
              <w:t>85.04</w:t>
            </w:r>
            <w:r w:rsidR="009B0137" w:rsidRPr="00A644C5">
              <w:t>%</w:t>
            </w:r>
          </w:p>
        </w:tc>
      </w:tr>
      <w:tr w:rsidR="00F662D0" w:rsidRPr="00EC2B1A" w14:paraId="50E8B113" w14:textId="77777777" w:rsidTr="008F3C9F">
        <w:trPr>
          <w:jc w:val="right"/>
        </w:trPr>
        <w:tc>
          <w:tcPr>
            <w:tcW w:w="1905" w:type="pct"/>
          </w:tcPr>
          <w:p w14:paraId="19F2D092" w14:textId="77777777" w:rsidR="00F662D0" w:rsidRDefault="00F662D0" w:rsidP="00EC2B1A">
            <w:pPr>
              <w:pStyle w:val="SDMTableBoxParaNotNumbered"/>
            </w:pPr>
            <w:r w:rsidRPr="002243E8">
              <w:t>Finland</w:t>
            </w:r>
          </w:p>
        </w:tc>
        <w:tc>
          <w:tcPr>
            <w:tcW w:w="1069" w:type="pct"/>
          </w:tcPr>
          <w:p w14:paraId="13382FE8" w14:textId="0B81E1CB" w:rsidR="00F662D0" w:rsidRPr="00CF6457" w:rsidRDefault="00E752CF" w:rsidP="00EC2B1A">
            <w:pPr>
              <w:pStyle w:val="SDMTableBoxParaNotNumbered"/>
            </w:pPr>
            <w:r w:rsidRPr="0070652D">
              <w:t>1.55%</w:t>
            </w:r>
          </w:p>
        </w:tc>
        <w:tc>
          <w:tcPr>
            <w:tcW w:w="987" w:type="pct"/>
          </w:tcPr>
          <w:p w14:paraId="6D9299F7" w14:textId="62A9E8F6" w:rsidR="00F662D0" w:rsidRPr="00CF6457" w:rsidRDefault="00F459C3" w:rsidP="00EC2B1A">
            <w:pPr>
              <w:pStyle w:val="SDMTableBoxParaNotNumbered"/>
            </w:pPr>
            <w:r w:rsidRPr="00B5612F">
              <w:t>13.35%</w:t>
            </w:r>
          </w:p>
        </w:tc>
        <w:tc>
          <w:tcPr>
            <w:tcW w:w="1039" w:type="pct"/>
          </w:tcPr>
          <w:p w14:paraId="2C298BE6" w14:textId="1BB8192C" w:rsidR="00F662D0" w:rsidRPr="00CF6457" w:rsidRDefault="003650DC" w:rsidP="00EC2B1A">
            <w:pPr>
              <w:pStyle w:val="SDMTableBoxParaNotNumbered"/>
            </w:pPr>
            <w:r w:rsidRPr="00A644C5">
              <w:t>31.36</w:t>
            </w:r>
            <w:r w:rsidR="009B0137" w:rsidRPr="00A644C5">
              <w:t>%</w:t>
            </w:r>
          </w:p>
        </w:tc>
      </w:tr>
      <w:tr w:rsidR="00F662D0" w:rsidRPr="00EC2B1A" w14:paraId="509BCF9E" w14:textId="77777777" w:rsidTr="008F3C9F">
        <w:trPr>
          <w:jc w:val="right"/>
        </w:trPr>
        <w:tc>
          <w:tcPr>
            <w:tcW w:w="1905" w:type="pct"/>
          </w:tcPr>
          <w:p w14:paraId="09DDFA6D" w14:textId="77777777" w:rsidR="00F662D0" w:rsidRDefault="00F662D0" w:rsidP="00EC2B1A">
            <w:pPr>
              <w:pStyle w:val="SDMTableBoxParaNotNumbered"/>
            </w:pPr>
            <w:r w:rsidRPr="002243E8">
              <w:t>France</w:t>
            </w:r>
          </w:p>
        </w:tc>
        <w:tc>
          <w:tcPr>
            <w:tcW w:w="1069" w:type="pct"/>
          </w:tcPr>
          <w:p w14:paraId="23DCD6E1" w14:textId="10BFCFDD" w:rsidR="00F662D0" w:rsidRPr="00CF6457" w:rsidRDefault="00E752CF" w:rsidP="00EC2B1A">
            <w:pPr>
              <w:pStyle w:val="SDMTableBoxParaNotNumbered"/>
            </w:pPr>
            <w:r w:rsidRPr="0070652D">
              <w:t>3.51%</w:t>
            </w:r>
          </w:p>
        </w:tc>
        <w:tc>
          <w:tcPr>
            <w:tcW w:w="987" w:type="pct"/>
          </w:tcPr>
          <w:p w14:paraId="6A2C40D0" w14:textId="2B5B21E6" w:rsidR="00F662D0" w:rsidRPr="00CF6457" w:rsidRDefault="00F459C3" w:rsidP="00EC2B1A">
            <w:pPr>
              <w:pStyle w:val="SDMTableBoxParaNotNumbered"/>
            </w:pPr>
            <w:r w:rsidRPr="00B5612F">
              <w:t>7.06%</w:t>
            </w:r>
          </w:p>
        </w:tc>
        <w:tc>
          <w:tcPr>
            <w:tcW w:w="1039" w:type="pct"/>
          </w:tcPr>
          <w:p w14:paraId="3EBF6BEA" w14:textId="27BB8412" w:rsidR="00F662D0" w:rsidRPr="00CF6457" w:rsidRDefault="003650DC" w:rsidP="00EC2B1A">
            <w:pPr>
              <w:pStyle w:val="SDMTableBoxParaNotNumbered"/>
            </w:pPr>
            <w:r w:rsidRPr="00A644C5">
              <w:t>32.86</w:t>
            </w:r>
            <w:r w:rsidR="009B0137" w:rsidRPr="00A644C5">
              <w:t>%</w:t>
            </w:r>
          </w:p>
        </w:tc>
      </w:tr>
      <w:tr w:rsidR="00F662D0" w:rsidRPr="00EC2B1A" w14:paraId="4898E665" w14:textId="77777777" w:rsidTr="008F3C9F">
        <w:trPr>
          <w:jc w:val="right"/>
        </w:trPr>
        <w:tc>
          <w:tcPr>
            <w:tcW w:w="1905" w:type="pct"/>
          </w:tcPr>
          <w:p w14:paraId="47713F16" w14:textId="77777777" w:rsidR="00F662D0" w:rsidRDefault="00F662D0" w:rsidP="00EC2B1A">
            <w:pPr>
              <w:pStyle w:val="SDMTableBoxParaNotNumbered"/>
            </w:pPr>
            <w:r w:rsidRPr="002243E8">
              <w:t>Gabon</w:t>
            </w:r>
          </w:p>
        </w:tc>
        <w:tc>
          <w:tcPr>
            <w:tcW w:w="1069" w:type="pct"/>
          </w:tcPr>
          <w:p w14:paraId="5E8DF98B" w14:textId="1CC45F42" w:rsidR="00F662D0" w:rsidRPr="00CF6457" w:rsidRDefault="00E752CF" w:rsidP="00EC2B1A">
            <w:pPr>
              <w:pStyle w:val="SDMTableBoxParaNotNumbered"/>
            </w:pPr>
            <w:r w:rsidRPr="0070652D">
              <w:t>0.79%</w:t>
            </w:r>
          </w:p>
        </w:tc>
        <w:tc>
          <w:tcPr>
            <w:tcW w:w="987" w:type="pct"/>
          </w:tcPr>
          <w:p w14:paraId="07AB3F70" w14:textId="1209AD85" w:rsidR="00F662D0" w:rsidRPr="00CF6457" w:rsidRDefault="00F459C3" w:rsidP="00EC2B1A">
            <w:pPr>
              <w:pStyle w:val="SDMTableBoxParaNotNumbered"/>
            </w:pPr>
            <w:r w:rsidRPr="00B5612F">
              <w:t>3.86%</w:t>
            </w:r>
          </w:p>
        </w:tc>
        <w:tc>
          <w:tcPr>
            <w:tcW w:w="1039" w:type="pct"/>
          </w:tcPr>
          <w:p w14:paraId="4FAD5B6B" w14:textId="5C466D4B" w:rsidR="00F662D0" w:rsidRPr="00CF6457" w:rsidRDefault="000A16B8" w:rsidP="00EC2B1A">
            <w:pPr>
              <w:pStyle w:val="SDMTableBoxParaNotNumbered"/>
            </w:pPr>
            <w:r w:rsidRPr="00A644C5">
              <w:t>Use global value</w:t>
            </w:r>
          </w:p>
        </w:tc>
      </w:tr>
      <w:tr w:rsidR="00F662D0" w:rsidRPr="00EC2B1A" w14:paraId="2FD7EBA0" w14:textId="77777777" w:rsidTr="008F3C9F">
        <w:trPr>
          <w:jc w:val="right"/>
        </w:trPr>
        <w:tc>
          <w:tcPr>
            <w:tcW w:w="1905" w:type="pct"/>
          </w:tcPr>
          <w:p w14:paraId="2CCB9852" w14:textId="7F840C79" w:rsidR="00F662D0" w:rsidRDefault="00F662D0" w:rsidP="00EC2B1A">
            <w:pPr>
              <w:pStyle w:val="SDMTableBoxParaNotNumbered"/>
            </w:pPr>
            <w:r w:rsidRPr="002243E8">
              <w:t>Gambia</w:t>
            </w:r>
          </w:p>
        </w:tc>
        <w:tc>
          <w:tcPr>
            <w:tcW w:w="1069" w:type="pct"/>
          </w:tcPr>
          <w:p w14:paraId="199F3D49" w14:textId="3487386D" w:rsidR="00F662D0" w:rsidRPr="00CF6457" w:rsidRDefault="00E752CF" w:rsidP="00EC2B1A">
            <w:pPr>
              <w:pStyle w:val="SDMTableBoxParaNotNumbered"/>
            </w:pPr>
            <w:r w:rsidRPr="0070652D">
              <w:t>0.09%</w:t>
            </w:r>
          </w:p>
        </w:tc>
        <w:tc>
          <w:tcPr>
            <w:tcW w:w="987" w:type="pct"/>
          </w:tcPr>
          <w:p w14:paraId="0CFED58A" w14:textId="18527FE4" w:rsidR="00F662D0" w:rsidRPr="00CF6457" w:rsidRDefault="00F459C3" w:rsidP="00EC2B1A">
            <w:pPr>
              <w:pStyle w:val="SDMTableBoxParaNotNumbered"/>
            </w:pPr>
            <w:r w:rsidRPr="00B5612F">
              <w:t>0.09%</w:t>
            </w:r>
          </w:p>
        </w:tc>
        <w:tc>
          <w:tcPr>
            <w:tcW w:w="1039" w:type="pct"/>
          </w:tcPr>
          <w:p w14:paraId="2752D591" w14:textId="52DEFAA4" w:rsidR="00F662D0" w:rsidRPr="00CF6457" w:rsidRDefault="000A16B8" w:rsidP="00EC2B1A">
            <w:pPr>
              <w:pStyle w:val="SDMTableBoxParaNotNumbered"/>
            </w:pPr>
            <w:r w:rsidRPr="00A644C5">
              <w:t>Use global value</w:t>
            </w:r>
          </w:p>
        </w:tc>
      </w:tr>
      <w:tr w:rsidR="00F662D0" w:rsidRPr="00EC2B1A" w14:paraId="4F94B08F" w14:textId="77777777" w:rsidTr="008F3C9F">
        <w:trPr>
          <w:jc w:val="right"/>
        </w:trPr>
        <w:tc>
          <w:tcPr>
            <w:tcW w:w="1905" w:type="pct"/>
          </w:tcPr>
          <w:p w14:paraId="09772BB3" w14:textId="77777777" w:rsidR="00F662D0" w:rsidRDefault="00F662D0" w:rsidP="00EC2B1A">
            <w:pPr>
              <w:pStyle w:val="SDMTableBoxParaNotNumbered"/>
            </w:pPr>
            <w:r w:rsidRPr="002243E8">
              <w:t>Georgia</w:t>
            </w:r>
          </w:p>
        </w:tc>
        <w:tc>
          <w:tcPr>
            <w:tcW w:w="1069" w:type="pct"/>
          </w:tcPr>
          <w:p w14:paraId="3BD42BF3" w14:textId="428C7215" w:rsidR="00F662D0" w:rsidRPr="00CF6457" w:rsidRDefault="00E752CF" w:rsidP="00EC2B1A">
            <w:pPr>
              <w:pStyle w:val="SDMTableBoxParaNotNumbered"/>
            </w:pPr>
            <w:r w:rsidRPr="0070652D">
              <w:t>0.10%</w:t>
            </w:r>
          </w:p>
        </w:tc>
        <w:tc>
          <w:tcPr>
            <w:tcW w:w="987" w:type="pct"/>
          </w:tcPr>
          <w:p w14:paraId="55A6CC69" w14:textId="300106A0" w:rsidR="00F662D0" w:rsidRPr="00CF6457" w:rsidRDefault="00F459C3" w:rsidP="00EC2B1A">
            <w:pPr>
              <w:pStyle w:val="SDMTableBoxParaNotNumbered"/>
            </w:pPr>
            <w:r w:rsidRPr="00B5612F">
              <w:t>1.56%</w:t>
            </w:r>
          </w:p>
        </w:tc>
        <w:tc>
          <w:tcPr>
            <w:tcW w:w="1039" w:type="pct"/>
          </w:tcPr>
          <w:p w14:paraId="7AFCCEC1" w14:textId="3A5CCAFE" w:rsidR="00F662D0" w:rsidRPr="00CF6457" w:rsidRDefault="003650DC" w:rsidP="00EC2B1A">
            <w:pPr>
              <w:pStyle w:val="SDMTableBoxParaNotNumbered"/>
            </w:pPr>
            <w:r w:rsidRPr="00A644C5">
              <w:t>80.63%</w:t>
            </w:r>
          </w:p>
        </w:tc>
      </w:tr>
      <w:tr w:rsidR="00F662D0" w:rsidRPr="00EC2B1A" w14:paraId="736B13E7" w14:textId="77777777" w:rsidTr="008F3C9F">
        <w:trPr>
          <w:jc w:val="right"/>
        </w:trPr>
        <w:tc>
          <w:tcPr>
            <w:tcW w:w="1905" w:type="pct"/>
          </w:tcPr>
          <w:p w14:paraId="16462DE7" w14:textId="77777777" w:rsidR="00F662D0" w:rsidRDefault="00F662D0" w:rsidP="00EC2B1A">
            <w:pPr>
              <w:pStyle w:val="SDMTableBoxParaNotNumbered"/>
            </w:pPr>
            <w:r w:rsidRPr="002243E8">
              <w:t>Germany</w:t>
            </w:r>
          </w:p>
        </w:tc>
        <w:tc>
          <w:tcPr>
            <w:tcW w:w="1069" w:type="pct"/>
          </w:tcPr>
          <w:p w14:paraId="1D5BA321" w14:textId="21016A38" w:rsidR="00F662D0" w:rsidRPr="00CF6457" w:rsidRDefault="00E752CF" w:rsidP="00EC2B1A">
            <w:pPr>
              <w:pStyle w:val="SDMTableBoxParaNotNumbered"/>
            </w:pPr>
            <w:r w:rsidRPr="0070652D">
              <w:t>2.03%</w:t>
            </w:r>
          </w:p>
        </w:tc>
        <w:tc>
          <w:tcPr>
            <w:tcW w:w="987" w:type="pct"/>
          </w:tcPr>
          <w:p w14:paraId="5F8DE2E8" w14:textId="3267F5D4" w:rsidR="00F662D0" w:rsidRPr="00CF6457" w:rsidRDefault="00F459C3" w:rsidP="00EC2B1A">
            <w:pPr>
              <w:pStyle w:val="SDMTableBoxParaNotNumbered"/>
            </w:pPr>
            <w:r w:rsidRPr="00B5612F">
              <w:t>5.21%</w:t>
            </w:r>
          </w:p>
        </w:tc>
        <w:tc>
          <w:tcPr>
            <w:tcW w:w="1039" w:type="pct"/>
          </w:tcPr>
          <w:p w14:paraId="6146C7C7" w14:textId="16347B9B" w:rsidR="00F662D0" w:rsidRPr="00CF6457" w:rsidRDefault="003650DC" w:rsidP="00EC2B1A">
            <w:pPr>
              <w:pStyle w:val="SDMTableBoxParaNotNumbered"/>
            </w:pPr>
            <w:r w:rsidRPr="00A644C5">
              <w:t>42.54</w:t>
            </w:r>
            <w:r w:rsidR="009B0137" w:rsidRPr="00A644C5">
              <w:t>%</w:t>
            </w:r>
          </w:p>
        </w:tc>
      </w:tr>
      <w:tr w:rsidR="00F662D0" w:rsidRPr="00EC2B1A" w14:paraId="6E3F1DD9" w14:textId="77777777" w:rsidTr="008F3C9F">
        <w:trPr>
          <w:jc w:val="right"/>
        </w:trPr>
        <w:tc>
          <w:tcPr>
            <w:tcW w:w="1905" w:type="pct"/>
          </w:tcPr>
          <w:p w14:paraId="6DE7735C" w14:textId="77777777" w:rsidR="00F662D0" w:rsidRDefault="00F662D0" w:rsidP="00EC2B1A">
            <w:pPr>
              <w:pStyle w:val="SDMTableBoxParaNotNumbered"/>
            </w:pPr>
            <w:r w:rsidRPr="002243E8">
              <w:t>Ghana</w:t>
            </w:r>
          </w:p>
        </w:tc>
        <w:tc>
          <w:tcPr>
            <w:tcW w:w="1069" w:type="pct"/>
          </w:tcPr>
          <w:p w14:paraId="634186BB" w14:textId="4E54B0F9" w:rsidR="00F662D0" w:rsidRPr="00CF6457" w:rsidRDefault="00E752CF" w:rsidP="00EC2B1A">
            <w:pPr>
              <w:pStyle w:val="SDMTableBoxParaNotNumbered"/>
            </w:pPr>
            <w:r w:rsidRPr="0070652D">
              <w:t>0.09%</w:t>
            </w:r>
          </w:p>
        </w:tc>
        <w:tc>
          <w:tcPr>
            <w:tcW w:w="987" w:type="pct"/>
          </w:tcPr>
          <w:p w14:paraId="63DAACF1" w14:textId="594E875A" w:rsidR="00F662D0" w:rsidRPr="00CF6457" w:rsidRDefault="00F459C3" w:rsidP="00EC2B1A">
            <w:pPr>
              <w:pStyle w:val="SDMTableBoxParaNotNumbered"/>
            </w:pPr>
            <w:r w:rsidRPr="00B5612F">
              <w:t>0.00%</w:t>
            </w:r>
          </w:p>
        </w:tc>
        <w:tc>
          <w:tcPr>
            <w:tcW w:w="1039" w:type="pct"/>
          </w:tcPr>
          <w:p w14:paraId="572980CD" w14:textId="407210CB" w:rsidR="00F662D0" w:rsidRPr="00CF6457" w:rsidRDefault="003650DC" w:rsidP="00EC2B1A">
            <w:pPr>
              <w:pStyle w:val="SDMTableBoxParaNotNumbered"/>
            </w:pPr>
            <w:r w:rsidRPr="00A644C5">
              <w:t>31.35</w:t>
            </w:r>
            <w:r w:rsidR="009B0137" w:rsidRPr="00A644C5">
              <w:t>%</w:t>
            </w:r>
          </w:p>
        </w:tc>
      </w:tr>
      <w:tr w:rsidR="00F662D0" w:rsidRPr="00EC2B1A" w14:paraId="73D6FC3E" w14:textId="77777777" w:rsidTr="008F3C9F">
        <w:trPr>
          <w:jc w:val="right"/>
        </w:trPr>
        <w:tc>
          <w:tcPr>
            <w:tcW w:w="1905" w:type="pct"/>
          </w:tcPr>
          <w:p w14:paraId="7CE869D7" w14:textId="77777777" w:rsidR="00F662D0" w:rsidRDefault="00F662D0" w:rsidP="00EC2B1A">
            <w:pPr>
              <w:pStyle w:val="SDMTableBoxParaNotNumbered"/>
            </w:pPr>
            <w:r w:rsidRPr="002243E8">
              <w:t>Greece</w:t>
            </w:r>
          </w:p>
        </w:tc>
        <w:tc>
          <w:tcPr>
            <w:tcW w:w="1069" w:type="pct"/>
          </w:tcPr>
          <w:p w14:paraId="7B31641F" w14:textId="447D2CF9" w:rsidR="00F662D0" w:rsidRPr="00CF6457" w:rsidRDefault="00E752CF" w:rsidP="00EC2B1A">
            <w:pPr>
              <w:pStyle w:val="SDMTableBoxParaNotNumbered"/>
            </w:pPr>
            <w:r w:rsidRPr="0070652D">
              <w:t>4.38%</w:t>
            </w:r>
          </w:p>
        </w:tc>
        <w:tc>
          <w:tcPr>
            <w:tcW w:w="987" w:type="pct"/>
          </w:tcPr>
          <w:p w14:paraId="30DB05C1" w14:textId="30087C94" w:rsidR="00F662D0" w:rsidRPr="00CF6457" w:rsidRDefault="00F459C3" w:rsidP="00EC2B1A">
            <w:pPr>
              <w:pStyle w:val="SDMTableBoxParaNotNumbered"/>
            </w:pPr>
            <w:r w:rsidRPr="00B5612F">
              <w:t>8.58%</w:t>
            </w:r>
          </w:p>
        </w:tc>
        <w:tc>
          <w:tcPr>
            <w:tcW w:w="1039" w:type="pct"/>
          </w:tcPr>
          <w:p w14:paraId="5D7886C4" w14:textId="627C389A" w:rsidR="00F662D0" w:rsidRPr="00CF6457" w:rsidRDefault="003650DC" w:rsidP="00EC2B1A">
            <w:pPr>
              <w:pStyle w:val="SDMTableBoxParaNotNumbered"/>
            </w:pPr>
            <w:r w:rsidRPr="00A644C5">
              <w:t>58.90</w:t>
            </w:r>
            <w:r w:rsidR="009B0137" w:rsidRPr="00A644C5">
              <w:t>%</w:t>
            </w:r>
          </w:p>
        </w:tc>
      </w:tr>
      <w:tr w:rsidR="00F662D0" w:rsidRPr="00EC2B1A" w14:paraId="56BFC9E2" w14:textId="77777777" w:rsidTr="008F3C9F">
        <w:trPr>
          <w:jc w:val="right"/>
        </w:trPr>
        <w:tc>
          <w:tcPr>
            <w:tcW w:w="1905" w:type="pct"/>
          </w:tcPr>
          <w:p w14:paraId="7AD0CB66" w14:textId="77777777" w:rsidR="00F662D0" w:rsidRDefault="00F662D0" w:rsidP="00EC2B1A">
            <w:pPr>
              <w:pStyle w:val="SDMTableBoxParaNotNumbered"/>
            </w:pPr>
            <w:r w:rsidRPr="002243E8">
              <w:t>Grenada</w:t>
            </w:r>
          </w:p>
        </w:tc>
        <w:tc>
          <w:tcPr>
            <w:tcW w:w="1069" w:type="pct"/>
          </w:tcPr>
          <w:p w14:paraId="3717F274" w14:textId="70AD5629" w:rsidR="00F662D0" w:rsidRPr="00CF6457" w:rsidRDefault="00E752CF" w:rsidP="00EC2B1A">
            <w:pPr>
              <w:pStyle w:val="SDMTableBoxParaNotNumbered"/>
            </w:pPr>
            <w:r w:rsidRPr="0070652D">
              <w:t>0.84%</w:t>
            </w:r>
          </w:p>
        </w:tc>
        <w:tc>
          <w:tcPr>
            <w:tcW w:w="987" w:type="pct"/>
          </w:tcPr>
          <w:p w14:paraId="2CBD2349" w14:textId="2542D3D5" w:rsidR="00F662D0" w:rsidRPr="00CF6457" w:rsidRDefault="00F459C3" w:rsidP="00EC2B1A">
            <w:pPr>
              <w:pStyle w:val="SDMTableBoxParaNotNumbered"/>
            </w:pPr>
            <w:r w:rsidRPr="00B5612F">
              <w:t>0.84%</w:t>
            </w:r>
          </w:p>
        </w:tc>
        <w:tc>
          <w:tcPr>
            <w:tcW w:w="1039" w:type="pct"/>
          </w:tcPr>
          <w:p w14:paraId="6EFF6482" w14:textId="2A21CB4D" w:rsidR="00F662D0" w:rsidRPr="00CF6457" w:rsidRDefault="000A16B8" w:rsidP="00EC2B1A">
            <w:pPr>
              <w:pStyle w:val="SDMTableBoxParaNotNumbered"/>
            </w:pPr>
            <w:r w:rsidRPr="00A644C5">
              <w:t>Use global value</w:t>
            </w:r>
          </w:p>
        </w:tc>
      </w:tr>
      <w:tr w:rsidR="00F662D0" w:rsidRPr="00EC2B1A" w14:paraId="2058AAB3" w14:textId="77777777" w:rsidTr="008F3C9F">
        <w:trPr>
          <w:jc w:val="right"/>
        </w:trPr>
        <w:tc>
          <w:tcPr>
            <w:tcW w:w="1905" w:type="pct"/>
          </w:tcPr>
          <w:p w14:paraId="1C6EF017" w14:textId="77777777" w:rsidR="00F662D0" w:rsidRDefault="00F662D0" w:rsidP="00EC2B1A">
            <w:pPr>
              <w:pStyle w:val="SDMTableBoxParaNotNumbered"/>
            </w:pPr>
            <w:r w:rsidRPr="002243E8">
              <w:t>Guatemala</w:t>
            </w:r>
          </w:p>
        </w:tc>
        <w:tc>
          <w:tcPr>
            <w:tcW w:w="1069" w:type="pct"/>
          </w:tcPr>
          <w:p w14:paraId="66FD5980" w14:textId="074732BF" w:rsidR="00F662D0" w:rsidRPr="00CF6457" w:rsidRDefault="00E752CF" w:rsidP="00EC2B1A">
            <w:pPr>
              <w:pStyle w:val="SDMTableBoxParaNotNumbered"/>
            </w:pPr>
            <w:r w:rsidRPr="0070652D">
              <w:t>1.24%</w:t>
            </w:r>
          </w:p>
        </w:tc>
        <w:tc>
          <w:tcPr>
            <w:tcW w:w="987" w:type="pct"/>
          </w:tcPr>
          <w:p w14:paraId="205F77B7" w14:textId="1031FD85" w:rsidR="00F662D0" w:rsidRPr="00CF6457" w:rsidRDefault="00F459C3" w:rsidP="00EC2B1A">
            <w:pPr>
              <w:pStyle w:val="SDMTableBoxParaNotNumbered"/>
            </w:pPr>
            <w:r w:rsidRPr="00B5612F">
              <w:t>9.54%</w:t>
            </w:r>
          </w:p>
        </w:tc>
        <w:tc>
          <w:tcPr>
            <w:tcW w:w="1039" w:type="pct"/>
          </w:tcPr>
          <w:p w14:paraId="098076C2" w14:textId="7AD0C641" w:rsidR="00F662D0" w:rsidRPr="00CF6457" w:rsidRDefault="003650DC" w:rsidP="00EC2B1A">
            <w:pPr>
              <w:pStyle w:val="SDMTableBoxParaNotNumbered"/>
            </w:pPr>
            <w:r w:rsidRPr="00A644C5">
              <w:t>65.14</w:t>
            </w:r>
            <w:r w:rsidR="009B0137" w:rsidRPr="00A644C5">
              <w:t>%</w:t>
            </w:r>
          </w:p>
        </w:tc>
      </w:tr>
      <w:tr w:rsidR="00F662D0" w:rsidRPr="00EC2B1A" w14:paraId="3F9E738D" w14:textId="77777777" w:rsidTr="008F3C9F">
        <w:trPr>
          <w:jc w:val="right"/>
        </w:trPr>
        <w:tc>
          <w:tcPr>
            <w:tcW w:w="1905" w:type="pct"/>
          </w:tcPr>
          <w:p w14:paraId="04994DAD" w14:textId="77777777" w:rsidR="00F662D0" w:rsidRDefault="00F662D0" w:rsidP="00EC2B1A">
            <w:pPr>
              <w:pStyle w:val="SDMTableBoxParaNotNumbered"/>
            </w:pPr>
            <w:r w:rsidRPr="002243E8">
              <w:t>Guinea</w:t>
            </w:r>
          </w:p>
        </w:tc>
        <w:tc>
          <w:tcPr>
            <w:tcW w:w="1069" w:type="pct"/>
          </w:tcPr>
          <w:p w14:paraId="0845A59E" w14:textId="51727AEA" w:rsidR="00F662D0" w:rsidRPr="00CF6457" w:rsidRDefault="00E752CF" w:rsidP="00EC2B1A">
            <w:pPr>
              <w:pStyle w:val="SDMTableBoxParaNotNumbered"/>
            </w:pPr>
            <w:r w:rsidRPr="0070652D">
              <w:t>0.34%</w:t>
            </w:r>
          </w:p>
        </w:tc>
        <w:tc>
          <w:tcPr>
            <w:tcW w:w="987" w:type="pct"/>
          </w:tcPr>
          <w:p w14:paraId="72EF419D" w14:textId="68D78D43" w:rsidR="00F662D0" w:rsidRPr="00CF6457" w:rsidRDefault="00F459C3" w:rsidP="00EC2B1A">
            <w:pPr>
              <w:pStyle w:val="SDMTableBoxParaNotNumbered"/>
            </w:pPr>
            <w:r w:rsidRPr="00B5612F">
              <w:t>7.90%</w:t>
            </w:r>
          </w:p>
        </w:tc>
        <w:tc>
          <w:tcPr>
            <w:tcW w:w="1039" w:type="pct"/>
          </w:tcPr>
          <w:p w14:paraId="5FB50C1C" w14:textId="1AD2F70E" w:rsidR="00F662D0" w:rsidRPr="00CF6457" w:rsidRDefault="003650DC" w:rsidP="00EC2B1A">
            <w:pPr>
              <w:pStyle w:val="SDMTableBoxParaNotNumbered"/>
            </w:pPr>
            <w:r w:rsidRPr="00A644C5">
              <w:t>86.34</w:t>
            </w:r>
            <w:r w:rsidR="009B0137" w:rsidRPr="00A644C5">
              <w:t>%</w:t>
            </w:r>
          </w:p>
        </w:tc>
      </w:tr>
      <w:tr w:rsidR="00F662D0" w:rsidRPr="00EC2B1A" w14:paraId="19F2B360" w14:textId="77777777" w:rsidTr="008F3C9F">
        <w:trPr>
          <w:jc w:val="right"/>
        </w:trPr>
        <w:tc>
          <w:tcPr>
            <w:tcW w:w="1905" w:type="pct"/>
          </w:tcPr>
          <w:p w14:paraId="3CC3B8D9" w14:textId="77777777" w:rsidR="00F662D0" w:rsidRDefault="00F662D0" w:rsidP="00EC2B1A">
            <w:pPr>
              <w:pStyle w:val="SDMTableBoxParaNotNumbered"/>
            </w:pPr>
            <w:r w:rsidRPr="002243E8">
              <w:t>Guinea-Bissau</w:t>
            </w:r>
          </w:p>
        </w:tc>
        <w:tc>
          <w:tcPr>
            <w:tcW w:w="1069" w:type="pct"/>
          </w:tcPr>
          <w:p w14:paraId="3B972164" w14:textId="2FE23F52" w:rsidR="00F662D0" w:rsidRPr="00CF6457" w:rsidRDefault="00E752CF" w:rsidP="00EC2B1A">
            <w:pPr>
              <w:pStyle w:val="SDMTableBoxParaNotNumbered"/>
            </w:pPr>
            <w:r w:rsidRPr="0070652D">
              <w:t>1.74%</w:t>
            </w:r>
          </w:p>
        </w:tc>
        <w:tc>
          <w:tcPr>
            <w:tcW w:w="987" w:type="pct"/>
          </w:tcPr>
          <w:p w14:paraId="2FE8DAE3" w14:textId="30533B27" w:rsidR="00F662D0" w:rsidRPr="00CF6457" w:rsidRDefault="00F459C3" w:rsidP="00EC2B1A">
            <w:pPr>
              <w:pStyle w:val="SDMTableBoxParaNotNumbered"/>
            </w:pPr>
            <w:r w:rsidRPr="00B5612F">
              <w:t>1.74%</w:t>
            </w:r>
          </w:p>
        </w:tc>
        <w:tc>
          <w:tcPr>
            <w:tcW w:w="1039" w:type="pct"/>
          </w:tcPr>
          <w:p w14:paraId="1321FCFA" w14:textId="3C0882A1" w:rsidR="00F662D0" w:rsidRPr="00CF6457" w:rsidRDefault="000A16B8" w:rsidP="00EC2B1A">
            <w:pPr>
              <w:pStyle w:val="SDMTableBoxParaNotNumbered"/>
            </w:pPr>
            <w:r w:rsidRPr="00A644C5">
              <w:t>Use global value</w:t>
            </w:r>
          </w:p>
        </w:tc>
      </w:tr>
      <w:tr w:rsidR="00F662D0" w:rsidRPr="00EC2B1A" w14:paraId="4D025803" w14:textId="77777777" w:rsidTr="008F3C9F">
        <w:trPr>
          <w:jc w:val="right"/>
        </w:trPr>
        <w:tc>
          <w:tcPr>
            <w:tcW w:w="1905" w:type="pct"/>
          </w:tcPr>
          <w:p w14:paraId="0ED83854" w14:textId="77777777" w:rsidR="00F662D0" w:rsidRDefault="00F662D0" w:rsidP="00EC2B1A">
            <w:pPr>
              <w:pStyle w:val="SDMTableBoxParaNotNumbered"/>
            </w:pPr>
            <w:r w:rsidRPr="002243E8">
              <w:t>Guyana</w:t>
            </w:r>
          </w:p>
        </w:tc>
        <w:tc>
          <w:tcPr>
            <w:tcW w:w="1069" w:type="pct"/>
          </w:tcPr>
          <w:p w14:paraId="17F5A8D0" w14:textId="15A3FE3D" w:rsidR="00F662D0" w:rsidRPr="00CF6457" w:rsidRDefault="00E752CF" w:rsidP="00EC2B1A">
            <w:pPr>
              <w:pStyle w:val="SDMTableBoxParaNotNumbered"/>
            </w:pPr>
            <w:r w:rsidRPr="0070652D">
              <w:t>0.11%</w:t>
            </w:r>
          </w:p>
        </w:tc>
        <w:tc>
          <w:tcPr>
            <w:tcW w:w="987" w:type="pct"/>
          </w:tcPr>
          <w:p w14:paraId="4659F32D" w14:textId="04110BA8" w:rsidR="00F662D0" w:rsidRPr="00CF6457" w:rsidRDefault="00F459C3" w:rsidP="00EC2B1A">
            <w:pPr>
              <w:pStyle w:val="SDMTableBoxParaNotNumbered"/>
            </w:pPr>
            <w:r w:rsidRPr="00B5612F">
              <w:t>0.47%</w:t>
            </w:r>
          </w:p>
        </w:tc>
        <w:tc>
          <w:tcPr>
            <w:tcW w:w="1039" w:type="pct"/>
          </w:tcPr>
          <w:p w14:paraId="03D2E75C" w14:textId="5DAB27EB" w:rsidR="00F662D0" w:rsidRPr="00CF6457" w:rsidRDefault="009B0137" w:rsidP="00EC2B1A">
            <w:pPr>
              <w:pStyle w:val="SDMTableBoxParaNotNumbered"/>
            </w:pPr>
            <w:r w:rsidRPr="00A644C5">
              <w:t>0.</w:t>
            </w:r>
            <w:r w:rsidR="003650DC" w:rsidRPr="00A644C5">
              <w:t>61</w:t>
            </w:r>
            <w:r w:rsidRPr="00A644C5">
              <w:t>%</w:t>
            </w:r>
          </w:p>
        </w:tc>
      </w:tr>
      <w:tr w:rsidR="00F662D0" w:rsidRPr="00EC2B1A" w14:paraId="6ACE0EA8" w14:textId="77777777" w:rsidTr="008F3C9F">
        <w:trPr>
          <w:jc w:val="right"/>
        </w:trPr>
        <w:tc>
          <w:tcPr>
            <w:tcW w:w="1905" w:type="pct"/>
          </w:tcPr>
          <w:p w14:paraId="6DF74FA4" w14:textId="77777777" w:rsidR="00F662D0" w:rsidRDefault="00F662D0" w:rsidP="00EC2B1A">
            <w:pPr>
              <w:pStyle w:val="SDMTableBoxParaNotNumbered"/>
            </w:pPr>
            <w:r w:rsidRPr="002243E8">
              <w:t>Haiti</w:t>
            </w:r>
          </w:p>
        </w:tc>
        <w:tc>
          <w:tcPr>
            <w:tcW w:w="1069" w:type="pct"/>
          </w:tcPr>
          <w:p w14:paraId="43B73DA4" w14:textId="4F5D2EA5" w:rsidR="00F662D0" w:rsidRPr="00CF6457" w:rsidRDefault="00E752CF" w:rsidP="00EC2B1A">
            <w:pPr>
              <w:pStyle w:val="SDMTableBoxParaNotNumbered"/>
            </w:pPr>
            <w:r w:rsidRPr="0070652D">
              <w:t>0.25%</w:t>
            </w:r>
          </w:p>
        </w:tc>
        <w:tc>
          <w:tcPr>
            <w:tcW w:w="987" w:type="pct"/>
          </w:tcPr>
          <w:p w14:paraId="67C4882E" w14:textId="1CF8E042" w:rsidR="00F662D0" w:rsidRPr="00CF6457" w:rsidRDefault="00F459C3" w:rsidP="00EC2B1A">
            <w:pPr>
              <w:pStyle w:val="SDMTableBoxParaNotNumbered"/>
            </w:pPr>
            <w:r w:rsidRPr="00B5612F">
              <w:t>2.57%</w:t>
            </w:r>
          </w:p>
        </w:tc>
        <w:tc>
          <w:tcPr>
            <w:tcW w:w="1039" w:type="pct"/>
          </w:tcPr>
          <w:p w14:paraId="79A9311D" w14:textId="08D09675" w:rsidR="00F662D0" w:rsidRPr="00CF6457" w:rsidRDefault="000A16B8" w:rsidP="00EC2B1A">
            <w:pPr>
              <w:pStyle w:val="SDMTableBoxParaNotNumbered"/>
            </w:pPr>
            <w:r w:rsidRPr="00A644C5">
              <w:t>Use global value</w:t>
            </w:r>
          </w:p>
        </w:tc>
      </w:tr>
      <w:tr w:rsidR="00F662D0" w:rsidRPr="00EC2B1A" w14:paraId="228CC342" w14:textId="77777777" w:rsidTr="008F3C9F">
        <w:trPr>
          <w:jc w:val="right"/>
        </w:trPr>
        <w:tc>
          <w:tcPr>
            <w:tcW w:w="1905" w:type="pct"/>
          </w:tcPr>
          <w:p w14:paraId="7E153D3C" w14:textId="77777777" w:rsidR="00F662D0" w:rsidRDefault="00F662D0" w:rsidP="00EC2B1A">
            <w:pPr>
              <w:pStyle w:val="SDMTableBoxParaNotNumbered"/>
            </w:pPr>
            <w:r w:rsidRPr="002243E8">
              <w:t>Honduras</w:t>
            </w:r>
          </w:p>
        </w:tc>
        <w:tc>
          <w:tcPr>
            <w:tcW w:w="1069" w:type="pct"/>
          </w:tcPr>
          <w:p w14:paraId="0FDB30E5" w14:textId="44D34A88" w:rsidR="00F662D0" w:rsidRPr="00CF6457" w:rsidRDefault="00E752CF" w:rsidP="00EC2B1A">
            <w:pPr>
              <w:pStyle w:val="SDMTableBoxParaNotNumbered"/>
            </w:pPr>
            <w:r w:rsidRPr="0070652D">
              <w:t>0.13%</w:t>
            </w:r>
          </w:p>
        </w:tc>
        <w:tc>
          <w:tcPr>
            <w:tcW w:w="987" w:type="pct"/>
          </w:tcPr>
          <w:p w14:paraId="66EF6BAC" w14:textId="12C00E9C" w:rsidR="00F662D0" w:rsidRPr="00CF6457" w:rsidRDefault="00F459C3" w:rsidP="00EC2B1A">
            <w:pPr>
              <w:pStyle w:val="SDMTableBoxParaNotNumbered"/>
            </w:pPr>
            <w:r w:rsidRPr="00B5612F">
              <w:t>5.64%</w:t>
            </w:r>
          </w:p>
        </w:tc>
        <w:tc>
          <w:tcPr>
            <w:tcW w:w="1039" w:type="pct"/>
          </w:tcPr>
          <w:p w14:paraId="0A02A551" w14:textId="45F5298C" w:rsidR="00F662D0" w:rsidRPr="00CF6457" w:rsidRDefault="003650DC" w:rsidP="00EC2B1A">
            <w:pPr>
              <w:pStyle w:val="SDMTableBoxParaNotNumbered"/>
            </w:pPr>
            <w:r w:rsidRPr="00A644C5">
              <w:t>30.31</w:t>
            </w:r>
            <w:r w:rsidR="009B0137" w:rsidRPr="00A644C5">
              <w:t>%</w:t>
            </w:r>
          </w:p>
        </w:tc>
      </w:tr>
      <w:tr w:rsidR="00F662D0" w:rsidRPr="00EC2B1A" w14:paraId="7DD9FF33" w14:textId="77777777" w:rsidTr="008F3C9F">
        <w:trPr>
          <w:jc w:val="right"/>
        </w:trPr>
        <w:tc>
          <w:tcPr>
            <w:tcW w:w="1905" w:type="pct"/>
          </w:tcPr>
          <w:p w14:paraId="0DFAB43B" w14:textId="77777777" w:rsidR="00F662D0" w:rsidRDefault="00F662D0" w:rsidP="00EC2B1A">
            <w:pPr>
              <w:pStyle w:val="SDMTableBoxParaNotNumbered"/>
            </w:pPr>
            <w:r w:rsidRPr="002243E8">
              <w:t>Hungary</w:t>
            </w:r>
          </w:p>
        </w:tc>
        <w:tc>
          <w:tcPr>
            <w:tcW w:w="1069" w:type="pct"/>
          </w:tcPr>
          <w:p w14:paraId="65E0FB1F" w14:textId="202A45D0" w:rsidR="00F662D0" w:rsidRPr="00CF6457" w:rsidRDefault="00E752CF" w:rsidP="00EC2B1A">
            <w:pPr>
              <w:pStyle w:val="SDMTableBoxParaNotNumbered"/>
            </w:pPr>
            <w:r w:rsidRPr="0070652D">
              <w:t>3.68%</w:t>
            </w:r>
          </w:p>
        </w:tc>
        <w:tc>
          <w:tcPr>
            <w:tcW w:w="987" w:type="pct"/>
          </w:tcPr>
          <w:p w14:paraId="030EBD3E" w14:textId="46C84B2B" w:rsidR="00F662D0" w:rsidRPr="00CF6457" w:rsidRDefault="00F459C3" w:rsidP="00EC2B1A">
            <w:pPr>
              <w:pStyle w:val="SDMTableBoxParaNotNumbered"/>
            </w:pPr>
            <w:r w:rsidRPr="00B5612F">
              <w:t>6.68%</w:t>
            </w:r>
          </w:p>
        </w:tc>
        <w:tc>
          <w:tcPr>
            <w:tcW w:w="1039" w:type="pct"/>
          </w:tcPr>
          <w:p w14:paraId="677E92FE" w14:textId="7EAAF690" w:rsidR="00F662D0" w:rsidRPr="00CF6457" w:rsidRDefault="003650DC" w:rsidP="00EC2B1A">
            <w:pPr>
              <w:pStyle w:val="SDMTableBoxParaNotNumbered"/>
            </w:pPr>
            <w:r w:rsidRPr="00A644C5">
              <w:t>42.18</w:t>
            </w:r>
            <w:r w:rsidR="009B0137" w:rsidRPr="00A644C5">
              <w:t>%</w:t>
            </w:r>
          </w:p>
        </w:tc>
      </w:tr>
      <w:tr w:rsidR="00F662D0" w:rsidRPr="00EC2B1A" w14:paraId="096B847E" w14:textId="77777777" w:rsidTr="008F3C9F">
        <w:trPr>
          <w:jc w:val="right"/>
        </w:trPr>
        <w:tc>
          <w:tcPr>
            <w:tcW w:w="1905" w:type="pct"/>
          </w:tcPr>
          <w:p w14:paraId="2F205212" w14:textId="77777777" w:rsidR="00F662D0" w:rsidRDefault="00F662D0" w:rsidP="00EC2B1A">
            <w:pPr>
              <w:pStyle w:val="SDMTableBoxParaNotNumbered"/>
            </w:pPr>
            <w:r w:rsidRPr="002243E8">
              <w:t>Iceland</w:t>
            </w:r>
          </w:p>
        </w:tc>
        <w:tc>
          <w:tcPr>
            <w:tcW w:w="1069" w:type="pct"/>
          </w:tcPr>
          <w:p w14:paraId="05F950D6" w14:textId="10C50E9D" w:rsidR="00F662D0" w:rsidRPr="00CF6457" w:rsidRDefault="00E752CF" w:rsidP="00EC2B1A">
            <w:pPr>
              <w:pStyle w:val="SDMTableBoxParaNotNumbered"/>
            </w:pPr>
            <w:r w:rsidRPr="0070652D">
              <w:t>Use global value</w:t>
            </w:r>
          </w:p>
        </w:tc>
        <w:tc>
          <w:tcPr>
            <w:tcW w:w="987" w:type="pct"/>
          </w:tcPr>
          <w:p w14:paraId="489EE27B" w14:textId="0CF87FAD" w:rsidR="00F662D0" w:rsidRPr="00CF6457" w:rsidRDefault="00F459C3" w:rsidP="00EC2B1A">
            <w:pPr>
              <w:pStyle w:val="SDMTableBoxParaNotNumbered"/>
            </w:pPr>
            <w:r w:rsidRPr="00B5612F">
              <w:t>0.03%</w:t>
            </w:r>
          </w:p>
        </w:tc>
        <w:tc>
          <w:tcPr>
            <w:tcW w:w="1039" w:type="pct"/>
          </w:tcPr>
          <w:p w14:paraId="12636021" w14:textId="4FC0956B" w:rsidR="00F662D0" w:rsidRPr="00CF6457" w:rsidRDefault="003650DC" w:rsidP="00EC2B1A">
            <w:pPr>
              <w:pStyle w:val="SDMTableBoxParaNotNumbered"/>
            </w:pPr>
            <w:r w:rsidRPr="00A644C5">
              <w:t>7.38%</w:t>
            </w:r>
          </w:p>
        </w:tc>
      </w:tr>
      <w:tr w:rsidR="00F662D0" w:rsidRPr="00EC2B1A" w14:paraId="4C9A828A" w14:textId="77777777" w:rsidTr="008F3C9F">
        <w:trPr>
          <w:jc w:val="right"/>
        </w:trPr>
        <w:tc>
          <w:tcPr>
            <w:tcW w:w="1905" w:type="pct"/>
          </w:tcPr>
          <w:p w14:paraId="7CC69995" w14:textId="77777777" w:rsidR="00F662D0" w:rsidRDefault="00F662D0" w:rsidP="00EC2B1A">
            <w:pPr>
              <w:pStyle w:val="SDMTableBoxParaNotNumbered"/>
            </w:pPr>
            <w:r w:rsidRPr="002243E8">
              <w:t>India</w:t>
            </w:r>
          </w:p>
        </w:tc>
        <w:tc>
          <w:tcPr>
            <w:tcW w:w="1069" w:type="pct"/>
          </w:tcPr>
          <w:p w14:paraId="69FED1BA" w14:textId="72CE4C89" w:rsidR="00F662D0" w:rsidRPr="00CF6457" w:rsidRDefault="00E752CF" w:rsidP="00EC2B1A">
            <w:pPr>
              <w:pStyle w:val="SDMTableBoxParaNotNumbered"/>
            </w:pPr>
            <w:r w:rsidRPr="0070652D">
              <w:t>0.06%</w:t>
            </w:r>
          </w:p>
        </w:tc>
        <w:tc>
          <w:tcPr>
            <w:tcW w:w="987" w:type="pct"/>
          </w:tcPr>
          <w:p w14:paraId="6FC0BC49" w14:textId="3446B52A" w:rsidR="00F662D0" w:rsidRPr="00CF6457" w:rsidRDefault="00F459C3" w:rsidP="00EC2B1A">
            <w:pPr>
              <w:pStyle w:val="SDMTableBoxParaNotNumbered"/>
            </w:pPr>
            <w:r w:rsidRPr="00B5612F">
              <w:t>1.05%</w:t>
            </w:r>
          </w:p>
        </w:tc>
        <w:tc>
          <w:tcPr>
            <w:tcW w:w="1039" w:type="pct"/>
          </w:tcPr>
          <w:p w14:paraId="5004360D" w14:textId="37E09257" w:rsidR="00F662D0" w:rsidRPr="00CF6457" w:rsidRDefault="003650DC" w:rsidP="00EC2B1A">
            <w:pPr>
              <w:pStyle w:val="SDMTableBoxParaNotNumbered"/>
            </w:pPr>
            <w:r w:rsidRPr="00A644C5">
              <w:t>15.70</w:t>
            </w:r>
            <w:r w:rsidR="009B0137" w:rsidRPr="00A644C5">
              <w:t>%</w:t>
            </w:r>
          </w:p>
        </w:tc>
      </w:tr>
      <w:tr w:rsidR="00F662D0" w:rsidRPr="00EC2B1A" w14:paraId="2C45FE61" w14:textId="77777777" w:rsidTr="008F3C9F">
        <w:trPr>
          <w:jc w:val="right"/>
        </w:trPr>
        <w:tc>
          <w:tcPr>
            <w:tcW w:w="1905" w:type="pct"/>
          </w:tcPr>
          <w:p w14:paraId="5E8EBE99" w14:textId="77777777" w:rsidR="00F662D0" w:rsidRDefault="00F662D0" w:rsidP="00EC2B1A">
            <w:pPr>
              <w:pStyle w:val="SDMTableBoxParaNotNumbered"/>
            </w:pPr>
            <w:r w:rsidRPr="002243E8">
              <w:t>Indonesia</w:t>
            </w:r>
          </w:p>
        </w:tc>
        <w:tc>
          <w:tcPr>
            <w:tcW w:w="1069" w:type="pct"/>
          </w:tcPr>
          <w:p w14:paraId="2532E4F3" w14:textId="6F5B2A1D" w:rsidR="00F662D0" w:rsidRPr="00CF6457" w:rsidRDefault="00E752CF" w:rsidP="00EC2B1A">
            <w:pPr>
              <w:pStyle w:val="SDMTableBoxParaNotNumbered"/>
            </w:pPr>
            <w:r w:rsidRPr="0070652D">
              <w:t>0.00%</w:t>
            </w:r>
          </w:p>
        </w:tc>
        <w:tc>
          <w:tcPr>
            <w:tcW w:w="987" w:type="pct"/>
          </w:tcPr>
          <w:p w14:paraId="2C86114D" w14:textId="17A0D145" w:rsidR="00F662D0" w:rsidRPr="00CF6457" w:rsidRDefault="00F459C3" w:rsidP="00EC2B1A">
            <w:pPr>
              <w:pStyle w:val="SDMTableBoxParaNotNumbered"/>
            </w:pPr>
            <w:r w:rsidRPr="00B5612F">
              <w:t>0.36%</w:t>
            </w:r>
          </w:p>
        </w:tc>
        <w:tc>
          <w:tcPr>
            <w:tcW w:w="1039" w:type="pct"/>
          </w:tcPr>
          <w:p w14:paraId="2E527457" w14:textId="609F6AC3" w:rsidR="00F662D0" w:rsidRPr="00CF6457" w:rsidRDefault="003650DC" w:rsidP="00EC2B1A">
            <w:pPr>
              <w:pStyle w:val="SDMTableBoxParaNotNumbered"/>
            </w:pPr>
            <w:r w:rsidRPr="00A644C5">
              <w:t>3.30</w:t>
            </w:r>
            <w:r w:rsidR="009B0137" w:rsidRPr="00A644C5">
              <w:t>%</w:t>
            </w:r>
          </w:p>
        </w:tc>
      </w:tr>
      <w:tr w:rsidR="00F662D0" w:rsidRPr="00EC2B1A" w14:paraId="10D1D1BD" w14:textId="77777777" w:rsidTr="008F3C9F">
        <w:trPr>
          <w:jc w:val="right"/>
        </w:trPr>
        <w:tc>
          <w:tcPr>
            <w:tcW w:w="1905" w:type="pct"/>
          </w:tcPr>
          <w:p w14:paraId="143CA1BD" w14:textId="77777777" w:rsidR="00F662D0" w:rsidRDefault="00F662D0" w:rsidP="00EC2B1A">
            <w:pPr>
              <w:pStyle w:val="SDMTableBoxParaNotNumbered"/>
            </w:pPr>
            <w:r w:rsidRPr="002243E8">
              <w:t>Iran (Islamic Republic of)</w:t>
            </w:r>
          </w:p>
        </w:tc>
        <w:tc>
          <w:tcPr>
            <w:tcW w:w="1069" w:type="pct"/>
          </w:tcPr>
          <w:p w14:paraId="7515829C" w14:textId="176B8E9A" w:rsidR="00F662D0" w:rsidRPr="00CF6457" w:rsidRDefault="00E752CF" w:rsidP="00EC2B1A">
            <w:pPr>
              <w:pStyle w:val="SDMTableBoxParaNotNumbered"/>
            </w:pPr>
            <w:r w:rsidRPr="0070652D">
              <w:t>0.00%</w:t>
            </w:r>
          </w:p>
        </w:tc>
        <w:tc>
          <w:tcPr>
            <w:tcW w:w="987" w:type="pct"/>
          </w:tcPr>
          <w:p w14:paraId="5540884A" w14:textId="0F8902B6" w:rsidR="00F662D0" w:rsidRPr="00CF6457" w:rsidRDefault="00F459C3" w:rsidP="00EC2B1A">
            <w:pPr>
              <w:pStyle w:val="SDMTableBoxParaNotNumbered"/>
            </w:pPr>
            <w:r w:rsidRPr="00B5612F">
              <w:t>0.25%</w:t>
            </w:r>
          </w:p>
        </w:tc>
        <w:tc>
          <w:tcPr>
            <w:tcW w:w="1039" w:type="pct"/>
          </w:tcPr>
          <w:p w14:paraId="27B97532" w14:textId="5F0B8BEA" w:rsidR="00F662D0" w:rsidRPr="00CF6457" w:rsidRDefault="009B0137" w:rsidP="00EC2B1A">
            <w:pPr>
              <w:pStyle w:val="SDMTableBoxParaNotNumbered"/>
            </w:pPr>
            <w:r w:rsidRPr="00A644C5">
              <w:t>0.</w:t>
            </w:r>
            <w:r w:rsidR="003650DC" w:rsidRPr="00A644C5">
              <w:t>84</w:t>
            </w:r>
            <w:r w:rsidRPr="00A644C5">
              <w:t>%</w:t>
            </w:r>
          </w:p>
        </w:tc>
      </w:tr>
      <w:tr w:rsidR="00F662D0" w:rsidRPr="00EC2B1A" w14:paraId="5BED3D01" w14:textId="77777777" w:rsidTr="008F3C9F">
        <w:trPr>
          <w:jc w:val="right"/>
        </w:trPr>
        <w:tc>
          <w:tcPr>
            <w:tcW w:w="1905" w:type="pct"/>
          </w:tcPr>
          <w:p w14:paraId="5C67F994" w14:textId="77777777" w:rsidR="00F662D0" w:rsidRDefault="00F662D0" w:rsidP="00EC2B1A">
            <w:pPr>
              <w:pStyle w:val="SDMTableBoxParaNotNumbered"/>
            </w:pPr>
            <w:r w:rsidRPr="002243E8">
              <w:t>Iraq</w:t>
            </w:r>
          </w:p>
        </w:tc>
        <w:tc>
          <w:tcPr>
            <w:tcW w:w="1069" w:type="pct"/>
          </w:tcPr>
          <w:p w14:paraId="1BDE8C44" w14:textId="144A6B5C" w:rsidR="00F662D0" w:rsidRPr="00CF6457" w:rsidRDefault="00E752CF" w:rsidP="00EC2B1A">
            <w:pPr>
              <w:pStyle w:val="SDMTableBoxParaNotNumbered"/>
            </w:pPr>
            <w:r w:rsidRPr="0070652D">
              <w:t>0.00%</w:t>
            </w:r>
          </w:p>
        </w:tc>
        <w:tc>
          <w:tcPr>
            <w:tcW w:w="987" w:type="pct"/>
          </w:tcPr>
          <w:p w14:paraId="43B7DCF4" w14:textId="1639ADE7" w:rsidR="00F662D0" w:rsidRPr="00CF6457" w:rsidRDefault="00F459C3" w:rsidP="00EC2B1A">
            <w:pPr>
              <w:pStyle w:val="SDMTableBoxParaNotNumbered"/>
            </w:pPr>
            <w:r w:rsidRPr="00B5612F">
              <w:t>0.00%</w:t>
            </w:r>
          </w:p>
        </w:tc>
        <w:tc>
          <w:tcPr>
            <w:tcW w:w="1039" w:type="pct"/>
          </w:tcPr>
          <w:p w14:paraId="7FA444B8" w14:textId="7293406A" w:rsidR="00F662D0" w:rsidRPr="00CF6457" w:rsidRDefault="003650DC" w:rsidP="00EC2B1A">
            <w:pPr>
              <w:pStyle w:val="SDMTableBoxParaNotNumbered"/>
            </w:pPr>
            <w:r w:rsidRPr="00A644C5">
              <w:t>1.00</w:t>
            </w:r>
            <w:r w:rsidR="009B0137" w:rsidRPr="00A644C5">
              <w:t>%</w:t>
            </w:r>
          </w:p>
        </w:tc>
      </w:tr>
      <w:tr w:rsidR="00F662D0" w:rsidRPr="00EC2B1A" w14:paraId="2F755D05" w14:textId="77777777" w:rsidTr="008F3C9F">
        <w:trPr>
          <w:jc w:val="right"/>
        </w:trPr>
        <w:tc>
          <w:tcPr>
            <w:tcW w:w="1905" w:type="pct"/>
          </w:tcPr>
          <w:p w14:paraId="374A3A70" w14:textId="77777777" w:rsidR="00F662D0" w:rsidRDefault="00F662D0" w:rsidP="00EC2B1A">
            <w:pPr>
              <w:pStyle w:val="SDMTableBoxParaNotNumbered"/>
            </w:pPr>
            <w:r w:rsidRPr="002243E8">
              <w:t>Ireland</w:t>
            </w:r>
          </w:p>
        </w:tc>
        <w:tc>
          <w:tcPr>
            <w:tcW w:w="1069" w:type="pct"/>
          </w:tcPr>
          <w:p w14:paraId="35B0A3D2" w14:textId="060571DB" w:rsidR="00F662D0" w:rsidRPr="00CF6457" w:rsidRDefault="00E752CF" w:rsidP="00EC2B1A">
            <w:pPr>
              <w:pStyle w:val="SDMTableBoxParaNotNumbered"/>
            </w:pPr>
            <w:r w:rsidRPr="0070652D">
              <w:t>2.98%</w:t>
            </w:r>
          </w:p>
        </w:tc>
        <w:tc>
          <w:tcPr>
            <w:tcW w:w="987" w:type="pct"/>
          </w:tcPr>
          <w:p w14:paraId="54896D8E" w14:textId="3DD129B8" w:rsidR="00F662D0" w:rsidRPr="00CF6457" w:rsidRDefault="00F459C3" w:rsidP="00EC2B1A">
            <w:pPr>
              <w:pStyle w:val="SDMTableBoxParaNotNumbered"/>
            </w:pPr>
            <w:r w:rsidRPr="00B5612F">
              <w:t>6.51%</w:t>
            </w:r>
          </w:p>
        </w:tc>
        <w:tc>
          <w:tcPr>
            <w:tcW w:w="1039" w:type="pct"/>
          </w:tcPr>
          <w:p w14:paraId="373CB841" w14:textId="2A76ED36" w:rsidR="00F662D0" w:rsidRPr="00CF6457" w:rsidRDefault="003650DC" w:rsidP="00EC2B1A">
            <w:pPr>
              <w:pStyle w:val="SDMTableBoxParaNotNumbered"/>
            </w:pPr>
            <w:r w:rsidRPr="00A644C5">
              <w:t>74.88</w:t>
            </w:r>
            <w:r w:rsidR="009B0137" w:rsidRPr="00A644C5">
              <w:t>%</w:t>
            </w:r>
          </w:p>
        </w:tc>
      </w:tr>
      <w:tr w:rsidR="00F662D0" w:rsidRPr="00EC2B1A" w14:paraId="2D81086A" w14:textId="77777777" w:rsidTr="008F3C9F">
        <w:trPr>
          <w:jc w:val="right"/>
        </w:trPr>
        <w:tc>
          <w:tcPr>
            <w:tcW w:w="1905" w:type="pct"/>
          </w:tcPr>
          <w:p w14:paraId="447E66A0" w14:textId="77777777" w:rsidR="00F662D0" w:rsidRDefault="00F662D0" w:rsidP="00EC2B1A">
            <w:pPr>
              <w:pStyle w:val="SDMTableBoxParaNotNumbered"/>
            </w:pPr>
            <w:r w:rsidRPr="002243E8">
              <w:t>Israel</w:t>
            </w:r>
          </w:p>
        </w:tc>
        <w:tc>
          <w:tcPr>
            <w:tcW w:w="1069" w:type="pct"/>
          </w:tcPr>
          <w:p w14:paraId="4033F1D9" w14:textId="19ED9256" w:rsidR="00F662D0" w:rsidRPr="00CF6457" w:rsidRDefault="00E752CF" w:rsidP="00EC2B1A">
            <w:pPr>
              <w:pStyle w:val="SDMTableBoxParaNotNumbered"/>
            </w:pPr>
            <w:r w:rsidRPr="0070652D">
              <w:t>1.66%</w:t>
            </w:r>
          </w:p>
        </w:tc>
        <w:tc>
          <w:tcPr>
            <w:tcW w:w="987" w:type="pct"/>
          </w:tcPr>
          <w:p w14:paraId="23D1F6FD" w14:textId="1C3A5788" w:rsidR="00F662D0" w:rsidRPr="00CF6457" w:rsidRDefault="00F459C3" w:rsidP="00EC2B1A">
            <w:pPr>
              <w:pStyle w:val="SDMTableBoxParaNotNumbered"/>
            </w:pPr>
            <w:r w:rsidRPr="00B5612F">
              <w:t>2.62%</w:t>
            </w:r>
          </w:p>
        </w:tc>
        <w:tc>
          <w:tcPr>
            <w:tcW w:w="1039" w:type="pct"/>
          </w:tcPr>
          <w:p w14:paraId="48FD03A1" w14:textId="00D6CA59" w:rsidR="00F662D0" w:rsidRPr="00CF6457" w:rsidRDefault="003650DC" w:rsidP="00EC2B1A">
            <w:pPr>
              <w:pStyle w:val="SDMTableBoxParaNotNumbered"/>
            </w:pPr>
            <w:r w:rsidRPr="00A644C5">
              <w:t>23.42</w:t>
            </w:r>
            <w:r w:rsidR="009B0137" w:rsidRPr="00A644C5">
              <w:t>%</w:t>
            </w:r>
          </w:p>
        </w:tc>
      </w:tr>
      <w:tr w:rsidR="00F662D0" w:rsidRPr="00EC2B1A" w14:paraId="3A2195E8" w14:textId="77777777" w:rsidTr="008F3C9F">
        <w:trPr>
          <w:jc w:val="right"/>
        </w:trPr>
        <w:tc>
          <w:tcPr>
            <w:tcW w:w="1905" w:type="pct"/>
          </w:tcPr>
          <w:p w14:paraId="4A2C8494" w14:textId="77777777" w:rsidR="00F662D0" w:rsidRDefault="00F662D0" w:rsidP="00EC2B1A">
            <w:pPr>
              <w:pStyle w:val="SDMTableBoxParaNotNumbered"/>
            </w:pPr>
            <w:r w:rsidRPr="002243E8">
              <w:t>Italy</w:t>
            </w:r>
          </w:p>
        </w:tc>
        <w:tc>
          <w:tcPr>
            <w:tcW w:w="1069" w:type="pct"/>
          </w:tcPr>
          <w:p w14:paraId="28E6F2D7" w14:textId="4A13B46C" w:rsidR="00F662D0" w:rsidRPr="00CF6457" w:rsidRDefault="00E752CF" w:rsidP="00EC2B1A">
            <w:pPr>
              <w:pStyle w:val="SDMTableBoxParaNotNumbered"/>
            </w:pPr>
            <w:r w:rsidRPr="0070652D">
              <w:t>2.20%</w:t>
            </w:r>
          </w:p>
        </w:tc>
        <w:tc>
          <w:tcPr>
            <w:tcW w:w="987" w:type="pct"/>
          </w:tcPr>
          <w:p w14:paraId="3EFEEA1D" w14:textId="053CAE2A" w:rsidR="00F662D0" w:rsidRPr="00CF6457" w:rsidRDefault="00F459C3" w:rsidP="00EC2B1A">
            <w:pPr>
              <w:pStyle w:val="SDMTableBoxParaNotNumbered"/>
            </w:pPr>
            <w:r w:rsidRPr="00B5612F">
              <w:t>4.42%</w:t>
            </w:r>
          </w:p>
        </w:tc>
        <w:tc>
          <w:tcPr>
            <w:tcW w:w="1039" w:type="pct"/>
          </w:tcPr>
          <w:p w14:paraId="5468235D" w14:textId="44AEFF80" w:rsidR="00F662D0" w:rsidRPr="00CF6457" w:rsidRDefault="003650DC" w:rsidP="00EC2B1A">
            <w:pPr>
              <w:pStyle w:val="SDMTableBoxParaNotNumbered"/>
            </w:pPr>
            <w:r w:rsidRPr="00A644C5">
              <w:t>9.43%</w:t>
            </w:r>
          </w:p>
        </w:tc>
      </w:tr>
      <w:tr w:rsidR="00F662D0" w:rsidRPr="00EC2B1A" w14:paraId="2707C290" w14:textId="77777777" w:rsidTr="008F3C9F">
        <w:trPr>
          <w:jc w:val="right"/>
        </w:trPr>
        <w:tc>
          <w:tcPr>
            <w:tcW w:w="1905" w:type="pct"/>
          </w:tcPr>
          <w:p w14:paraId="3580A712" w14:textId="77777777" w:rsidR="00F662D0" w:rsidRDefault="00F662D0" w:rsidP="00EC2B1A">
            <w:pPr>
              <w:pStyle w:val="SDMTableBoxParaNotNumbered"/>
            </w:pPr>
            <w:r w:rsidRPr="002243E8">
              <w:t>Jamaica</w:t>
            </w:r>
          </w:p>
        </w:tc>
        <w:tc>
          <w:tcPr>
            <w:tcW w:w="1069" w:type="pct"/>
          </w:tcPr>
          <w:p w14:paraId="23962373" w14:textId="70FD8280" w:rsidR="00F662D0" w:rsidRPr="00CF6457" w:rsidRDefault="00E752CF" w:rsidP="00EC2B1A">
            <w:pPr>
              <w:pStyle w:val="SDMTableBoxParaNotNumbered"/>
            </w:pPr>
            <w:r w:rsidRPr="0070652D">
              <w:t>0.72%</w:t>
            </w:r>
          </w:p>
        </w:tc>
        <w:tc>
          <w:tcPr>
            <w:tcW w:w="987" w:type="pct"/>
          </w:tcPr>
          <w:p w14:paraId="51DAB84F" w14:textId="03F225C0" w:rsidR="00F662D0" w:rsidRPr="00CF6457" w:rsidRDefault="00F459C3" w:rsidP="00EC2B1A">
            <w:pPr>
              <w:pStyle w:val="SDMTableBoxParaNotNumbered"/>
            </w:pPr>
            <w:r w:rsidRPr="00B5612F">
              <w:t>1.74%</w:t>
            </w:r>
          </w:p>
        </w:tc>
        <w:tc>
          <w:tcPr>
            <w:tcW w:w="1039" w:type="pct"/>
          </w:tcPr>
          <w:p w14:paraId="4EDD9E1E" w14:textId="15E10DF0" w:rsidR="00F662D0" w:rsidRPr="00CF6457" w:rsidRDefault="003650DC" w:rsidP="00EC2B1A">
            <w:pPr>
              <w:pStyle w:val="SDMTableBoxParaNotNumbered"/>
            </w:pPr>
            <w:r w:rsidRPr="00A644C5">
              <w:t>2.72</w:t>
            </w:r>
            <w:r w:rsidR="009B0137" w:rsidRPr="00A644C5">
              <w:t>%</w:t>
            </w:r>
          </w:p>
        </w:tc>
      </w:tr>
      <w:tr w:rsidR="00F662D0" w:rsidRPr="00EC2B1A" w14:paraId="3D6FAA35" w14:textId="77777777" w:rsidTr="008F3C9F">
        <w:trPr>
          <w:jc w:val="right"/>
        </w:trPr>
        <w:tc>
          <w:tcPr>
            <w:tcW w:w="1905" w:type="pct"/>
          </w:tcPr>
          <w:p w14:paraId="6FBFC3BC" w14:textId="77777777" w:rsidR="00F662D0" w:rsidRDefault="00F662D0" w:rsidP="00EC2B1A">
            <w:pPr>
              <w:pStyle w:val="SDMTableBoxParaNotNumbered"/>
            </w:pPr>
            <w:r w:rsidRPr="002243E8">
              <w:t>Japan</w:t>
            </w:r>
          </w:p>
        </w:tc>
        <w:tc>
          <w:tcPr>
            <w:tcW w:w="1069" w:type="pct"/>
          </w:tcPr>
          <w:p w14:paraId="2AC4F0B2" w14:textId="48845E96" w:rsidR="00F662D0" w:rsidRPr="00CF6457" w:rsidRDefault="00E752CF" w:rsidP="00EC2B1A">
            <w:pPr>
              <w:pStyle w:val="SDMTableBoxParaNotNumbered"/>
            </w:pPr>
            <w:r w:rsidRPr="0070652D">
              <w:t>0.00%</w:t>
            </w:r>
          </w:p>
        </w:tc>
        <w:tc>
          <w:tcPr>
            <w:tcW w:w="987" w:type="pct"/>
          </w:tcPr>
          <w:p w14:paraId="605297A2" w14:textId="7B9EFBD5" w:rsidR="00F662D0" w:rsidRPr="00CF6457" w:rsidRDefault="00F459C3" w:rsidP="00EC2B1A">
            <w:pPr>
              <w:pStyle w:val="SDMTableBoxParaNotNumbered"/>
            </w:pPr>
            <w:r w:rsidRPr="00B5612F">
              <w:t>2.11%</w:t>
            </w:r>
          </w:p>
        </w:tc>
        <w:tc>
          <w:tcPr>
            <w:tcW w:w="1039" w:type="pct"/>
          </w:tcPr>
          <w:p w14:paraId="5B8FF9D1" w14:textId="3E2DED7B" w:rsidR="00F662D0" w:rsidRPr="00CF6457" w:rsidRDefault="003650DC" w:rsidP="00EC2B1A">
            <w:pPr>
              <w:pStyle w:val="SDMTableBoxParaNotNumbered"/>
            </w:pPr>
            <w:r w:rsidRPr="00A644C5">
              <w:t>5.26%</w:t>
            </w:r>
          </w:p>
        </w:tc>
      </w:tr>
      <w:tr w:rsidR="00F662D0" w:rsidRPr="00EC2B1A" w14:paraId="5197128F" w14:textId="77777777" w:rsidTr="008F3C9F">
        <w:trPr>
          <w:jc w:val="right"/>
        </w:trPr>
        <w:tc>
          <w:tcPr>
            <w:tcW w:w="1905" w:type="pct"/>
          </w:tcPr>
          <w:p w14:paraId="7FE18094" w14:textId="77777777" w:rsidR="00F662D0" w:rsidRDefault="00F662D0" w:rsidP="00EC2B1A">
            <w:pPr>
              <w:pStyle w:val="SDMTableBoxParaNotNumbered"/>
            </w:pPr>
            <w:r w:rsidRPr="002243E8">
              <w:t>Jordan</w:t>
            </w:r>
          </w:p>
        </w:tc>
        <w:tc>
          <w:tcPr>
            <w:tcW w:w="1069" w:type="pct"/>
          </w:tcPr>
          <w:p w14:paraId="090E98FE" w14:textId="192D8486" w:rsidR="00F662D0" w:rsidRPr="00CF6457" w:rsidRDefault="00E752CF" w:rsidP="00EC2B1A">
            <w:pPr>
              <w:pStyle w:val="SDMTableBoxParaNotNumbered"/>
            </w:pPr>
            <w:r w:rsidRPr="0070652D">
              <w:t>0.13%</w:t>
            </w:r>
          </w:p>
        </w:tc>
        <w:tc>
          <w:tcPr>
            <w:tcW w:w="987" w:type="pct"/>
          </w:tcPr>
          <w:p w14:paraId="100FF90E" w14:textId="1D30065A" w:rsidR="00F662D0" w:rsidRPr="00CF6457" w:rsidRDefault="00F459C3" w:rsidP="00EC2B1A">
            <w:pPr>
              <w:pStyle w:val="SDMTableBoxParaNotNumbered"/>
            </w:pPr>
            <w:r w:rsidRPr="00B5612F">
              <w:t>4.14%</w:t>
            </w:r>
          </w:p>
        </w:tc>
        <w:tc>
          <w:tcPr>
            <w:tcW w:w="1039" w:type="pct"/>
          </w:tcPr>
          <w:p w14:paraId="4FD24B14" w14:textId="24D4BEC5" w:rsidR="00F662D0" w:rsidRPr="00CF6457" w:rsidRDefault="003650DC" w:rsidP="00EC2B1A">
            <w:pPr>
              <w:pStyle w:val="SDMTableBoxParaNotNumbered"/>
            </w:pPr>
            <w:r w:rsidRPr="00A644C5">
              <w:t>67.48</w:t>
            </w:r>
            <w:r w:rsidR="009B0137" w:rsidRPr="00A644C5">
              <w:t>%</w:t>
            </w:r>
          </w:p>
        </w:tc>
      </w:tr>
      <w:tr w:rsidR="00F662D0" w:rsidRPr="00EC2B1A" w14:paraId="2BBBC2ED" w14:textId="77777777" w:rsidTr="008F3C9F">
        <w:trPr>
          <w:jc w:val="right"/>
        </w:trPr>
        <w:tc>
          <w:tcPr>
            <w:tcW w:w="1905" w:type="pct"/>
          </w:tcPr>
          <w:p w14:paraId="2BAFDF0D" w14:textId="77777777" w:rsidR="00F662D0" w:rsidRDefault="00F662D0" w:rsidP="00EC2B1A">
            <w:pPr>
              <w:pStyle w:val="SDMTableBoxParaNotNumbered"/>
            </w:pPr>
            <w:r w:rsidRPr="002243E8">
              <w:t>Kazakhstan</w:t>
            </w:r>
          </w:p>
        </w:tc>
        <w:tc>
          <w:tcPr>
            <w:tcW w:w="1069" w:type="pct"/>
          </w:tcPr>
          <w:p w14:paraId="150CCD2B" w14:textId="0241CEF7" w:rsidR="00F662D0" w:rsidRPr="00CF6457" w:rsidRDefault="00E752CF" w:rsidP="00EC2B1A">
            <w:pPr>
              <w:pStyle w:val="SDMTableBoxParaNotNumbered"/>
            </w:pPr>
            <w:r w:rsidRPr="0070652D">
              <w:t>0.00%</w:t>
            </w:r>
          </w:p>
        </w:tc>
        <w:tc>
          <w:tcPr>
            <w:tcW w:w="987" w:type="pct"/>
          </w:tcPr>
          <w:p w14:paraId="27279D20" w14:textId="56707ACB" w:rsidR="00F662D0" w:rsidRPr="00CF6457" w:rsidRDefault="00F459C3" w:rsidP="00EC2B1A">
            <w:pPr>
              <w:pStyle w:val="SDMTableBoxParaNotNumbered"/>
            </w:pPr>
            <w:r w:rsidRPr="00B5612F">
              <w:t>0.67%</w:t>
            </w:r>
          </w:p>
        </w:tc>
        <w:tc>
          <w:tcPr>
            <w:tcW w:w="1039" w:type="pct"/>
          </w:tcPr>
          <w:p w14:paraId="35C39870" w14:textId="7F8B7F3B" w:rsidR="00F662D0" w:rsidRPr="00CF6457" w:rsidRDefault="003650DC" w:rsidP="00EC2B1A">
            <w:pPr>
              <w:pStyle w:val="SDMTableBoxParaNotNumbered"/>
            </w:pPr>
            <w:r w:rsidRPr="00A644C5">
              <w:t>35.34</w:t>
            </w:r>
            <w:r w:rsidR="009B0137" w:rsidRPr="00A644C5">
              <w:t>%</w:t>
            </w:r>
          </w:p>
        </w:tc>
      </w:tr>
      <w:tr w:rsidR="00F662D0" w:rsidRPr="00EC2B1A" w14:paraId="07AE1476" w14:textId="77777777" w:rsidTr="008F3C9F">
        <w:trPr>
          <w:jc w:val="right"/>
        </w:trPr>
        <w:tc>
          <w:tcPr>
            <w:tcW w:w="1905" w:type="pct"/>
          </w:tcPr>
          <w:p w14:paraId="5D31C773" w14:textId="77777777" w:rsidR="00F662D0" w:rsidRDefault="00F662D0" w:rsidP="00EC2B1A">
            <w:pPr>
              <w:pStyle w:val="SDMTableBoxParaNotNumbered"/>
            </w:pPr>
            <w:r w:rsidRPr="002243E8">
              <w:t>Kenya</w:t>
            </w:r>
          </w:p>
        </w:tc>
        <w:tc>
          <w:tcPr>
            <w:tcW w:w="1069" w:type="pct"/>
          </w:tcPr>
          <w:p w14:paraId="59BD804F" w14:textId="31AD9BBE" w:rsidR="00F662D0" w:rsidRPr="00CF6457" w:rsidRDefault="00E752CF" w:rsidP="00EC2B1A">
            <w:pPr>
              <w:pStyle w:val="SDMTableBoxParaNotNumbered"/>
            </w:pPr>
            <w:r w:rsidRPr="0070652D">
              <w:t>0.14%</w:t>
            </w:r>
          </w:p>
        </w:tc>
        <w:tc>
          <w:tcPr>
            <w:tcW w:w="987" w:type="pct"/>
          </w:tcPr>
          <w:p w14:paraId="55F0485D" w14:textId="34239E41" w:rsidR="00F662D0" w:rsidRPr="00CF6457" w:rsidRDefault="00F459C3" w:rsidP="00EC2B1A">
            <w:pPr>
              <w:pStyle w:val="SDMTableBoxParaNotNumbered"/>
            </w:pPr>
            <w:r w:rsidRPr="00B5612F">
              <w:t>8.23%</w:t>
            </w:r>
          </w:p>
        </w:tc>
        <w:tc>
          <w:tcPr>
            <w:tcW w:w="1039" w:type="pct"/>
          </w:tcPr>
          <w:p w14:paraId="7E1506AD" w14:textId="11763A7B" w:rsidR="00F662D0" w:rsidRPr="00CF6457" w:rsidRDefault="003650DC" w:rsidP="00EC2B1A">
            <w:pPr>
              <w:pStyle w:val="SDMTableBoxParaNotNumbered"/>
            </w:pPr>
            <w:r w:rsidRPr="00A644C5">
              <w:t>26.88%</w:t>
            </w:r>
          </w:p>
        </w:tc>
      </w:tr>
      <w:tr w:rsidR="00F662D0" w:rsidRPr="00EC2B1A" w14:paraId="28BB4384" w14:textId="77777777" w:rsidTr="008F3C9F">
        <w:trPr>
          <w:jc w:val="right"/>
        </w:trPr>
        <w:tc>
          <w:tcPr>
            <w:tcW w:w="1905" w:type="pct"/>
          </w:tcPr>
          <w:p w14:paraId="3C539EDA" w14:textId="77777777" w:rsidR="00F662D0" w:rsidRPr="004F23C4" w:rsidRDefault="00F662D0" w:rsidP="00EC2B1A">
            <w:pPr>
              <w:pStyle w:val="SDMTableBoxParaNumbered"/>
              <w:numPr>
                <w:ilvl w:val="0"/>
                <w:numId w:val="0"/>
              </w:numPr>
            </w:pPr>
            <w:r w:rsidRPr="002243E8">
              <w:t>Kiribati</w:t>
            </w:r>
          </w:p>
        </w:tc>
        <w:tc>
          <w:tcPr>
            <w:tcW w:w="1069" w:type="pct"/>
          </w:tcPr>
          <w:p w14:paraId="6F01DC92" w14:textId="6C3CA2D6" w:rsidR="00F662D0" w:rsidRPr="00CF6457" w:rsidRDefault="00E752CF" w:rsidP="00EC2B1A">
            <w:pPr>
              <w:pStyle w:val="SDMTableBoxParaNotNumbered"/>
            </w:pPr>
            <w:r w:rsidRPr="0070652D">
              <w:t>0.00%</w:t>
            </w:r>
          </w:p>
        </w:tc>
        <w:tc>
          <w:tcPr>
            <w:tcW w:w="987" w:type="pct"/>
          </w:tcPr>
          <w:p w14:paraId="3577C2E7" w14:textId="557AFBA7" w:rsidR="00F662D0" w:rsidRPr="00CF6457" w:rsidRDefault="00F459C3" w:rsidP="00EC2B1A">
            <w:pPr>
              <w:pStyle w:val="SDMTableBoxParaNotNumbered"/>
            </w:pPr>
            <w:r w:rsidRPr="00B5612F">
              <w:t>7.52%</w:t>
            </w:r>
          </w:p>
        </w:tc>
        <w:tc>
          <w:tcPr>
            <w:tcW w:w="1039" w:type="pct"/>
          </w:tcPr>
          <w:p w14:paraId="4E7CE71E" w14:textId="0EEFB952" w:rsidR="00F662D0" w:rsidRPr="00CF6457" w:rsidRDefault="000A16B8" w:rsidP="00EC2B1A">
            <w:pPr>
              <w:pStyle w:val="SDMTableBoxParaNotNumbered"/>
            </w:pPr>
            <w:r w:rsidRPr="00A644C5">
              <w:t>Use global value</w:t>
            </w:r>
          </w:p>
        </w:tc>
      </w:tr>
      <w:tr w:rsidR="00F662D0" w:rsidRPr="00EC2B1A" w14:paraId="437C8A20" w14:textId="77777777" w:rsidTr="008F3C9F">
        <w:trPr>
          <w:jc w:val="right"/>
        </w:trPr>
        <w:tc>
          <w:tcPr>
            <w:tcW w:w="1905" w:type="pct"/>
          </w:tcPr>
          <w:p w14:paraId="6D50FA06" w14:textId="77777777" w:rsidR="00F662D0" w:rsidRDefault="00F662D0" w:rsidP="00EC2B1A">
            <w:pPr>
              <w:pStyle w:val="SDMTableBoxParaNotNumbered"/>
            </w:pPr>
            <w:r w:rsidRPr="002243E8">
              <w:t>Kuwait</w:t>
            </w:r>
          </w:p>
        </w:tc>
        <w:tc>
          <w:tcPr>
            <w:tcW w:w="1069" w:type="pct"/>
          </w:tcPr>
          <w:p w14:paraId="56949A30" w14:textId="004EDBCE" w:rsidR="00F662D0" w:rsidRPr="00CF6457" w:rsidRDefault="00E752CF" w:rsidP="00EC2B1A">
            <w:pPr>
              <w:pStyle w:val="SDMTableBoxParaNotNumbered"/>
            </w:pPr>
            <w:r w:rsidRPr="0070652D">
              <w:t>0.00%</w:t>
            </w:r>
          </w:p>
        </w:tc>
        <w:tc>
          <w:tcPr>
            <w:tcW w:w="987" w:type="pct"/>
          </w:tcPr>
          <w:p w14:paraId="1DEC0479" w14:textId="1F0B4A00" w:rsidR="00F662D0" w:rsidRPr="00CF6457" w:rsidRDefault="00F459C3" w:rsidP="00EC2B1A">
            <w:pPr>
              <w:pStyle w:val="SDMTableBoxParaNotNumbered"/>
            </w:pPr>
            <w:r w:rsidRPr="00B5612F">
              <w:t>0.39%</w:t>
            </w:r>
          </w:p>
        </w:tc>
        <w:tc>
          <w:tcPr>
            <w:tcW w:w="1039" w:type="pct"/>
          </w:tcPr>
          <w:p w14:paraId="0274520E" w14:textId="36DEC85A" w:rsidR="00F662D0" w:rsidRPr="00CF6457" w:rsidRDefault="003650DC" w:rsidP="00EC2B1A">
            <w:pPr>
              <w:pStyle w:val="SDMTableBoxParaNotNumbered"/>
            </w:pPr>
            <w:r w:rsidRPr="00A644C5">
              <w:t>16.13</w:t>
            </w:r>
            <w:r w:rsidR="009B0137" w:rsidRPr="00A644C5">
              <w:t>%</w:t>
            </w:r>
          </w:p>
        </w:tc>
      </w:tr>
      <w:tr w:rsidR="00F662D0" w:rsidRPr="00EC2B1A" w14:paraId="3E5CC3F8" w14:textId="77777777" w:rsidTr="008F3C9F">
        <w:trPr>
          <w:jc w:val="right"/>
        </w:trPr>
        <w:tc>
          <w:tcPr>
            <w:tcW w:w="1905" w:type="pct"/>
          </w:tcPr>
          <w:p w14:paraId="1BCBB975" w14:textId="77777777" w:rsidR="00F662D0" w:rsidRDefault="00F662D0" w:rsidP="00EC2B1A">
            <w:pPr>
              <w:pStyle w:val="SDMTableBoxParaNotNumbered"/>
            </w:pPr>
            <w:r w:rsidRPr="002243E8">
              <w:t>Kyrgyzstan</w:t>
            </w:r>
          </w:p>
        </w:tc>
        <w:tc>
          <w:tcPr>
            <w:tcW w:w="1069" w:type="pct"/>
          </w:tcPr>
          <w:p w14:paraId="71968116" w14:textId="6C5330D2" w:rsidR="00F662D0" w:rsidRPr="00CF6457" w:rsidRDefault="00E752CF" w:rsidP="00EC2B1A">
            <w:pPr>
              <w:pStyle w:val="SDMTableBoxParaNotNumbered"/>
            </w:pPr>
            <w:r w:rsidRPr="0070652D">
              <w:t>0.38%</w:t>
            </w:r>
          </w:p>
        </w:tc>
        <w:tc>
          <w:tcPr>
            <w:tcW w:w="987" w:type="pct"/>
          </w:tcPr>
          <w:p w14:paraId="35E3230D" w14:textId="0F22B58C" w:rsidR="00F662D0" w:rsidRPr="00CF6457" w:rsidRDefault="00F459C3" w:rsidP="00EC2B1A">
            <w:pPr>
              <w:pStyle w:val="SDMTableBoxParaNotNumbered"/>
            </w:pPr>
            <w:r w:rsidRPr="00B5612F">
              <w:t>3.41%</w:t>
            </w:r>
          </w:p>
        </w:tc>
        <w:tc>
          <w:tcPr>
            <w:tcW w:w="1039" w:type="pct"/>
          </w:tcPr>
          <w:p w14:paraId="65C47F83" w14:textId="1F29EC10" w:rsidR="00F662D0" w:rsidRPr="00CF6457" w:rsidRDefault="003650DC" w:rsidP="00EC2B1A">
            <w:pPr>
              <w:pStyle w:val="SDMTableBoxParaNotNumbered"/>
            </w:pPr>
            <w:r w:rsidRPr="00A644C5">
              <w:t>97.24%</w:t>
            </w:r>
          </w:p>
        </w:tc>
      </w:tr>
      <w:tr w:rsidR="00F662D0" w:rsidRPr="00EC2B1A" w14:paraId="6A5858F7" w14:textId="77777777" w:rsidTr="008F3C9F">
        <w:trPr>
          <w:jc w:val="right"/>
        </w:trPr>
        <w:tc>
          <w:tcPr>
            <w:tcW w:w="1905" w:type="pct"/>
          </w:tcPr>
          <w:p w14:paraId="07D6D2D8" w14:textId="42405C72" w:rsidR="00F662D0" w:rsidRDefault="00F662D0" w:rsidP="00EC2B1A">
            <w:pPr>
              <w:pStyle w:val="SDMTableBoxParaNotNumbered"/>
            </w:pPr>
            <w:r w:rsidRPr="002243E8">
              <w:t>Lao People's Democratic Republic</w:t>
            </w:r>
          </w:p>
        </w:tc>
        <w:tc>
          <w:tcPr>
            <w:tcW w:w="1069" w:type="pct"/>
          </w:tcPr>
          <w:p w14:paraId="57636276" w14:textId="4E84D0F7" w:rsidR="00F662D0" w:rsidRPr="00CF6457" w:rsidRDefault="00E752CF" w:rsidP="00EC2B1A">
            <w:pPr>
              <w:pStyle w:val="SDMTableBoxParaNotNumbered"/>
            </w:pPr>
            <w:r w:rsidRPr="0070652D">
              <w:t>0.00%</w:t>
            </w:r>
          </w:p>
        </w:tc>
        <w:tc>
          <w:tcPr>
            <w:tcW w:w="987" w:type="pct"/>
          </w:tcPr>
          <w:p w14:paraId="1AC53956" w14:textId="419B83A4" w:rsidR="00F662D0" w:rsidRPr="00CF6457" w:rsidRDefault="00F459C3" w:rsidP="00EC2B1A">
            <w:pPr>
              <w:pStyle w:val="SDMTableBoxParaNotNumbered"/>
            </w:pPr>
            <w:r w:rsidRPr="00B5612F">
              <w:t>11.34%</w:t>
            </w:r>
          </w:p>
        </w:tc>
        <w:tc>
          <w:tcPr>
            <w:tcW w:w="1039" w:type="pct"/>
          </w:tcPr>
          <w:p w14:paraId="1B35645F" w14:textId="2CB82653" w:rsidR="00F662D0" w:rsidRPr="00CF6457" w:rsidRDefault="003650DC" w:rsidP="00EC2B1A">
            <w:pPr>
              <w:pStyle w:val="SDMTableBoxParaNotNumbered"/>
            </w:pPr>
            <w:r w:rsidRPr="00A644C5">
              <w:t>80.51%</w:t>
            </w:r>
          </w:p>
        </w:tc>
      </w:tr>
      <w:tr w:rsidR="00F662D0" w:rsidRPr="00EC2B1A" w14:paraId="45CFE008" w14:textId="77777777" w:rsidTr="008F3C9F">
        <w:trPr>
          <w:jc w:val="right"/>
        </w:trPr>
        <w:tc>
          <w:tcPr>
            <w:tcW w:w="1905" w:type="pct"/>
          </w:tcPr>
          <w:p w14:paraId="5A59EE5F" w14:textId="77777777" w:rsidR="00F662D0" w:rsidRDefault="00F662D0" w:rsidP="00EC2B1A">
            <w:pPr>
              <w:pStyle w:val="SDMTableBoxParaNotNumbered"/>
            </w:pPr>
            <w:r w:rsidRPr="002243E8">
              <w:t>Latvia</w:t>
            </w:r>
          </w:p>
        </w:tc>
        <w:tc>
          <w:tcPr>
            <w:tcW w:w="1069" w:type="pct"/>
          </w:tcPr>
          <w:p w14:paraId="471A88E7" w14:textId="58517283" w:rsidR="00F662D0" w:rsidRPr="00CF6457" w:rsidRDefault="00E752CF" w:rsidP="00EC2B1A">
            <w:pPr>
              <w:pStyle w:val="SDMTableBoxParaNotNumbered"/>
            </w:pPr>
            <w:r w:rsidRPr="0070652D">
              <w:t>0.10%</w:t>
            </w:r>
          </w:p>
        </w:tc>
        <w:tc>
          <w:tcPr>
            <w:tcW w:w="987" w:type="pct"/>
          </w:tcPr>
          <w:p w14:paraId="6002F051" w14:textId="061604DF" w:rsidR="00F662D0" w:rsidRPr="00CF6457" w:rsidRDefault="00F459C3" w:rsidP="00EC2B1A">
            <w:pPr>
              <w:pStyle w:val="SDMTableBoxParaNotNumbered"/>
            </w:pPr>
            <w:r w:rsidRPr="00B5612F">
              <w:t>8.37%</w:t>
            </w:r>
          </w:p>
        </w:tc>
        <w:tc>
          <w:tcPr>
            <w:tcW w:w="1039" w:type="pct"/>
          </w:tcPr>
          <w:p w14:paraId="6BCA2A91" w14:textId="1ADA0B1E" w:rsidR="00F662D0" w:rsidRPr="00CF6457" w:rsidRDefault="003650DC" w:rsidP="00EC2B1A">
            <w:pPr>
              <w:pStyle w:val="SDMTableBoxParaNotNumbered"/>
            </w:pPr>
            <w:r w:rsidRPr="00A644C5">
              <w:t>19.57</w:t>
            </w:r>
            <w:r w:rsidR="009B0137" w:rsidRPr="00A644C5">
              <w:t>%</w:t>
            </w:r>
          </w:p>
        </w:tc>
      </w:tr>
      <w:tr w:rsidR="00F662D0" w:rsidRPr="00EC2B1A" w14:paraId="6A063CEF" w14:textId="77777777" w:rsidTr="008F3C9F">
        <w:trPr>
          <w:jc w:val="right"/>
        </w:trPr>
        <w:tc>
          <w:tcPr>
            <w:tcW w:w="1905" w:type="pct"/>
          </w:tcPr>
          <w:p w14:paraId="52D2675A" w14:textId="77777777" w:rsidR="00F662D0" w:rsidRDefault="00F662D0" w:rsidP="00EC2B1A">
            <w:pPr>
              <w:pStyle w:val="SDMTableBoxParaNotNumbered"/>
            </w:pPr>
            <w:r w:rsidRPr="002243E8">
              <w:t>Lebanon</w:t>
            </w:r>
          </w:p>
        </w:tc>
        <w:tc>
          <w:tcPr>
            <w:tcW w:w="1069" w:type="pct"/>
          </w:tcPr>
          <w:p w14:paraId="6CD3B65E" w14:textId="47A3032D" w:rsidR="00F662D0" w:rsidRPr="00CF6457" w:rsidRDefault="00E752CF" w:rsidP="00EC2B1A">
            <w:pPr>
              <w:pStyle w:val="SDMTableBoxParaNotNumbered"/>
            </w:pPr>
            <w:r w:rsidRPr="0070652D">
              <w:t>0.01%</w:t>
            </w:r>
          </w:p>
        </w:tc>
        <w:tc>
          <w:tcPr>
            <w:tcW w:w="987" w:type="pct"/>
          </w:tcPr>
          <w:p w14:paraId="110829B7" w14:textId="15C58DC5" w:rsidR="00F662D0" w:rsidRPr="00CF6457" w:rsidRDefault="00F459C3" w:rsidP="00EC2B1A">
            <w:pPr>
              <w:pStyle w:val="SDMTableBoxParaNotNumbered"/>
            </w:pPr>
            <w:r w:rsidRPr="00B5612F">
              <w:t>10.24%</w:t>
            </w:r>
          </w:p>
        </w:tc>
        <w:tc>
          <w:tcPr>
            <w:tcW w:w="1039" w:type="pct"/>
          </w:tcPr>
          <w:p w14:paraId="013504CF" w14:textId="44094B2C" w:rsidR="00F662D0" w:rsidRPr="00CF6457" w:rsidRDefault="003650DC" w:rsidP="00EC2B1A">
            <w:pPr>
              <w:pStyle w:val="SDMTableBoxParaNotNumbered"/>
            </w:pPr>
            <w:r w:rsidRPr="00A644C5">
              <w:t>40.01</w:t>
            </w:r>
            <w:r w:rsidR="009B0137" w:rsidRPr="00A644C5">
              <w:t>%</w:t>
            </w:r>
          </w:p>
        </w:tc>
      </w:tr>
      <w:tr w:rsidR="00F662D0" w:rsidRPr="00EC2B1A" w14:paraId="2FC302F6" w14:textId="77777777" w:rsidTr="008F3C9F">
        <w:trPr>
          <w:jc w:val="right"/>
        </w:trPr>
        <w:tc>
          <w:tcPr>
            <w:tcW w:w="1905" w:type="pct"/>
          </w:tcPr>
          <w:p w14:paraId="0C5C7E76" w14:textId="77777777" w:rsidR="00F662D0" w:rsidRDefault="00F662D0" w:rsidP="00EC2B1A">
            <w:pPr>
              <w:pStyle w:val="SDMTableBoxParaNotNumbered"/>
            </w:pPr>
            <w:r w:rsidRPr="002243E8">
              <w:t>Lesotho</w:t>
            </w:r>
          </w:p>
        </w:tc>
        <w:tc>
          <w:tcPr>
            <w:tcW w:w="1069" w:type="pct"/>
          </w:tcPr>
          <w:p w14:paraId="536C2771" w14:textId="53BDAB4A" w:rsidR="00F662D0" w:rsidRPr="00CF6457" w:rsidRDefault="00E752CF" w:rsidP="00EC2B1A">
            <w:pPr>
              <w:pStyle w:val="SDMTableBoxParaNotNumbered"/>
            </w:pPr>
            <w:r w:rsidRPr="0070652D">
              <w:t>Use global value</w:t>
            </w:r>
          </w:p>
        </w:tc>
        <w:tc>
          <w:tcPr>
            <w:tcW w:w="987" w:type="pct"/>
          </w:tcPr>
          <w:p w14:paraId="77320B31" w14:textId="56DC7F3A" w:rsidR="00F662D0" w:rsidRPr="00CF6457" w:rsidRDefault="00F459C3" w:rsidP="00EC2B1A">
            <w:pPr>
              <w:pStyle w:val="SDMTableBoxParaNotNumbered"/>
            </w:pPr>
            <w:r w:rsidRPr="00B5612F">
              <w:t>1.00%</w:t>
            </w:r>
          </w:p>
        </w:tc>
        <w:tc>
          <w:tcPr>
            <w:tcW w:w="1039" w:type="pct"/>
          </w:tcPr>
          <w:p w14:paraId="55E43B47" w14:textId="1144C8EA" w:rsidR="00F662D0" w:rsidRPr="00CF6457" w:rsidRDefault="000A16B8" w:rsidP="00EC2B1A">
            <w:pPr>
              <w:pStyle w:val="SDMTableBoxParaNotNumbered"/>
            </w:pPr>
            <w:r w:rsidRPr="00A644C5">
              <w:t>Use global value</w:t>
            </w:r>
          </w:p>
        </w:tc>
      </w:tr>
      <w:tr w:rsidR="00F662D0" w:rsidRPr="00EC2B1A" w14:paraId="79BDE119" w14:textId="77777777" w:rsidTr="008F3C9F">
        <w:trPr>
          <w:jc w:val="right"/>
        </w:trPr>
        <w:tc>
          <w:tcPr>
            <w:tcW w:w="1905" w:type="pct"/>
          </w:tcPr>
          <w:p w14:paraId="67556DFB" w14:textId="77777777" w:rsidR="00F662D0" w:rsidRDefault="00F662D0" w:rsidP="00EC2B1A">
            <w:pPr>
              <w:pStyle w:val="SDMTableBoxParaNotNumbered"/>
            </w:pPr>
            <w:r w:rsidRPr="002243E8">
              <w:t>Liberia</w:t>
            </w:r>
          </w:p>
        </w:tc>
        <w:tc>
          <w:tcPr>
            <w:tcW w:w="1069" w:type="pct"/>
          </w:tcPr>
          <w:p w14:paraId="5369357C" w14:textId="2E611CD6" w:rsidR="00F662D0" w:rsidRPr="00CF6457" w:rsidRDefault="00E752CF" w:rsidP="00EC2B1A">
            <w:pPr>
              <w:pStyle w:val="SDMTableBoxParaNotNumbered"/>
            </w:pPr>
            <w:r w:rsidRPr="0070652D">
              <w:t>0.50%</w:t>
            </w:r>
          </w:p>
        </w:tc>
        <w:tc>
          <w:tcPr>
            <w:tcW w:w="987" w:type="pct"/>
          </w:tcPr>
          <w:p w14:paraId="0635C731" w14:textId="6409CAE8" w:rsidR="00F662D0" w:rsidRPr="00CF6457" w:rsidRDefault="00F459C3" w:rsidP="00EC2B1A">
            <w:pPr>
              <w:pStyle w:val="SDMTableBoxParaNotNumbered"/>
            </w:pPr>
            <w:r w:rsidRPr="00B5612F">
              <w:t>9.48%</w:t>
            </w:r>
          </w:p>
        </w:tc>
        <w:tc>
          <w:tcPr>
            <w:tcW w:w="1039" w:type="pct"/>
          </w:tcPr>
          <w:p w14:paraId="582760EA" w14:textId="59E5B5FA" w:rsidR="00F662D0" w:rsidRPr="00CF6457" w:rsidRDefault="000A16B8" w:rsidP="00EC2B1A">
            <w:pPr>
              <w:pStyle w:val="SDMTableBoxParaNotNumbered"/>
            </w:pPr>
            <w:r w:rsidRPr="00A644C5">
              <w:t>Use global value</w:t>
            </w:r>
          </w:p>
        </w:tc>
      </w:tr>
      <w:tr w:rsidR="00F662D0" w:rsidRPr="00EC2B1A" w14:paraId="6D760B50" w14:textId="77777777" w:rsidTr="008F3C9F">
        <w:trPr>
          <w:jc w:val="right"/>
        </w:trPr>
        <w:tc>
          <w:tcPr>
            <w:tcW w:w="1905" w:type="pct"/>
          </w:tcPr>
          <w:p w14:paraId="04717219" w14:textId="77777777" w:rsidR="00F662D0" w:rsidRDefault="00F662D0" w:rsidP="00EC2B1A">
            <w:pPr>
              <w:pStyle w:val="SDMTableBoxParaNotNumbered"/>
            </w:pPr>
            <w:r w:rsidRPr="002243E8">
              <w:t>Libya</w:t>
            </w:r>
          </w:p>
        </w:tc>
        <w:tc>
          <w:tcPr>
            <w:tcW w:w="1069" w:type="pct"/>
          </w:tcPr>
          <w:p w14:paraId="0F32DFDC" w14:textId="5E9C073F" w:rsidR="00F662D0" w:rsidRPr="00CF6457" w:rsidRDefault="00E752CF" w:rsidP="00EC2B1A">
            <w:pPr>
              <w:pStyle w:val="SDMTableBoxParaNotNumbered"/>
            </w:pPr>
            <w:r w:rsidRPr="0070652D">
              <w:t>0.01%</w:t>
            </w:r>
          </w:p>
        </w:tc>
        <w:tc>
          <w:tcPr>
            <w:tcW w:w="987" w:type="pct"/>
          </w:tcPr>
          <w:p w14:paraId="2DC2A5EF" w14:textId="66BA0344" w:rsidR="00F662D0" w:rsidRPr="00CF6457" w:rsidRDefault="00F459C3" w:rsidP="00EC2B1A">
            <w:pPr>
              <w:pStyle w:val="SDMTableBoxParaNotNumbered"/>
            </w:pPr>
            <w:r w:rsidRPr="00B5612F">
              <w:t>0.01%</w:t>
            </w:r>
          </w:p>
        </w:tc>
        <w:tc>
          <w:tcPr>
            <w:tcW w:w="1039" w:type="pct"/>
          </w:tcPr>
          <w:p w14:paraId="1F647F58" w14:textId="2CF59ECC" w:rsidR="00F662D0" w:rsidRPr="00CF6457" w:rsidRDefault="003650DC" w:rsidP="00EC2B1A">
            <w:pPr>
              <w:pStyle w:val="SDMTableBoxParaNotNumbered"/>
            </w:pPr>
            <w:r w:rsidRPr="00A644C5">
              <w:t>9.60</w:t>
            </w:r>
            <w:r w:rsidR="009B0137" w:rsidRPr="00A644C5">
              <w:t>%</w:t>
            </w:r>
          </w:p>
        </w:tc>
      </w:tr>
      <w:tr w:rsidR="00F662D0" w:rsidRPr="00EC2B1A" w14:paraId="1920B169" w14:textId="77777777" w:rsidTr="008F3C9F">
        <w:trPr>
          <w:jc w:val="right"/>
        </w:trPr>
        <w:tc>
          <w:tcPr>
            <w:tcW w:w="1905" w:type="pct"/>
          </w:tcPr>
          <w:p w14:paraId="649CECAE" w14:textId="77777777" w:rsidR="00F662D0" w:rsidRDefault="00F662D0" w:rsidP="00EC2B1A">
            <w:pPr>
              <w:pStyle w:val="SDMTableBoxParaNotNumbered"/>
            </w:pPr>
            <w:r w:rsidRPr="002243E8">
              <w:t>Lithuania</w:t>
            </w:r>
          </w:p>
        </w:tc>
        <w:tc>
          <w:tcPr>
            <w:tcW w:w="1069" w:type="pct"/>
          </w:tcPr>
          <w:p w14:paraId="7330A959" w14:textId="22CEDCFF" w:rsidR="00F662D0" w:rsidRPr="00CF6457" w:rsidRDefault="00E752CF" w:rsidP="00EC2B1A">
            <w:pPr>
              <w:pStyle w:val="SDMTableBoxParaNotNumbered"/>
            </w:pPr>
            <w:r w:rsidRPr="0070652D">
              <w:t>1.05%</w:t>
            </w:r>
          </w:p>
        </w:tc>
        <w:tc>
          <w:tcPr>
            <w:tcW w:w="987" w:type="pct"/>
          </w:tcPr>
          <w:p w14:paraId="2CDDA8E1" w14:textId="091C3181" w:rsidR="00F662D0" w:rsidRPr="00CF6457" w:rsidRDefault="00F459C3" w:rsidP="00EC2B1A">
            <w:pPr>
              <w:pStyle w:val="SDMTableBoxParaNotNumbered"/>
            </w:pPr>
            <w:r w:rsidRPr="00B5612F">
              <w:t>10.93%</w:t>
            </w:r>
          </w:p>
        </w:tc>
        <w:tc>
          <w:tcPr>
            <w:tcW w:w="1039" w:type="pct"/>
          </w:tcPr>
          <w:p w14:paraId="4EA488CB" w14:textId="703E4A1C" w:rsidR="00F662D0" w:rsidRPr="00CF6457" w:rsidRDefault="003650DC" w:rsidP="00EC2B1A">
            <w:pPr>
              <w:pStyle w:val="SDMTableBoxParaNotNumbered"/>
            </w:pPr>
            <w:r w:rsidRPr="00A644C5">
              <w:t>29.05</w:t>
            </w:r>
            <w:r w:rsidR="009B0137" w:rsidRPr="00A644C5">
              <w:t>%</w:t>
            </w:r>
          </w:p>
        </w:tc>
      </w:tr>
      <w:tr w:rsidR="00F662D0" w:rsidRPr="00EC2B1A" w14:paraId="1E6A251A" w14:textId="77777777" w:rsidTr="008F3C9F">
        <w:trPr>
          <w:jc w:val="right"/>
        </w:trPr>
        <w:tc>
          <w:tcPr>
            <w:tcW w:w="1905" w:type="pct"/>
          </w:tcPr>
          <w:p w14:paraId="1642BE92" w14:textId="77777777" w:rsidR="00F662D0" w:rsidRDefault="00F662D0" w:rsidP="00EC2B1A">
            <w:pPr>
              <w:pStyle w:val="SDMTableBoxParaNotNumbered"/>
            </w:pPr>
            <w:r w:rsidRPr="002243E8">
              <w:t>Luxembourg</w:t>
            </w:r>
          </w:p>
        </w:tc>
        <w:tc>
          <w:tcPr>
            <w:tcW w:w="1069" w:type="pct"/>
          </w:tcPr>
          <w:p w14:paraId="1995AE13" w14:textId="7500E5B2" w:rsidR="00F662D0" w:rsidRPr="00CF6457" w:rsidRDefault="00E752CF" w:rsidP="00EC2B1A">
            <w:pPr>
              <w:pStyle w:val="SDMTableBoxParaNotNumbered"/>
            </w:pPr>
            <w:r w:rsidRPr="0070652D">
              <w:t>0.00%</w:t>
            </w:r>
          </w:p>
        </w:tc>
        <w:tc>
          <w:tcPr>
            <w:tcW w:w="987" w:type="pct"/>
          </w:tcPr>
          <w:p w14:paraId="1E43C9E0" w14:textId="19A3E7A0" w:rsidR="00F662D0" w:rsidRPr="00CF6457" w:rsidRDefault="00F459C3" w:rsidP="00EC2B1A">
            <w:pPr>
              <w:pStyle w:val="SDMTableBoxParaNotNumbered"/>
            </w:pPr>
            <w:r w:rsidRPr="00B5612F">
              <w:t>11.26%</w:t>
            </w:r>
          </w:p>
        </w:tc>
        <w:tc>
          <w:tcPr>
            <w:tcW w:w="1039" w:type="pct"/>
          </w:tcPr>
          <w:p w14:paraId="29A447FB" w14:textId="510E5B85" w:rsidR="00F662D0" w:rsidRPr="00CF6457" w:rsidRDefault="003650DC" w:rsidP="00EC2B1A">
            <w:pPr>
              <w:pStyle w:val="SDMTableBoxParaNotNumbered"/>
            </w:pPr>
            <w:r w:rsidRPr="00A644C5">
              <w:t>19.15</w:t>
            </w:r>
            <w:r w:rsidR="009B0137" w:rsidRPr="00A644C5">
              <w:t>%</w:t>
            </w:r>
          </w:p>
        </w:tc>
      </w:tr>
      <w:tr w:rsidR="00F662D0" w:rsidRPr="00EC2B1A" w14:paraId="71979093" w14:textId="77777777" w:rsidTr="008F3C9F">
        <w:trPr>
          <w:jc w:val="right"/>
        </w:trPr>
        <w:tc>
          <w:tcPr>
            <w:tcW w:w="1905" w:type="pct"/>
          </w:tcPr>
          <w:p w14:paraId="79AC9F35" w14:textId="77777777" w:rsidR="00F662D0" w:rsidRDefault="00F662D0" w:rsidP="00EC2B1A">
            <w:pPr>
              <w:pStyle w:val="SDMTableBoxParaNotNumbered"/>
            </w:pPr>
            <w:r w:rsidRPr="002243E8">
              <w:t>Madagascar</w:t>
            </w:r>
          </w:p>
        </w:tc>
        <w:tc>
          <w:tcPr>
            <w:tcW w:w="1069" w:type="pct"/>
          </w:tcPr>
          <w:p w14:paraId="6E64B594" w14:textId="3B691C0D" w:rsidR="00F662D0" w:rsidRPr="00CF6457" w:rsidRDefault="00E752CF" w:rsidP="00EC2B1A">
            <w:pPr>
              <w:pStyle w:val="SDMTableBoxParaNotNumbered"/>
            </w:pPr>
            <w:r w:rsidRPr="0070652D">
              <w:t>0.00%</w:t>
            </w:r>
          </w:p>
        </w:tc>
        <w:tc>
          <w:tcPr>
            <w:tcW w:w="987" w:type="pct"/>
          </w:tcPr>
          <w:p w14:paraId="2896DC63" w14:textId="65FE3681" w:rsidR="00F662D0" w:rsidRPr="00CF6457" w:rsidRDefault="00F459C3" w:rsidP="00EC2B1A">
            <w:pPr>
              <w:pStyle w:val="SDMTableBoxParaNotNumbered"/>
            </w:pPr>
            <w:r w:rsidRPr="00B5612F">
              <w:t>0.00%</w:t>
            </w:r>
          </w:p>
        </w:tc>
        <w:tc>
          <w:tcPr>
            <w:tcW w:w="1039" w:type="pct"/>
          </w:tcPr>
          <w:p w14:paraId="3E9191EA" w14:textId="2D8B4F08" w:rsidR="00F662D0" w:rsidRPr="00CF6457" w:rsidRDefault="003650DC" w:rsidP="00EC2B1A">
            <w:pPr>
              <w:pStyle w:val="SDMTableBoxParaNotNumbered"/>
            </w:pPr>
            <w:r w:rsidRPr="00A644C5">
              <w:t>92.07%</w:t>
            </w:r>
          </w:p>
        </w:tc>
      </w:tr>
      <w:tr w:rsidR="00F662D0" w:rsidRPr="00EC2B1A" w14:paraId="3D41DB2D" w14:textId="77777777" w:rsidTr="008F3C9F">
        <w:trPr>
          <w:jc w:val="right"/>
        </w:trPr>
        <w:tc>
          <w:tcPr>
            <w:tcW w:w="1905" w:type="pct"/>
          </w:tcPr>
          <w:p w14:paraId="5E925E0C" w14:textId="77777777" w:rsidR="00F662D0" w:rsidRDefault="00F662D0" w:rsidP="00EC2B1A">
            <w:pPr>
              <w:pStyle w:val="SDMTableBoxParaNotNumbered"/>
            </w:pPr>
            <w:r w:rsidRPr="002243E8">
              <w:t>Malawi</w:t>
            </w:r>
          </w:p>
        </w:tc>
        <w:tc>
          <w:tcPr>
            <w:tcW w:w="1069" w:type="pct"/>
          </w:tcPr>
          <w:p w14:paraId="302EDBEF" w14:textId="4A65FC15" w:rsidR="00F662D0" w:rsidRPr="00CF6457" w:rsidRDefault="00E752CF" w:rsidP="00EC2B1A">
            <w:pPr>
              <w:pStyle w:val="SDMTableBoxParaNotNumbered"/>
            </w:pPr>
            <w:r w:rsidRPr="0070652D">
              <w:t>5.23%</w:t>
            </w:r>
          </w:p>
        </w:tc>
        <w:tc>
          <w:tcPr>
            <w:tcW w:w="987" w:type="pct"/>
          </w:tcPr>
          <w:p w14:paraId="10B8370B" w14:textId="647DCFC6" w:rsidR="00F662D0" w:rsidRPr="00CF6457" w:rsidRDefault="00F459C3" w:rsidP="00EC2B1A">
            <w:pPr>
              <w:pStyle w:val="SDMTableBoxParaNotNumbered"/>
            </w:pPr>
            <w:r w:rsidRPr="00B5612F">
              <w:t>12.12%</w:t>
            </w:r>
          </w:p>
        </w:tc>
        <w:tc>
          <w:tcPr>
            <w:tcW w:w="1039" w:type="pct"/>
          </w:tcPr>
          <w:p w14:paraId="062464F6" w14:textId="121BCFEC" w:rsidR="00F662D0" w:rsidRPr="00CF6457" w:rsidRDefault="003650DC" w:rsidP="00EC2B1A">
            <w:pPr>
              <w:pStyle w:val="SDMTableBoxParaNotNumbered"/>
            </w:pPr>
            <w:r w:rsidRPr="00A644C5">
              <w:t>87.52%</w:t>
            </w:r>
          </w:p>
        </w:tc>
      </w:tr>
      <w:tr w:rsidR="00F662D0" w:rsidRPr="00EC2B1A" w14:paraId="5EB699E9" w14:textId="77777777" w:rsidTr="008F3C9F">
        <w:trPr>
          <w:jc w:val="right"/>
        </w:trPr>
        <w:tc>
          <w:tcPr>
            <w:tcW w:w="1905" w:type="pct"/>
          </w:tcPr>
          <w:p w14:paraId="228234D3" w14:textId="77777777" w:rsidR="00F662D0" w:rsidRDefault="00F662D0" w:rsidP="00EC2B1A">
            <w:pPr>
              <w:pStyle w:val="SDMTableBoxParaNotNumbered"/>
            </w:pPr>
            <w:r w:rsidRPr="002243E8">
              <w:t>Malaysia</w:t>
            </w:r>
          </w:p>
        </w:tc>
        <w:tc>
          <w:tcPr>
            <w:tcW w:w="1069" w:type="pct"/>
          </w:tcPr>
          <w:p w14:paraId="78315692" w14:textId="458497E8" w:rsidR="00F662D0" w:rsidRPr="00CF6457" w:rsidRDefault="00E752CF" w:rsidP="00EC2B1A">
            <w:pPr>
              <w:pStyle w:val="SDMTableBoxParaNotNumbered"/>
            </w:pPr>
            <w:r w:rsidRPr="0070652D">
              <w:t>0.12%</w:t>
            </w:r>
          </w:p>
        </w:tc>
        <w:tc>
          <w:tcPr>
            <w:tcW w:w="987" w:type="pct"/>
          </w:tcPr>
          <w:p w14:paraId="17D309AA" w14:textId="4998C1C3" w:rsidR="00F662D0" w:rsidRPr="00CF6457" w:rsidRDefault="00F459C3" w:rsidP="00EC2B1A">
            <w:pPr>
              <w:pStyle w:val="SDMTableBoxParaNotNumbered"/>
            </w:pPr>
            <w:r w:rsidRPr="00B5612F">
              <w:t>1.49%</w:t>
            </w:r>
          </w:p>
        </w:tc>
        <w:tc>
          <w:tcPr>
            <w:tcW w:w="1039" w:type="pct"/>
          </w:tcPr>
          <w:p w14:paraId="16268485" w14:textId="51E438D2" w:rsidR="00F662D0" w:rsidRPr="00CF6457" w:rsidRDefault="003650DC" w:rsidP="00EC2B1A">
            <w:pPr>
              <w:pStyle w:val="SDMTableBoxParaNotNumbered"/>
            </w:pPr>
            <w:r w:rsidRPr="00A644C5">
              <w:t>24.70</w:t>
            </w:r>
            <w:r w:rsidR="009B0137" w:rsidRPr="00A644C5">
              <w:t>%</w:t>
            </w:r>
          </w:p>
        </w:tc>
      </w:tr>
      <w:tr w:rsidR="00F662D0" w:rsidRPr="00EC2B1A" w14:paraId="0B5815CC" w14:textId="77777777" w:rsidTr="008F3C9F">
        <w:trPr>
          <w:jc w:val="right"/>
        </w:trPr>
        <w:tc>
          <w:tcPr>
            <w:tcW w:w="1905" w:type="pct"/>
          </w:tcPr>
          <w:p w14:paraId="1E3B774F" w14:textId="77777777" w:rsidR="00F662D0" w:rsidRDefault="00F662D0" w:rsidP="00EC2B1A">
            <w:pPr>
              <w:pStyle w:val="SDMTableBoxParaNotNumbered"/>
            </w:pPr>
            <w:r w:rsidRPr="002243E8">
              <w:t>Maldives</w:t>
            </w:r>
          </w:p>
        </w:tc>
        <w:tc>
          <w:tcPr>
            <w:tcW w:w="1069" w:type="pct"/>
          </w:tcPr>
          <w:p w14:paraId="6A5CC83F" w14:textId="0AC476CD" w:rsidR="00F662D0" w:rsidRPr="00CF6457" w:rsidRDefault="00E752CF" w:rsidP="00EC2B1A">
            <w:pPr>
              <w:pStyle w:val="SDMTableBoxParaNotNumbered"/>
            </w:pPr>
            <w:r w:rsidRPr="0070652D">
              <w:t>0.07%</w:t>
            </w:r>
          </w:p>
        </w:tc>
        <w:tc>
          <w:tcPr>
            <w:tcW w:w="987" w:type="pct"/>
          </w:tcPr>
          <w:p w14:paraId="047AFBB9" w14:textId="044E1FB9" w:rsidR="00F662D0" w:rsidRPr="00CF6457" w:rsidRDefault="00F459C3" w:rsidP="00EC2B1A">
            <w:pPr>
              <w:pStyle w:val="SDMTableBoxParaNotNumbered"/>
            </w:pPr>
            <w:r w:rsidRPr="00B5612F">
              <w:t>0.90%</w:t>
            </w:r>
          </w:p>
        </w:tc>
        <w:tc>
          <w:tcPr>
            <w:tcW w:w="1039" w:type="pct"/>
          </w:tcPr>
          <w:p w14:paraId="7D178BB8" w14:textId="2A2EF6D8" w:rsidR="00F662D0" w:rsidRPr="00CF6457" w:rsidRDefault="000A16B8" w:rsidP="00EC2B1A">
            <w:pPr>
              <w:pStyle w:val="SDMTableBoxParaNotNumbered"/>
            </w:pPr>
            <w:r w:rsidRPr="00A644C5">
              <w:t>Use global value</w:t>
            </w:r>
          </w:p>
        </w:tc>
      </w:tr>
      <w:tr w:rsidR="00F662D0" w:rsidRPr="00EC2B1A" w14:paraId="05E770AC" w14:textId="77777777" w:rsidTr="008F3C9F">
        <w:trPr>
          <w:jc w:val="right"/>
        </w:trPr>
        <w:tc>
          <w:tcPr>
            <w:tcW w:w="1905" w:type="pct"/>
          </w:tcPr>
          <w:p w14:paraId="4D48E1A4" w14:textId="77777777" w:rsidR="00F662D0" w:rsidRDefault="00F662D0" w:rsidP="00EC2B1A">
            <w:pPr>
              <w:pStyle w:val="SDMTableBoxParaNotNumbered"/>
            </w:pPr>
            <w:r w:rsidRPr="002243E8">
              <w:t>Mali</w:t>
            </w:r>
          </w:p>
        </w:tc>
        <w:tc>
          <w:tcPr>
            <w:tcW w:w="1069" w:type="pct"/>
          </w:tcPr>
          <w:p w14:paraId="000522B4" w14:textId="2E0E4FF2" w:rsidR="00F662D0" w:rsidRPr="00CF6457" w:rsidRDefault="00E752CF" w:rsidP="00EC2B1A">
            <w:pPr>
              <w:pStyle w:val="SDMTableBoxParaNotNumbered"/>
            </w:pPr>
            <w:r w:rsidRPr="0070652D">
              <w:t>0.14%</w:t>
            </w:r>
          </w:p>
        </w:tc>
        <w:tc>
          <w:tcPr>
            <w:tcW w:w="987" w:type="pct"/>
          </w:tcPr>
          <w:p w14:paraId="601109DD" w14:textId="4423B36E" w:rsidR="00F662D0" w:rsidRPr="00CF6457" w:rsidRDefault="00F459C3" w:rsidP="00EC2B1A">
            <w:pPr>
              <w:pStyle w:val="SDMTableBoxParaNotNumbered"/>
            </w:pPr>
            <w:r w:rsidRPr="00B5612F">
              <w:t>0.02%</w:t>
            </w:r>
          </w:p>
        </w:tc>
        <w:tc>
          <w:tcPr>
            <w:tcW w:w="1039" w:type="pct"/>
          </w:tcPr>
          <w:p w14:paraId="08B43F27" w14:textId="00933D15" w:rsidR="00F662D0" w:rsidRPr="00CF6457" w:rsidRDefault="003650DC" w:rsidP="00EC2B1A">
            <w:pPr>
              <w:pStyle w:val="SDMTableBoxParaNotNumbered"/>
            </w:pPr>
            <w:r w:rsidRPr="00A644C5">
              <w:t>17.98</w:t>
            </w:r>
            <w:r w:rsidR="009B0137" w:rsidRPr="00A644C5">
              <w:t>%</w:t>
            </w:r>
          </w:p>
        </w:tc>
      </w:tr>
      <w:tr w:rsidR="00F662D0" w:rsidRPr="00EC2B1A" w14:paraId="05CD9E3C" w14:textId="77777777" w:rsidTr="008F3C9F">
        <w:trPr>
          <w:jc w:val="right"/>
        </w:trPr>
        <w:tc>
          <w:tcPr>
            <w:tcW w:w="1905" w:type="pct"/>
          </w:tcPr>
          <w:p w14:paraId="1ADA1E20" w14:textId="77777777" w:rsidR="00F662D0" w:rsidRDefault="00F662D0" w:rsidP="00EC2B1A">
            <w:pPr>
              <w:pStyle w:val="SDMTableBoxParaNotNumbered"/>
            </w:pPr>
            <w:r w:rsidRPr="002243E8">
              <w:t>Malta</w:t>
            </w:r>
          </w:p>
        </w:tc>
        <w:tc>
          <w:tcPr>
            <w:tcW w:w="1069" w:type="pct"/>
          </w:tcPr>
          <w:p w14:paraId="3CC26879" w14:textId="761DB69A" w:rsidR="00F662D0" w:rsidRPr="00CF6457" w:rsidRDefault="00E752CF" w:rsidP="00EC2B1A">
            <w:pPr>
              <w:pStyle w:val="SDMTableBoxParaNotNumbered"/>
            </w:pPr>
            <w:r w:rsidRPr="0070652D">
              <w:t>2.84%</w:t>
            </w:r>
          </w:p>
        </w:tc>
        <w:tc>
          <w:tcPr>
            <w:tcW w:w="987" w:type="pct"/>
          </w:tcPr>
          <w:p w14:paraId="092EC24D" w14:textId="28A757C8" w:rsidR="00F662D0" w:rsidRPr="00CF6457" w:rsidRDefault="00F459C3" w:rsidP="00EC2B1A">
            <w:pPr>
              <w:pStyle w:val="SDMTableBoxParaNotNumbered"/>
            </w:pPr>
            <w:r w:rsidRPr="00B5612F">
              <w:t>3.35%</w:t>
            </w:r>
          </w:p>
        </w:tc>
        <w:tc>
          <w:tcPr>
            <w:tcW w:w="1039" w:type="pct"/>
          </w:tcPr>
          <w:p w14:paraId="61E0BD5E" w14:textId="71625D5F" w:rsidR="00F662D0" w:rsidRPr="00CF6457" w:rsidRDefault="003650DC" w:rsidP="00EC2B1A">
            <w:pPr>
              <w:pStyle w:val="SDMTableBoxParaNotNumbered"/>
            </w:pPr>
            <w:r w:rsidRPr="00A644C5">
              <w:t>99.19%</w:t>
            </w:r>
          </w:p>
        </w:tc>
      </w:tr>
      <w:tr w:rsidR="00F662D0" w:rsidRPr="00EC2B1A" w14:paraId="0E014B41" w14:textId="77777777" w:rsidTr="008F3C9F">
        <w:trPr>
          <w:jc w:val="right"/>
        </w:trPr>
        <w:tc>
          <w:tcPr>
            <w:tcW w:w="1905" w:type="pct"/>
          </w:tcPr>
          <w:p w14:paraId="64E1C76A" w14:textId="77777777" w:rsidR="00F662D0" w:rsidRDefault="00F662D0" w:rsidP="00EC2B1A">
            <w:pPr>
              <w:pStyle w:val="SDMTableBoxParaNotNumbered"/>
            </w:pPr>
            <w:r w:rsidRPr="002243E8">
              <w:t>Mauritania</w:t>
            </w:r>
          </w:p>
        </w:tc>
        <w:tc>
          <w:tcPr>
            <w:tcW w:w="1069" w:type="pct"/>
          </w:tcPr>
          <w:p w14:paraId="44AC2013" w14:textId="455C95A4" w:rsidR="00F662D0" w:rsidRPr="00CF6457" w:rsidRDefault="00E752CF" w:rsidP="00EC2B1A">
            <w:pPr>
              <w:pStyle w:val="SDMTableBoxParaNotNumbered"/>
            </w:pPr>
            <w:r w:rsidRPr="0070652D">
              <w:t>0.05%</w:t>
            </w:r>
          </w:p>
        </w:tc>
        <w:tc>
          <w:tcPr>
            <w:tcW w:w="987" w:type="pct"/>
          </w:tcPr>
          <w:p w14:paraId="1A574854" w14:textId="32450C28" w:rsidR="00F662D0" w:rsidRPr="00CF6457" w:rsidRDefault="00F459C3" w:rsidP="00EC2B1A">
            <w:pPr>
              <w:pStyle w:val="SDMTableBoxParaNotNumbered"/>
            </w:pPr>
            <w:r w:rsidRPr="00B5612F">
              <w:t>1.08%</w:t>
            </w:r>
          </w:p>
        </w:tc>
        <w:tc>
          <w:tcPr>
            <w:tcW w:w="1039" w:type="pct"/>
          </w:tcPr>
          <w:p w14:paraId="217E86AC" w14:textId="27812DEC" w:rsidR="00F662D0" w:rsidRPr="00CF6457" w:rsidRDefault="000A16B8" w:rsidP="00EC2B1A">
            <w:pPr>
              <w:pStyle w:val="SDMTableBoxParaNotNumbered"/>
            </w:pPr>
            <w:r w:rsidRPr="00A644C5">
              <w:t>Use global value</w:t>
            </w:r>
          </w:p>
        </w:tc>
      </w:tr>
      <w:tr w:rsidR="00F662D0" w:rsidRPr="00EC2B1A" w14:paraId="011FB4AF" w14:textId="77777777" w:rsidTr="008F3C9F">
        <w:trPr>
          <w:jc w:val="right"/>
        </w:trPr>
        <w:tc>
          <w:tcPr>
            <w:tcW w:w="1905" w:type="pct"/>
          </w:tcPr>
          <w:p w14:paraId="62B0BD20" w14:textId="77777777" w:rsidR="00F662D0" w:rsidRDefault="00F662D0" w:rsidP="00EC2B1A">
            <w:pPr>
              <w:pStyle w:val="SDMTableBoxParaNotNumbered"/>
            </w:pPr>
            <w:r w:rsidRPr="002243E8">
              <w:t>Mauritius</w:t>
            </w:r>
          </w:p>
        </w:tc>
        <w:tc>
          <w:tcPr>
            <w:tcW w:w="1069" w:type="pct"/>
          </w:tcPr>
          <w:p w14:paraId="31545D87" w14:textId="0BE5A08E" w:rsidR="00F662D0" w:rsidRPr="00CF6457" w:rsidRDefault="00E752CF" w:rsidP="00EC2B1A">
            <w:pPr>
              <w:pStyle w:val="SDMTableBoxParaNotNumbered"/>
            </w:pPr>
            <w:r w:rsidRPr="0070652D">
              <w:t>0.72%</w:t>
            </w:r>
          </w:p>
        </w:tc>
        <w:tc>
          <w:tcPr>
            <w:tcW w:w="987" w:type="pct"/>
          </w:tcPr>
          <w:p w14:paraId="0C94C2E9" w14:textId="1DF03605" w:rsidR="00F662D0" w:rsidRPr="00CF6457" w:rsidRDefault="00F459C3" w:rsidP="00EC2B1A">
            <w:pPr>
              <w:pStyle w:val="SDMTableBoxParaNotNumbered"/>
            </w:pPr>
            <w:r w:rsidRPr="00B5612F">
              <w:t>0.68%</w:t>
            </w:r>
          </w:p>
        </w:tc>
        <w:tc>
          <w:tcPr>
            <w:tcW w:w="1039" w:type="pct"/>
          </w:tcPr>
          <w:p w14:paraId="42062755" w14:textId="16E9A66F" w:rsidR="00F662D0" w:rsidRPr="00CF6457" w:rsidRDefault="003650DC" w:rsidP="00EC2B1A">
            <w:pPr>
              <w:pStyle w:val="SDMTableBoxParaNotNumbered"/>
            </w:pPr>
            <w:r w:rsidRPr="00A644C5">
              <w:t>53.51</w:t>
            </w:r>
            <w:r w:rsidR="009B0137" w:rsidRPr="00A644C5">
              <w:t>%</w:t>
            </w:r>
          </w:p>
        </w:tc>
      </w:tr>
      <w:tr w:rsidR="00F662D0" w:rsidRPr="00EC2B1A" w14:paraId="4FA93BE6" w14:textId="77777777" w:rsidTr="008F3C9F">
        <w:trPr>
          <w:jc w:val="right"/>
        </w:trPr>
        <w:tc>
          <w:tcPr>
            <w:tcW w:w="1905" w:type="pct"/>
          </w:tcPr>
          <w:p w14:paraId="38635805" w14:textId="77777777" w:rsidR="00F662D0" w:rsidRDefault="00F662D0" w:rsidP="00EC2B1A">
            <w:pPr>
              <w:pStyle w:val="SDMTableBoxParaNotNumbered"/>
            </w:pPr>
            <w:r w:rsidRPr="002243E8">
              <w:t>Mexico</w:t>
            </w:r>
          </w:p>
        </w:tc>
        <w:tc>
          <w:tcPr>
            <w:tcW w:w="1069" w:type="pct"/>
          </w:tcPr>
          <w:p w14:paraId="5634855E" w14:textId="034D1140" w:rsidR="00F662D0" w:rsidRPr="00CF6457" w:rsidRDefault="00E752CF" w:rsidP="00EC2B1A">
            <w:pPr>
              <w:pStyle w:val="SDMTableBoxParaNotNumbered"/>
            </w:pPr>
            <w:r w:rsidRPr="0070652D">
              <w:t>0.63%</w:t>
            </w:r>
          </w:p>
        </w:tc>
        <w:tc>
          <w:tcPr>
            <w:tcW w:w="987" w:type="pct"/>
          </w:tcPr>
          <w:p w14:paraId="37ED4C61" w14:textId="23552F57" w:rsidR="00F662D0" w:rsidRPr="00CF6457" w:rsidRDefault="00F459C3" w:rsidP="00EC2B1A">
            <w:pPr>
              <w:pStyle w:val="SDMTableBoxParaNotNumbered"/>
            </w:pPr>
            <w:r w:rsidRPr="00B5612F">
              <w:t>2.50%</w:t>
            </w:r>
          </w:p>
        </w:tc>
        <w:tc>
          <w:tcPr>
            <w:tcW w:w="1039" w:type="pct"/>
          </w:tcPr>
          <w:p w14:paraId="2597E7ED" w14:textId="2897C872" w:rsidR="00F662D0" w:rsidRPr="00CF6457" w:rsidRDefault="003650DC" w:rsidP="00EC2B1A">
            <w:pPr>
              <w:pStyle w:val="SDMTableBoxParaNotNumbered"/>
            </w:pPr>
            <w:r w:rsidRPr="00A644C5">
              <w:t>7.10</w:t>
            </w:r>
            <w:r w:rsidR="009B0137" w:rsidRPr="00A644C5">
              <w:t>%</w:t>
            </w:r>
          </w:p>
        </w:tc>
      </w:tr>
      <w:tr w:rsidR="00F662D0" w:rsidRPr="00EC2B1A" w14:paraId="4F7459FC" w14:textId="77777777" w:rsidTr="008F3C9F">
        <w:trPr>
          <w:jc w:val="right"/>
        </w:trPr>
        <w:tc>
          <w:tcPr>
            <w:tcW w:w="1905" w:type="pct"/>
          </w:tcPr>
          <w:p w14:paraId="7B338CCE" w14:textId="77777777" w:rsidR="00F662D0" w:rsidRDefault="00F662D0" w:rsidP="00EC2B1A">
            <w:pPr>
              <w:pStyle w:val="SDMTableBoxParaNotNumbered"/>
            </w:pPr>
            <w:r w:rsidRPr="002243E8">
              <w:t>Mongolia</w:t>
            </w:r>
          </w:p>
        </w:tc>
        <w:tc>
          <w:tcPr>
            <w:tcW w:w="1069" w:type="pct"/>
          </w:tcPr>
          <w:p w14:paraId="03ADB07A" w14:textId="6D416CC2" w:rsidR="00F662D0" w:rsidRPr="00CF6457" w:rsidRDefault="00E752CF" w:rsidP="00EC2B1A">
            <w:pPr>
              <w:pStyle w:val="SDMTableBoxParaNotNumbered"/>
            </w:pPr>
            <w:r w:rsidRPr="0070652D">
              <w:t>0.23%</w:t>
            </w:r>
          </w:p>
        </w:tc>
        <w:tc>
          <w:tcPr>
            <w:tcW w:w="987" w:type="pct"/>
          </w:tcPr>
          <w:p w14:paraId="3957F2B1" w14:textId="7BA45DEA" w:rsidR="00F662D0" w:rsidRPr="00CF6457" w:rsidRDefault="00F459C3" w:rsidP="00EC2B1A">
            <w:pPr>
              <w:pStyle w:val="SDMTableBoxParaNotNumbered"/>
            </w:pPr>
            <w:r w:rsidRPr="00B5612F">
              <w:t>1.29%</w:t>
            </w:r>
          </w:p>
        </w:tc>
        <w:tc>
          <w:tcPr>
            <w:tcW w:w="1039" w:type="pct"/>
          </w:tcPr>
          <w:p w14:paraId="7E0636E1" w14:textId="66C7F4D7" w:rsidR="00F662D0" w:rsidRPr="00CF6457" w:rsidRDefault="003650DC" w:rsidP="00EC2B1A">
            <w:pPr>
              <w:pStyle w:val="SDMTableBoxParaNotNumbered"/>
            </w:pPr>
            <w:r w:rsidRPr="00A644C5">
              <w:t>23.97</w:t>
            </w:r>
            <w:r w:rsidR="009B0137" w:rsidRPr="00A644C5">
              <w:t>%</w:t>
            </w:r>
          </w:p>
        </w:tc>
      </w:tr>
      <w:tr w:rsidR="00F662D0" w:rsidRPr="00EC2B1A" w14:paraId="422D756F" w14:textId="77777777" w:rsidTr="008F3C9F">
        <w:trPr>
          <w:jc w:val="right"/>
        </w:trPr>
        <w:tc>
          <w:tcPr>
            <w:tcW w:w="1905" w:type="pct"/>
          </w:tcPr>
          <w:p w14:paraId="3DAD0950" w14:textId="77777777" w:rsidR="00F662D0" w:rsidRDefault="00F662D0" w:rsidP="00EC2B1A">
            <w:pPr>
              <w:pStyle w:val="SDMTableBoxParaNotNumbered"/>
            </w:pPr>
            <w:r w:rsidRPr="002243E8">
              <w:t>Montenegro</w:t>
            </w:r>
          </w:p>
        </w:tc>
        <w:tc>
          <w:tcPr>
            <w:tcW w:w="1069" w:type="pct"/>
          </w:tcPr>
          <w:p w14:paraId="324B2A10" w14:textId="01F64F5B" w:rsidR="00F662D0" w:rsidRPr="00CF6457" w:rsidRDefault="00E752CF" w:rsidP="00EC2B1A">
            <w:pPr>
              <w:pStyle w:val="SDMTableBoxParaNotNumbered"/>
            </w:pPr>
            <w:r w:rsidRPr="0070652D">
              <w:t>0.04%</w:t>
            </w:r>
          </w:p>
        </w:tc>
        <w:tc>
          <w:tcPr>
            <w:tcW w:w="987" w:type="pct"/>
          </w:tcPr>
          <w:p w14:paraId="08998627" w14:textId="6BB3CB5F" w:rsidR="00F662D0" w:rsidRPr="00CF6457" w:rsidRDefault="00F459C3" w:rsidP="00EC2B1A">
            <w:pPr>
              <w:pStyle w:val="SDMTableBoxParaNotNumbered"/>
            </w:pPr>
            <w:r w:rsidRPr="00B5612F">
              <w:t>4.43%</w:t>
            </w:r>
          </w:p>
        </w:tc>
        <w:tc>
          <w:tcPr>
            <w:tcW w:w="1039" w:type="pct"/>
          </w:tcPr>
          <w:p w14:paraId="04BC2D96" w14:textId="0B639DA1" w:rsidR="00F662D0" w:rsidRPr="00CF6457" w:rsidRDefault="003650DC" w:rsidP="00EC2B1A">
            <w:pPr>
              <w:pStyle w:val="SDMTableBoxParaNotNumbered"/>
            </w:pPr>
            <w:r w:rsidRPr="00A644C5">
              <w:t>9.80</w:t>
            </w:r>
            <w:r w:rsidR="009B0137" w:rsidRPr="00A644C5">
              <w:t>%</w:t>
            </w:r>
          </w:p>
        </w:tc>
      </w:tr>
      <w:tr w:rsidR="00F662D0" w:rsidRPr="00EC2B1A" w14:paraId="4EC092FD" w14:textId="77777777" w:rsidTr="008F3C9F">
        <w:trPr>
          <w:jc w:val="right"/>
        </w:trPr>
        <w:tc>
          <w:tcPr>
            <w:tcW w:w="1905" w:type="pct"/>
          </w:tcPr>
          <w:p w14:paraId="5DCF1252" w14:textId="77777777" w:rsidR="00F662D0" w:rsidRDefault="00F662D0" w:rsidP="00EC2B1A">
            <w:pPr>
              <w:pStyle w:val="SDMTableBoxParaNotNumbered"/>
            </w:pPr>
            <w:r w:rsidRPr="002243E8">
              <w:t>Morocco</w:t>
            </w:r>
          </w:p>
        </w:tc>
        <w:tc>
          <w:tcPr>
            <w:tcW w:w="1069" w:type="pct"/>
          </w:tcPr>
          <w:p w14:paraId="6BFEB7BE" w14:textId="329A8283" w:rsidR="00F662D0" w:rsidRPr="00CF6457" w:rsidRDefault="00E752CF" w:rsidP="00EC2B1A">
            <w:pPr>
              <w:pStyle w:val="SDMTableBoxParaNotNumbered"/>
            </w:pPr>
            <w:r w:rsidRPr="0070652D">
              <w:t>0.00%</w:t>
            </w:r>
          </w:p>
        </w:tc>
        <w:tc>
          <w:tcPr>
            <w:tcW w:w="987" w:type="pct"/>
          </w:tcPr>
          <w:p w14:paraId="25DBD9B4" w14:textId="3FFBB8DE" w:rsidR="00F662D0" w:rsidRPr="00CF6457" w:rsidRDefault="00F459C3" w:rsidP="00EC2B1A">
            <w:pPr>
              <w:pStyle w:val="SDMTableBoxParaNotNumbered"/>
            </w:pPr>
            <w:r w:rsidRPr="00B5612F">
              <w:t>1.64%</w:t>
            </w:r>
          </w:p>
        </w:tc>
        <w:tc>
          <w:tcPr>
            <w:tcW w:w="1039" w:type="pct"/>
          </w:tcPr>
          <w:p w14:paraId="7E3B9498" w14:textId="09E04AB1" w:rsidR="00F662D0" w:rsidRPr="00CF6457" w:rsidRDefault="003650DC" w:rsidP="00EC2B1A">
            <w:pPr>
              <w:pStyle w:val="SDMTableBoxParaNotNumbered"/>
            </w:pPr>
            <w:r w:rsidRPr="00A644C5">
              <w:t>96.23%</w:t>
            </w:r>
          </w:p>
        </w:tc>
      </w:tr>
      <w:tr w:rsidR="00F662D0" w:rsidRPr="00EC2B1A" w14:paraId="6BC39D68" w14:textId="77777777" w:rsidTr="008F3C9F">
        <w:trPr>
          <w:jc w:val="right"/>
        </w:trPr>
        <w:tc>
          <w:tcPr>
            <w:tcW w:w="1905" w:type="pct"/>
          </w:tcPr>
          <w:p w14:paraId="4CD3D2D8" w14:textId="77777777" w:rsidR="00F662D0" w:rsidRDefault="00F662D0" w:rsidP="00EC2B1A">
            <w:pPr>
              <w:pStyle w:val="SDMTableBoxParaNotNumbered"/>
            </w:pPr>
            <w:r w:rsidRPr="002243E8">
              <w:t>Mozambique</w:t>
            </w:r>
          </w:p>
        </w:tc>
        <w:tc>
          <w:tcPr>
            <w:tcW w:w="1069" w:type="pct"/>
          </w:tcPr>
          <w:p w14:paraId="754C87A0" w14:textId="6C8D9DD3" w:rsidR="00F662D0" w:rsidRPr="00CF6457" w:rsidRDefault="00E752CF" w:rsidP="00EC2B1A">
            <w:pPr>
              <w:pStyle w:val="SDMTableBoxParaNotNumbered"/>
            </w:pPr>
            <w:r w:rsidRPr="0070652D">
              <w:t>0.02%</w:t>
            </w:r>
          </w:p>
        </w:tc>
        <w:tc>
          <w:tcPr>
            <w:tcW w:w="987" w:type="pct"/>
          </w:tcPr>
          <w:p w14:paraId="13FBF931" w14:textId="36EFF058" w:rsidR="00F662D0" w:rsidRPr="00CF6457" w:rsidRDefault="00F459C3" w:rsidP="00EC2B1A">
            <w:pPr>
              <w:pStyle w:val="SDMTableBoxParaNotNumbered"/>
            </w:pPr>
            <w:r w:rsidRPr="00B5612F">
              <w:t>6.19%</w:t>
            </w:r>
          </w:p>
        </w:tc>
        <w:tc>
          <w:tcPr>
            <w:tcW w:w="1039" w:type="pct"/>
          </w:tcPr>
          <w:p w14:paraId="44938E37" w14:textId="30020398" w:rsidR="00F662D0" w:rsidRPr="00CF6457" w:rsidRDefault="000A16B8" w:rsidP="00EC2B1A">
            <w:pPr>
              <w:pStyle w:val="SDMTableBoxParaNotNumbered"/>
            </w:pPr>
            <w:r w:rsidRPr="00A644C5">
              <w:t>Use global value</w:t>
            </w:r>
          </w:p>
        </w:tc>
      </w:tr>
      <w:tr w:rsidR="00F662D0" w:rsidRPr="00EC2B1A" w14:paraId="5FB72C1C" w14:textId="77777777" w:rsidTr="008F3C9F">
        <w:trPr>
          <w:jc w:val="right"/>
        </w:trPr>
        <w:tc>
          <w:tcPr>
            <w:tcW w:w="1905" w:type="pct"/>
          </w:tcPr>
          <w:p w14:paraId="4A7A9F48" w14:textId="77777777" w:rsidR="00F662D0" w:rsidRDefault="00F662D0" w:rsidP="00EC2B1A">
            <w:pPr>
              <w:pStyle w:val="SDMTableBoxParaNotNumbered"/>
            </w:pPr>
            <w:r w:rsidRPr="002243E8">
              <w:t>Myanmar</w:t>
            </w:r>
          </w:p>
        </w:tc>
        <w:tc>
          <w:tcPr>
            <w:tcW w:w="1069" w:type="pct"/>
          </w:tcPr>
          <w:p w14:paraId="5D3D7AC6" w14:textId="0FEC9760" w:rsidR="00F662D0" w:rsidRPr="00CF6457" w:rsidRDefault="00E752CF" w:rsidP="00EC2B1A">
            <w:pPr>
              <w:pStyle w:val="SDMTableBoxParaNotNumbered"/>
            </w:pPr>
            <w:r w:rsidRPr="0070652D">
              <w:t>0.32%</w:t>
            </w:r>
          </w:p>
        </w:tc>
        <w:tc>
          <w:tcPr>
            <w:tcW w:w="987" w:type="pct"/>
          </w:tcPr>
          <w:p w14:paraId="1A9BF42B" w14:textId="2DE435B0" w:rsidR="00F662D0" w:rsidRPr="00CF6457" w:rsidRDefault="00F459C3" w:rsidP="00EC2B1A">
            <w:pPr>
              <w:pStyle w:val="SDMTableBoxParaNotNumbered"/>
            </w:pPr>
            <w:r w:rsidRPr="00B5612F">
              <w:t>0.00%</w:t>
            </w:r>
          </w:p>
        </w:tc>
        <w:tc>
          <w:tcPr>
            <w:tcW w:w="1039" w:type="pct"/>
          </w:tcPr>
          <w:p w14:paraId="6BF2E139" w14:textId="2C2D8390" w:rsidR="00F662D0" w:rsidRPr="00CF6457" w:rsidRDefault="003650DC" w:rsidP="00EC2B1A">
            <w:pPr>
              <w:pStyle w:val="SDMTableBoxParaNotNumbered"/>
            </w:pPr>
            <w:r w:rsidRPr="00A644C5">
              <w:t>25.33</w:t>
            </w:r>
            <w:r w:rsidR="009B0137" w:rsidRPr="00A644C5">
              <w:t>%</w:t>
            </w:r>
          </w:p>
        </w:tc>
      </w:tr>
      <w:tr w:rsidR="00F662D0" w:rsidRPr="00EC2B1A" w14:paraId="3003AD6C" w14:textId="77777777" w:rsidTr="008F3C9F">
        <w:trPr>
          <w:jc w:val="right"/>
        </w:trPr>
        <w:tc>
          <w:tcPr>
            <w:tcW w:w="1905" w:type="pct"/>
          </w:tcPr>
          <w:p w14:paraId="1124174D" w14:textId="77777777" w:rsidR="00F662D0" w:rsidRDefault="00F662D0" w:rsidP="00EC2B1A">
            <w:pPr>
              <w:pStyle w:val="SDMTableBoxParaNotNumbered"/>
            </w:pPr>
            <w:r w:rsidRPr="002243E8">
              <w:t>Namibia</w:t>
            </w:r>
          </w:p>
        </w:tc>
        <w:tc>
          <w:tcPr>
            <w:tcW w:w="1069" w:type="pct"/>
          </w:tcPr>
          <w:p w14:paraId="309E9261" w14:textId="0277EAC3" w:rsidR="00F662D0" w:rsidRPr="00CF6457" w:rsidRDefault="00E752CF" w:rsidP="00EC2B1A">
            <w:pPr>
              <w:pStyle w:val="SDMTableBoxParaNotNumbered"/>
            </w:pPr>
            <w:r w:rsidRPr="0070652D">
              <w:t>0.39%</w:t>
            </w:r>
          </w:p>
        </w:tc>
        <w:tc>
          <w:tcPr>
            <w:tcW w:w="987" w:type="pct"/>
          </w:tcPr>
          <w:p w14:paraId="4E626FED" w14:textId="26EC72FC" w:rsidR="00F662D0" w:rsidRPr="00CF6457" w:rsidRDefault="00F459C3" w:rsidP="00EC2B1A">
            <w:pPr>
              <w:pStyle w:val="SDMTableBoxParaNotNumbered"/>
            </w:pPr>
            <w:r w:rsidRPr="00B5612F">
              <w:t>5.14%</w:t>
            </w:r>
          </w:p>
        </w:tc>
        <w:tc>
          <w:tcPr>
            <w:tcW w:w="1039" w:type="pct"/>
          </w:tcPr>
          <w:p w14:paraId="316CA506" w14:textId="15BB049D" w:rsidR="00F662D0" w:rsidRPr="00CF6457" w:rsidRDefault="003650DC" w:rsidP="00EC2B1A">
            <w:pPr>
              <w:pStyle w:val="SDMTableBoxParaNotNumbered"/>
            </w:pPr>
            <w:r w:rsidRPr="00A644C5">
              <w:t>39.95</w:t>
            </w:r>
            <w:r w:rsidR="009B0137" w:rsidRPr="00A644C5">
              <w:t>%</w:t>
            </w:r>
          </w:p>
        </w:tc>
      </w:tr>
      <w:tr w:rsidR="00F662D0" w:rsidRPr="00EC2B1A" w14:paraId="09FFF721" w14:textId="77777777" w:rsidTr="008F3C9F">
        <w:trPr>
          <w:jc w:val="right"/>
        </w:trPr>
        <w:tc>
          <w:tcPr>
            <w:tcW w:w="1905" w:type="pct"/>
          </w:tcPr>
          <w:p w14:paraId="1820E4B3" w14:textId="77777777" w:rsidR="00F662D0" w:rsidRDefault="00F662D0" w:rsidP="00EC2B1A">
            <w:pPr>
              <w:pStyle w:val="SDMTableBoxParaNotNumbered"/>
            </w:pPr>
            <w:r w:rsidRPr="002243E8">
              <w:t>Nauru</w:t>
            </w:r>
          </w:p>
        </w:tc>
        <w:tc>
          <w:tcPr>
            <w:tcW w:w="1069" w:type="pct"/>
          </w:tcPr>
          <w:p w14:paraId="40F2600C" w14:textId="4D75E6BF" w:rsidR="00F662D0" w:rsidRPr="00CF6457" w:rsidRDefault="00E752CF" w:rsidP="00EC2B1A">
            <w:pPr>
              <w:pStyle w:val="SDMTableBoxParaNotNumbered"/>
            </w:pPr>
            <w:r w:rsidRPr="0070652D">
              <w:t>0.00%</w:t>
            </w:r>
          </w:p>
        </w:tc>
        <w:tc>
          <w:tcPr>
            <w:tcW w:w="987" w:type="pct"/>
          </w:tcPr>
          <w:p w14:paraId="2D5B8EF7" w14:textId="5804036A" w:rsidR="00F662D0" w:rsidRPr="00CF6457" w:rsidRDefault="00F459C3" w:rsidP="00EC2B1A">
            <w:pPr>
              <w:pStyle w:val="SDMTableBoxParaNotNumbered"/>
            </w:pPr>
            <w:r w:rsidRPr="00B5612F">
              <w:t>0.00%</w:t>
            </w:r>
          </w:p>
        </w:tc>
        <w:tc>
          <w:tcPr>
            <w:tcW w:w="1039" w:type="pct"/>
          </w:tcPr>
          <w:p w14:paraId="2C887512" w14:textId="79A09BDD" w:rsidR="00F662D0" w:rsidRPr="00CF6457" w:rsidRDefault="000A16B8" w:rsidP="00EC2B1A">
            <w:pPr>
              <w:pStyle w:val="SDMTableBoxParaNotNumbered"/>
            </w:pPr>
            <w:r w:rsidRPr="00A644C5">
              <w:t>Use global value</w:t>
            </w:r>
          </w:p>
        </w:tc>
      </w:tr>
      <w:tr w:rsidR="00F662D0" w:rsidRPr="00EC2B1A" w14:paraId="6385F497" w14:textId="77777777" w:rsidTr="008F3C9F">
        <w:trPr>
          <w:jc w:val="right"/>
        </w:trPr>
        <w:tc>
          <w:tcPr>
            <w:tcW w:w="1905" w:type="pct"/>
          </w:tcPr>
          <w:p w14:paraId="3BB85A52" w14:textId="77777777" w:rsidR="00F662D0" w:rsidRDefault="00F662D0" w:rsidP="00EC2B1A">
            <w:pPr>
              <w:pStyle w:val="SDMTableBoxParaNotNumbered"/>
            </w:pPr>
            <w:r w:rsidRPr="002243E8">
              <w:t>Nepal</w:t>
            </w:r>
          </w:p>
        </w:tc>
        <w:tc>
          <w:tcPr>
            <w:tcW w:w="1069" w:type="pct"/>
          </w:tcPr>
          <w:p w14:paraId="2A6DD182" w14:textId="3F22182A" w:rsidR="00F662D0" w:rsidRPr="00CF6457" w:rsidRDefault="00E752CF" w:rsidP="00EC2B1A">
            <w:pPr>
              <w:pStyle w:val="SDMTableBoxParaNotNumbered"/>
            </w:pPr>
            <w:r w:rsidRPr="0070652D">
              <w:t>Use global value</w:t>
            </w:r>
          </w:p>
        </w:tc>
        <w:tc>
          <w:tcPr>
            <w:tcW w:w="987" w:type="pct"/>
          </w:tcPr>
          <w:p w14:paraId="520B3A46" w14:textId="2D03D97E" w:rsidR="00F662D0" w:rsidRPr="00CF6457" w:rsidRDefault="00F459C3" w:rsidP="00EC2B1A">
            <w:pPr>
              <w:pStyle w:val="SDMTableBoxParaNotNumbered"/>
            </w:pPr>
            <w:r w:rsidRPr="00B5612F">
              <w:t>0.92%</w:t>
            </w:r>
          </w:p>
        </w:tc>
        <w:tc>
          <w:tcPr>
            <w:tcW w:w="1039" w:type="pct"/>
          </w:tcPr>
          <w:p w14:paraId="13C7654D" w14:textId="0B7DF355" w:rsidR="00F662D0" w:rsidRPr="00CF6457" w:rsidRDefault="009B0137" w:rsidP="00EC2B1A">
            <w:pPr>
              <w:pStyle w:val="SDMTableBoxParaNotNumbered"/>
            </w:pPr>
            <w:r w:rsidRPr="00A644C5">
              <w:t>0.</w:t>
            </w:r>
            <w:r w:rsidR="003650DC" w:rsidRPr="00A644C5">
              <w:t>90</w:t>
            </w:r>
            <w:r w:rsidRPr="00A644C5">
              <w:t>%</w:t>
            </w:r>
          </w:p>
        </w:tc>
      </w:tr>
      <w:tr w:rsidR="00F662D0" w:rsidRPr="00EC2B1A" w14:paraId="516197CC" w14:textId="77777777" w:rsidTr="008F3C9F">
        <w:trPr>
          <w:jc w:val="right"/>
        </w:trPr>
        <w:tc>
          <w:tcPr>
            <w:tcW w:w="1905" w:type="pct"/>
          </w:tcPr>
          <w:p w14:paraId="250538D9" w14:textId="77777777" w:rsidR="00F662D0" w:rsidRDefault="00F662D0" w:rsidP="00EC2B1A">
            <w:pPr>
              <w:pStyle w:val="SDMTableBoxParaNotNumbered"/>
            </w:pPr>
            <w:r w:rsidRPr="002243E8">
              <w:t>Netherlands</w:t>
            </w:r>
          </w:p>
        </w:tc>
        <w:tc>
          <w:tcPr>
            <w:tcW w:w="1069" w:type="pct"/>
          </w:tcPr>
          <w:p w14:paraId="54629733" w14:textId="1A05C785" w:rsidR="00F662D0" w:rsidRPr="00CF6457" w:rsidRDefault="00E752CF" w:rsidP="00EC2B1A">
            <w:pPr>
              <w:pStyle w:val="SDMTableBoxParaNotNumbered"/>
            </w:pPr>
            <w:r w:rsidRPr="0070652D">
              <w:t>4.35%</w:t>
            </w:r>
          </w:p>
        </w:tc>
        <w:tc>
          <w:tcPr>
            <w:tcW w:w="987" w:type="pct"/>
          </w:tcPr>
          <w:p w14:paraId="654F6C79" w14:textId="07BB8467" w:rsidR="00F662D0" w:rsidRPr="00CF6457" w:rsidRDefault="00F459C3" w:rsidP="00EC2B1A">
            <w:pPr>
              <w:pStyle w:val="SDMTableBoxParaNotNumbered"/>
            </w:pPr>
            <w:r w:rsidRPr="00B5612F">
              <w:t>9.32%</w:t>
            </w:r>
          </w:p>
        </w:tc>
        <w:tc>
          <w:tcPr>
            <w:tcW w:w="1039" w:type="pct"/>
          </w:tcPr>
          <w:p w14:paraId="33013BD8" w14:textId="0BA17472" w:rsidR="00F662D0" w:rsidRPr="00CF6457" w:rsidRDefault="003650DC" w:rsidP="00EC2B1A">
            <w:pPr>
              <w:pStyle w:val="SDMTableBoxParaNotNumbered"/>
            </w:pPr>
            <w:r w:rsidRPr="00A644C5">
              <w:t>63.17</w:t>
            </w:r>
            <w:r w:rsidR="009B0137" w:rsidRPr="00A644C5">
              <w:t>%</w:t>
            </w:r>
          </w:p>
        </w:tc>
      </w:tr>
      <w:tr w:rsidR="00F662D0" w:rsidRPr="00EC2B1A" w14:paraId="1384C657" w14:textId="77777777" w:rsidTr="008F3C9F">
        <w:trPr>
          <w:jc w:val="right"/>
        </w:trPr>
        <w:tc>
          <w:tcPr>
            <w:tcW w:w="1905" w:type="pct"/>
          </w:tcPr>
          <w:p w14:paraId="50902F10" w14:textId="77777777" w:rsidR="00F662D0" w:rsidRDefault="00F662D0" w:rsidP="00EC2B1A">
            <w:pPr>
              <w:pStyle w:val="SDMTableBoxParaNotNumbered"/>
            </w:pPr>
            <w:r w:rsidRPr="002243E8">
              <w:t>New Zealand</w:t>
            </w:r>
          </w:p>
        </w:tc>
        <w:tc>
          <w:tcPr>
            <w:tcW w:w="1069" w:type="pct"/>
          </w:tcPr>
          <w:p w14:paraId="466A54AD" w14:textId="7C1A79FD" w:rsidR="00F662D0" w:rsidRPr="00CF6457" w:rsidRDefault="00E752CF" w:rsidP="00EC2B1A">
            <w:pPr>
              <w:pStyle w:val="SDMTableBoxParaNotNumbered"/>
            </w:pPr>
            <w:r w:rsidRPr="0070652D">
              <w:t>0.00%</w:t>
            </w:r>
          </w:p>
        </w:tc>
        <w:tc>
          <w:tcPr>
            <w:tcW w:w="987" w:type="pct"/>
          </w:tcPr>
          <w:p w14:paraId="783F3ED8" w14:textId="212A94F8" w:rsidR="00F662D0" w:rsidRPr="00CF6457" w:rsidRDefault="00F459C3" w:rsidP="00EC2B1A">
            <w:pPr>
              <w:pStyle w:val="SDMTableBoxParaNotNumbered"/>
            </w:pPr>
            <w:r w:rsidRPr="00B5612F">
              <w:t>4.01%</w:t>
            </w:r>
          </w:p>
        </w:tc>
        <w:tc>
          <w:tcPr>
            <w:tcW w:w="1039" w:type="pct"/>
          </w:tcPr>
          <w:p w14:paraId="2D5AE80B" w14:textId="7E97FDB6" w:rsidR="00F662D0" w:rsidRPr="00CF6457" w:rsidRDefault="003650DC" w:rsidP="00EC2B1A">
            <w:pPr>
              <w:pStyle w:val="SDMTableBoxParaNotNumbered"/>
            </w:pPr>
            <w:r w:rsidRPr="00A644C5">
              <w:t>38.69</w:t>
            </w:r>
            <w:r w:rsidR="009B0137" w:rsidRPr="00A644C5">
              <w:t>%</w:t>
            </w:r>
          </w:p>
        </w:tc>
      </w:tr>
      <w:tr w:rsidR="00F662D0" w:rsidRPr="00EC2B1A" w14:paraId="7380E411" w14:textId="77777777" w:rsidTr="008F3C9F">
        <w:trPr>
          <w:jc w:val="right"/>
        </w:trPr>
        <w:tc>
          <w:tcPr>
            <w:tcW w:w="1905" w:type="pct"/>
          </w:tcPr>
          <w:p w14:paraId="67B9B100" w14:textId="77777777" w:rsidR="00F662D0" w:rsidRDefault="00F662D0" w:rsidP="00EC2B1A">
            <w:pPr>
              <w:pStyle w:val="SDMTableBoxParaNotNumbered"/>
            </w:pPr>
            <w:r w:rsidRPr="002243E8">
              <w:t>Nicaragua</w:t>
            </w:r>
          </w:p>
        </w:tc>
        <w:tc>
          <w:tcPr>
            <w:tcW w:w="1069" w:type="pct"/>
          </w:tcPr>
          <w:p w14:paraId="59C82C15" w14:textId="1EC6DAB2" w:rsidR="00F662D0" w:rsidRPr="00CF6457" w:rsidRDefault="00E752CF" w:rsidP="00EC2B1A">
            <w:pPr>
              <w:pStyle w:val="SDMTableBoxParaNotNumbered"/>
            </w:pPr>
            <w:r w:rsidRPr="0070652D">
              <w:t>0.05%</w:t>
            </w:r>
          </w:p>
        </w:tc>
        <w:tc>
          <w:tcPr>
            <w:tcW w:w="987" w:type="pct"/>
          </w:tcPr>
          <w:p w14:paraId="6F500EB9" w14:textId="79A1A59D" w:rsidR="00F662D0" w:rsidRPr="00CF6457" w:rsidRDefault="00F459C3" w:rsidP="00EC2B1A">
            <w:pPr>
              <w:pStyle w:val="SDMTableBoxParaNotNumbered"/>
            </w:pPr>
            <w:r w:rsidRPr="00B5612F">
              <w:t>5.69%</w:t>
            </w:r>
          </w:p>
        </w:tc>
        <w:tc>
          <w:tcPr>
            <w:tcW w:w="1039" w:type="pct"/>
          </w:tcPr>
          <w:p w14:paraId="6D51BB07" w14:textId="4DC7D65E" w:rsidR="00F662D0" w:rsidRPr="00CF6457" w:rsidRDefault="003650DC" w:rsidP="00EC2B1A">
            <w:pPr>
              <w:pStyle w:val="SDMTableBoxParaNotNumbered"/>
            </w:pPr>
            <w:r w:rsidRPr="00A644C5">
              <w:t>73.62</w:t>
            </w:r>
            <w:r w:rsidR="009B0137" w:rsidRPr="00A644C5">
              <w:t>%</w:t>
            </w:r>
          </w:p>
        </w:tc>
      </w:tr>
      <w:tr w:rsidR="00F662D0" w:rsidRPr="00EC2B1A" w14:paraId="4B29D9F7" w14:textId="77777777" w:rsidTr="008F3C9F">
        <w:trPr>
          <w:jc w:val="right"/>
        </w:trPr>
        <w:tc>
          <w:tcPr>
            <w:tcW w:w="1905" w:type="pct"/>
          </w:tcPr>
          <w:p w14:paraId="32BA4900" w14:textId="090E85F3" w:rsidR="00F662D0" w:rsidRDefault="00F662D0" w:rsidP="00EC2B1A">
            <w:pPr>
              <w:pStyle w:val="SDMTableBoxParaNotNumbered"/>
            </w:pPr>
            <w:r w:rsidRPr="002243E8">
              <w:t>Niger</w:t>
            </w:r>
          </w:p>
        </w:tc>
        <w:tc>
          <w:tcPr>
            <w:tcW w:w="1069" w:type="pct"/>
          </w:tcPr>
          <w:p w14:paraId="2F8F6356" w14:textId="4DC094D6" w:rsidR="00F662D0" w:rsidRPr="00CF6457" w:rsidRDefault="00E752CF" w:rsidP="00EC2B1A">
            <w:pPr>
              <w:pStyle w:val="SDMTableBoxParaNotNumbered"/>
            </w:pPr>
            <w:r w:rsidRPr="0070652D">
              <w:t>0.83%</w:t>
            </w:r>
          </w:p>
        </w:tc>
        <w:tc>
          <w:tcPr>
            <w:tcW w:w="987" w:type="pct"/>
          </w:tcPr>
          <w:p w14:paraId="2AE2A805" w14:textId="495B68BA" w:rsidR="00F662D0" w:rsidRPr="00CF6457" w:rsidRDefault="00F459C3" w:rsidP="00EC2B1A">
            <w:pPr>
              <w:pStyle w:val="SDMTableBoxParaNotNumbered"/>
            </w:pPr>
            <w:r w:rsidRPr="00B5612F">
              <w:t>0.90%</w:t>
            </w:r>
          </w:p>
        </w:tc>
        <w:tc>
          <w:tcPr>
            <w:tcW w:w="1039" w:type="pct"/>
          </w:tcPr>
          <w:p w14:paraId="5454901F" w14:textId="39D323A4" w:rsidR="00F662D0" w:rsidRPr="00CF6457" w:rsidRDefault="009B0137" w:rsidP="00EC2B1A">
            <w:pPr>
              <w:pStyle w:val="SDMTableBoxParaNotNumbered"/>
            </w:pPr>
            <w:r w:rsidRPr="00A644C5">
              <w:t>3.</w:t>
            </w:r>
            <w:r w:rsidR="003650DC" w:rsidRPr="00A644C5">
              <w:t>69</w:t>
            </w:r>
            <w:r w:rsidRPr="00A644C5">
              <w:t>%</w:t>
            </w:r>
          </w:p>
        </w:tc>
      </w:tr>
      <w:tr w:rsidR="00F662D0" w:rsidRPr="00EC2B1A" w14:paraId="06BFAD83" w14:textId="77777777" w:rsidTr="008F3C9F">
        <w:trPr>
          <w:jc w:val="right"/>
        </w:trPr>
        <w:tc>
          <w:tcPr>
            <w:tcW w:w="1905" w:type="pct"/>
          </w:tcPr>
          <w:p w14:paraId="1F9BB75E" w14:textId="77777777" w:rsidR="00F662D0" w:rsidRDefault="00F662D0" w:rsidP="00EC2B1A">
            <w:pPr>
              <w:pStyle w:val="SDMTableBoxParaNotNumbered"/>
            </w:pPr>
            <w:r w:rsidRPr="002243E8">
              <w:t>Nigeria</w:t>
            </w:r>
          </w:p>
        </w:tc>
        <w:tc>
          <w:tcPr>
            <w:tcW w:w="1069" w:type="pct"/>
          </w:tcPr>
          <w:p w14:paraId="33D6546F" w14:textId="701ABC17" w:rsidR="00F662D0" w:rsidRPr="00CF6457" w:rsidRDefault="00E752CF" w:rsidP="00EC2B1A">
            <w:pPr>
              <w:pStyle w:val="SDMTableBoxParaNotNumbered"/>
            </w:pPr>
            <w:r w:rsidRPr="0070652D">
              <w:t>0.00%</w:t>
            </w:r>
          </w:p>
        </w:tc>
        <w:tc>
          <w:tcPr>
            <w:tcW w:w="987" w:type="pct"/>
          </w:tcPr>
          <w:p w14:paraId="40720482" w14:textId="52CD889A" w:rsidR="00F662D0" w:rsidRPr="00CF6457" w:rsidRDefault="00F459C3" w:rsidP="00EC2B1A">
            <w:pPr>
              <w:pStyle w:val="SDMTableBoxParaNotNumbered"/>
            </w:pPr>
            <w:r w:rsidRPr="00B5612F">
              <w:t>0.73%</w:t>
            </w:r>
          </w:p>
        </w:tc>
        <w:tc>
          <w:tcPr>
            <w:tcW w:w="1039" w:type="pct"/>
          </w:tcPr>
          <w:p w14:paraId="7123D56D" w14:textId="6A05541A" w:rsidR="00F662D0" w:rsidRPr="00CF6457" w:rsidRDefault="003650DC" w:rsidP="00EC2B1A">
            <w:pPr>
              <w:pStyle w:val="SDMTableBoxParaNotNumbered"/>
            </w:pPr>
            <w:r w:rsidRPr="00A644C5">
              <w:t>18.24</w:t>
            </w:r>
            <w:r w:rsidR="009B0137" w:rsidRPr="00A644C5">
              <w:t>%</w:t>
            </w:r>
          </w:p>
        </w:tc>
      </w:tr>
      <w:tr w:rsidR="00F662D0" w:rsidRPr="00EC2B1A" w14:paraId="7160FB0C" w14:textId="77777777" w:rsidTr="008F3C9F">
        <w:trPr>
          <w:jc w:val="right"/>
        </w:trPr>
        <w:tc>
          <w:tcPr>
            <w:tcW w:w="1905" w:type="pct"/>
          </w:tcPr>
          <w:p w14:paraId="565D9E74" w14:textId="77777777" w:rsidR="00F662D0" w:rsidRDefault="00F662D0" w:rsidP="00EC2B1A">
            <w:pPr>
              <w:pStyle w:val="SDMTableBoxParaNotNumbered"/>
            </w:pPr>
            <w:r w:rsidRPr="002243E8">
              <w:t>North Macedonia</w:t>
            </w:r>
          </w:p>
        </w:tc>
        <w:tc>
          <w:tcPr>
            <w:tcW w:w="1069" w:type="pct"/>
          </w:tcPr>
          <w:p w14:paraId="60949B29" w14:textId="67837DAD" w:rsidR="00F662D0" w:rsidRPr="00CF6457" w:rsidRDefault="00E752CF" w:rsidP="00EC2B1A">
            <w:pPr>
              <w:pStyle w:val="SDMTableBoxParaNotNumbered"/>
            </w:pPr>
            <w:r w:rsidRPr="0070652D">
              <w:t>2.68%</w:t>
            </w:r>
          </w:p>
        </w:tc>
        <w:tc>
          <w:tcPr>
            <w:tcW w:w="987" w:type="pct"/>
          </w:tcPr>
          <w:p w14:paraId="401157A0" w14:textId="067862D3" w:rsidR="00F662D0" w:rsidRPr="00CF6457" w:rsidRDefault="00F459C3" w:rsidP="00EC2B1A">
            <w:pPr>
              <w:pStyle w:val="SDMTableBoxParaNotNumbered"/>
            </w:pPr>
            <w:r w:rsidRPr="00B5612F">
              <w:t>2.84%</w:t>
            </w:r>
          </w:p>
        </w:tc>
        <w:tc>
          <w:tcPr>
            <w:tcW w:w="1039" w:type="pct"/>
          </w:tcPr>
          <w:p w14:paraId="745B65E5" w14:textId="4044534A" w:rsidR="00F662D0" w:rsidRPr="00CF6457" w:rsidRDefault="003650DC" w:rsidP="00EC2B1A">
            <w:pPr>
              <w:pStyle w:val="SDMTableBoxParaNotNumbered"/>
            </w:pPr>
            <w:r w:rsidRPr="00A644C5">
              <w:t>22.71%</w:t>
            </w:r>
          </w:p>
        </w:tc>
      </w:tr>
      <w:tr w:rsidR="00F662D0" w:rsidRPr="00EC2B1A" w14:paraId="2A5AE340" w14:textId="77777777" w:rsidTr="008F3C9F">
        <w:trPr>
          <w:jc w:val="right"/>
        </w:trPr>
        <w:tc>
          <w:tcPr>
            <w:tcW w:w="1905" w:type="pct"/>
          </w:tcPr>
          <w:p w14:paraId="308BFB1D" w14:textId="77777777" w:rsidR="00F662D0" w:rsidRDefault="00F662D0" w:rsidP="00EC2B1A">
            <w:pPr>
              <w:pStyle w:val="SDMTableBoxParaNotNumbered"/>
            </w:pPr>
            <w:r w:rsidRPr="002243E8">
              <w:t>Norway</w:t>
            </w:r>
          </w:p>
        </w:tc>
        <w:tc>
          <w:tcPr>
            <w:tcW w:w="1069" w:type="pct"/>
          </w:tcPr>
          <w:p w14:paraId="052D55D7" w14:textId="3A79433E" w:rsidR="00F662D0" w:rsidRPr="00CF6457" w:rsidRDefault="00E752CF" w:rsidP="00EC2B1A">
            <w:pPr>
              <w:pStyle w:val="SDMTableBoxParaNotNumbered"/>
            </w:pPr>
            <w:r w:rsidRPr="0070652D">
              <w:t>0.08%</w:t>
            </w:r>
          </w:p>
        </w:tc>
        <w:tc>
          <w:tcPr>
            <w:tcW w:w="987" w:type="pct"/>
          </w:tcPr>
          <w:p w14:paraId="3742C577" w14:textId="5373DE1E" w:rsidR="00F662D0" w:rsidRPr="00CF6457" w:rsidRDefault="00F459C3" w:rsidP="00EC2B1A">
            <w:pPr>
              <w:pStyle w:val="SDMTableBoxParaNotNumbered"/>
            </w:pPr>
            <w:r w:rsidRPr="00B5612F">
              <w:t>2.60%</w:t>
            </w:r>
          </w:p>
        </w:tc>
        <w:tc>
          <w:tcPr>
            <w:tcW w:w="1039" w:type="pct"/>
          </w:tcPr>
          <w:p w14:paraId="179E2E17" w14:textId="545B6665" w:rsidR="00F662D0" w:rsidRPr="00CF6457" w:rsidRDefault="003650DC" w:rsidP="00EC2B1A">
            <w:pPr>
              <w:pStyle w:val="SDMTableBoxParaNotNumbered"/>
            </w:pPr>
            <w:r w:rsidRPr="00A644C5">
              <w:t>11.33%</w:t>
            </w:r>
          </w:p>
        </w:tc>
      </w:tr>
      <w:tr w:rsidR="00F662D0" w:rsidRPr="00EC2B1A" w14:paraId="4C3EA4CE" w14:textId="77777777" w:rsidTr="008F3C9F">
        <w:trPr>
          <w:jc w:val="right"/>
        </w:trPr>
        <w:tc>
          <w:tcPr>
            <w:tcW w:w="1905" w:type="pct"/>
          </w:tcPr>
          <w:p w14:paraId="7BCCDF3F" w14:textId="77777777" w:rsidR="00F662D0" w:rsidRDefault="00F662D0" w:rsidP="00EC2B1A">
            <w:pPr>
              <w:pStyle w:val="SDMTableBoxParaNotNumbered"/>
            </w:pPr>
            <w:r w:rsidRPr="002243E8">
              <w:t>Oman</w:t>
            </w:r>
          </w:p>
        </w:tc>
        <w:tc>
          <w:tcPr>
            <w:tcW w:w="1069" w:type="pct"/>
          </w:tcPr>
          <w:p w14:paraId="7D9D5B49" w14:textId="591582DB" w:rsidR="00F662D0" w:rsidRPr="00CF6457" w:rsidRDefault="00E752CF" w:rsidP="00EC2B1A">
            <w:pPr>
              <w:pStyle w:val="SDMTableBoxParaNotNumbered"/>
            </w:pPr>
            <w:r w:rsidRPr="0070652D">
              <w:t>0.01%</w:t>
            </w:r>
          </w:p>
        </w:tc>
        <w:tc>
          <w:tcPr>
            <w:tcW w:w="987" w:type="pct"/>
          </w:tcPr>
          <w:p w14:paraId="18C3F2D6" w14:textId="1F1CF7D9" w:rsidR="00F662D0" w:rsidRPr="00CF6457" w:rsidRDefault="00F459C3" w:rsidP="00EC2B1A">
            <w:pPr>
              <w:pStyle w:val="SDMTableBoxParaNotNumbered"/>
            </w:pPr>
            <w:r w:rsidRPr="00B5612F">
              <w:t>0.70%</w:t>
            </w:r>
          </w:p>
        </w:tc>
        <w:tc>
          <w:tcPr>
            <w:tcW w:w="1039" w:type="pct"/>
          </w:tcPr>
          <w:p w14:paraId="3047C433" w14:textId="6E2BF966" w:rsidR="00F662D0" w:rsidRPr="00CF6457" w:rsidRDefault="003650DC" w:rsidP="00EC2B1A">
            <w:pPr>
              <w:pStyle w:val="SDMTableBoxParaNotNumbered"/>
            </w:pPr>
            <w:r w:rsidRPr="00A644C5">
              <w:t>32.52</w:t>
            </w:r>
            <w:r w:rsidR="009B0137" w:rsidRPr="00A644C5">
              <w:t>%</w:t>
            </w:r>
          </w:p>
        </w:tc>
      </w:tr>
      <w:tr w:rsidR="00F662D0" w:rsidRPr="00EC2B1A" w14:paraId="67FDAFD5" w14:textId="77777777" w:rsidTr="008F3C9F">
        <w:trPr>
          <w:jc w:val="right"/>
        </w:trPr>
        <w:tc>
          <w:tcPr>
            <w:tcW w:w="1905" w:type="pct"/>
          </w:tcPr>
          <w:p w14:paraId="1A45493B" w14:textId="77777777" w:rsidR="00F662D0" w:rsidRDefault="00F662D0" w:rsidP="00EC2B1A">
            <w:pPr>
              <w:pStyle w:val="SDMTableBoxParaNotNumbered"/>
            </w:pPr>
            <w:r w:rsidRPr="002243E8">
              <w:t>Pakistan</w:t>
            </w:r>
          </w:p>
        </w:tc>
        <w:tc>
          <w:tcPr>
            <w:tcW w:w="1069" w:type="pct"/>
          </w:tcPr>
          <w:p w14:paraId="6F172077" w14:textId="2949E387" w:rsidR="00F662D0" w:rsidRPr="00CF6457" w:rsidRDefault="00E752CF" w:rsidP="00EC2B1A">
            <w:pPr>
              <w:pStyle w:val="SDMTableBoxParaNotNumbered"/>
            </w:pPr>
            <w:r w:rsidRPr="0070652D">
              <w:t>0.00%</w:t>
            </w:r>
          </w:p>
        </w:tc>
        <w:tc>
          <w:tcPr>
            <w:tcW w:w="987" w:type="pct"/>
          </w:tcPr>
          <w:p w14:paraId="654572BC" w14:textId="355CF63B" w:rsidR="00F662D0" w:rsidRPr="00CF6457" w:rsidRDefault="00F459C3" w:rsidP="00EC2B1A">
            <w:pPr>
              <w:pStyle w:val="SDMTableBoxParaNotNumbered"/>
            </w:pPr>
            <w:r w:rsidRPr="00B5612F">
              <w:t>3.20%</w:t>
            </w:r>
          </w:p>
        </w:tc>
        <w:tc>
          <w:tcPr>
            <w:tcW w:w="1039" w:type="pct"/>
          </w:tcPr>
          <w:p w14:paraId="344F79BA" w14:textId="658EBBB9" w:rsidR="00F662D0" w:rsidRPr="00CF6457" w:rsidRDefault="003650DC" w:rsidP="00EC2B1A">
            <w:pPr>
              <w:pStyle w:val="SDMTableBoxParaNotNumbered"/>
            </w:pPr>
            <w:r w:rsidRPr="00A644C5">
              <w:t>17.61</w:t>
            </w:r>
            <w:r w:rsidR="009B0137" w:rsidRPr="00A644C5">
              <w:t>%</w:t>
            </w:r>
          </w:p>
        </w:tc>
      </w:tr>
      <w:tr w:rsidR="00F662D0" w:rsidRPr="00EC2B1A" w14:paraId="2C4373B6" w14:textId="77777777" w:rsidTr="008F3C9F">
        <w:trPr>
          <w:jc w:val="right"/>
        </w:trPr>
        <w:tc>
          <w:tcPr>
            <w:tcW w:w="1905" w:type="pct"/>
          </w:tcPr>
          <w:p w14:paraId="5C6B6340" w14:textId="77777777" w:rsidR="00F662D0" w:rsidRDefault="00F662D0" w:rsidP="00EC2B1A">
            <w:pPr>
              <w:pStyle w:val="SDMTableBoxParaNotNumbered"/>
            </w:pPr>
            <w:r w:rsidRPr="002243E8">
              <w:t>Panama</w:t>
            </w:r>
          </w:p>
        </w:tc>
        <w:tc>
          <w:tcPr>
            <w:tcW w:w="1069" w:type="pct"/>
          </w:tcPr>
          <w:p w14:paraId="1ECB6C37" w14:textId="2F6FA0B2" w:rsidR="00F662D0" w:rsidRPr="00CF6457" w:rsidRDefault="00E752CF" w:rsidP="00EC2B1A">
            <w:pPr>
              <w:pStyle w:val="SDMTableBoxParaNotNumbered"/>
            </w:pPr>
            <w:r w:rsidRPr="0070652D">
              <w:t>1.43%</w:t>
            </w:r>
          </w:p>
        </w:tc>
        <w:tc>
          <w:tcPr>
            <w:tcW w:w="987" w:type="pct"/>
          </w:tcPr>
          <w:p w14:paraId="7D033BEA" w14:textId="3B1C0AA3" w:rsidR="00F662D0" w:rsidRPr="00CF6457" w:rsidRDefault="00F459C3" w:rsidP="00EC2B1A">
            <w:pPr>
              <w:pStyle w:val="SDMTableBoxParaNotNumbered"/>
            </w:pPr>
            <w:r w:rsidRPr="00B5612F">
              <w:t>9.09%</w:t>
            </w:r>
          </w:p>
        </w:tc>
        <w:tc>
          <w:tcPr>
            <w:tcW w:w="1039" w:type="pct"/>
          </w:tcPr>
          <w:p w14:paraId="001E7A38" w14:textId="2970677A" w:rsidR="00F662D0" w:rsidRPr="00CF6457" w:rsidRDefault="003650DC" w:rsidP="00EC2B1A">
            <w:pPr>
              <w:pStyle w:val="SDMTableBoxParaNotNumbered"/>
            </w:pPr>
            <w:r w:rsidRPr="00A644C5">
              <w:t>46.37</w:t>
            </w:r>
            <w:r w:rsidR="009B0137" w:rsidRPr="00A644C5">
              <w:t>%</w:t>
            </w:r>
          </w:p>
        </w:tc>
      </w:tr>
      <w:tr w:rsidR="00F662D0" w:rsidRPr="00EC2B1A" w14:paraId="662DCAFF" w14:textId="77777777" w:rsidTr="008F3C9F">
        <w:trPr>
          <w:jc w:val="right"/>
        </w:trPr>
        <w:tc>
          <w:tcPr>
            <w:tcW w:w="1905" w:type="pct"/>
          </w:tcPr>
          <w:p w14:paraId="32BADDE4" w14:textId="77777777" w:rsidR="00F662D0" w:rsidRDefault="00F662D0" w:rsidP="00EC2B1A">
            <w:pPr>
              <w:pStyle w:val="SDMTableBoxParaNotNumbered"/>
            </w:pPr>
            <w:r w:rsidRPr="002243E8">
              <w:t>Papua New Guinea</w:t>
            </w:r>
          </w:p>
        </w:tc>
        <w:tc>
          <w:tcPr>
            <w:tcW w:w="1069" w:type="pct"/>
          </w:tcPr>
          <w:p w14:paraId="45DF54B6" w14:textId="68749185" w:rsidR="00F662D0" w:rsidRPr="00CF6457" w:rsidRDefault="00E752CF" w:rsidP="00EC2B1A">
            <w:pPr>
              <w:pStyle w:val="SDMTableBoxParaNotNumbered"/>
            </w:pPr>
            <w:r w:rsidRPr="0070652D">
              <w:t>0.07%</w:t>
            </w:r>
          </w:p>
        </w:tc>
        <w:tc>
          <w:tcPr>
            <w:tcW w:w="987" w:type="pct"/>
          </w:tcPr>
          <w:p w14:paraId="23C19EA3" w14:textId="3DD0EC0D" w:rsidR="00F662D0" w:rsidRPr="00CF6457" w:rsidRDefault="00F459C3" w:rsidP="00EC2B1A">
            <w:pPr>
              <w:pStyle w:val="SDMTableBoxParaNotNumbered"/>
            </w:pPr>
            <w:r w:rsidRPr="00B5612F">
              <w:t>0.00%</w:t>
            </w:r>
          </w:p>
        </w:tc>
        <w:tc>
          <w:tcPr>
            <w:tcW w:w="1039" w:type="pct"/>
          </w:tcPr>
          <w:p w14:paraId="55EFA8DB" w14:textId="70B1E6F9" w:rsidR="00F662D0" w:rsidRPr="00CF6457" w:rsidRDefault="003650DC" w:rsidP="00EC2B1A">
            <w:pPr>
              <w:pStyle w:val="SDMTableBoxParaNotNumbered"/>
            </w:pPr>
            <w:r w:rsidRPr="00A644C5">
              <w:t>36.74</w:t>
            </w:r>
            <w:r w:rsidR="009B0137" w:rsidRPr="00A644C5">
              <w:t>%</w:t>
            </w:r>
          </w:p>
        </w:tc>
      </w:tr>
      <w:tr w:rsidR="00F662D0" w:rsidRPr="00EC2B1A" w14:paraId="709245F6" w14:textId="77777777" w:rsidTr="008F3C9F">
        <w:trPr>
          <w:jc w:val="right"/>
        </w:trPr>
        <w:tc>
          <w:tcPr>
            <w:tcW w:w="1905" w:type="pct"/>
          </w:tcPr>
          <w:p w14:paraId="05D198FE" w14:textId="77777777" w:rsidR="00F662D0" w:rsidRDefault="00F662D0" w:rsidP="00EC2B1A">
            <w:pPr>
              <w:pStyle w:val="SDMTableBoxParaNotNumbered"/>
            </w:pPr>
            <w:r w:rsidRPr="002243E8">
              <w:t>Paraguay</w:t>
            </w:r>
          </w:p>
        </w:tc>
        <w:tc>
          <w:tcPr>
            <w:tcW w:w="1069" w:type="pct"/>
          </w:tcPr>
          <w:p w14:paraId="54E70185" w14:textId="5AFF98BF" w:rsidR="00F662D0" w:rsidRPr="00CF6457" w:rsidRDefault="00E752CF" w:rsidP="00EC2B1A">
            <w:pPr>
              <w:pStyle w:val="SDMTableBoxParaNotNumbered"/>
            </w:pPr>
            <w:r w:rsidRPr="0070652D">
              <w:t>Use global value</w:t>
            </w:r>
          </w:p>
        </w:tc>
        <w:tc>
          <w:tcPr>
            <w:tcW w:w="987" w:type="pct"/>
          </w:tcPr>
          <w:p w14:paraId="3D321C77" w14:textId="12FC8A96" w:rsidR="00F662D0" w:rsidRPr="00CF6457" w:rsidRDefault="00F459C3" w:rsidP="00EC2B1A">
            <w:pPr>
              <w:pStyle w:val="SDMTableBoxParaNotNumbered"/>
            </w:pPr>
            <w:r w:rsidRPr="00B5612F">
              <w:t>0.00%</w:t>
            </w:r>
          </w:p>
        </w:tc>
        <w:tc>
          <w:tcPr>
            <w:tcW w:w="1039" w:type="pct"/>
          </w:tcPr>
          <w:p w14:paraId="467AD034" w14:textId="5D8450B3" w:rsidR="00F662D0" w:rsidRPr="00CF6457" w:rsidRDefault="000A16B8" w:rsidP="00EC2B1A">
            <w:pPr>
              <w:pStyle w:val="SDMTableBoxParaNotNumbered"/>
            </w:pPr>
            <w:r w:rsidRPr="00A644C5">
              <w:t>Use global value</w:t>
            </w:r>
          </w:p>
        </w:tc>
      </w:tr>
      <w:tr w:rsidR="00F662D0" w:rsidRPr="00EC2B1A" w14:paraId="516A36AE" w14:textId="77777777" w:rsidTr="008F3C9F">
        <w:trPr>
          <w:jc w:val="right"/>
        </w:trPr>
        <w:tc>
          <w:tcPr>
            <w:tcW w:w="1905" w:type="pct"/>
          </w:tcPr>
          <w:p w14:paraId="3692DDDD" w14:textId="77777777" w:rsidR="00F662D0" w:rsidRDefault="00F662D0" w:rsidP="00EC2B1A">
            <w:pPr>
              <w:pStyle w:val="SDMTableBoxParaNotNumbered"/>
            </w:pPr>
            <w:r w:rsidRPr="002243E8">
              <w:t>Peru</w:t>
            </w:r>
          </w:p>
        </w:tc>
        <w:tc>
          <w:tcPr>
            <w:tcW w:w="1069" w:type="pct"/>
          </w:tcPr>
          <w:p w14:paraId="3B56258D" w14:textId="1A93B3C7" w:rsidR="00F662D0" w:rsidRPr="00CF6457" w:rsidRDefault="00E752CF" w:rsidP="00EC2B1A">
            <w:pPr>
              <w:pStyle w:val="SDMTableBoxParaNotNumbered"/>
            </w:pPr>
            <w:r w:rsidRPr="0070652D">
              <w:t>0.27%</w:t>
            </w:r>
          </w:p>
        </w:tc>
        <w:tc>
          <w:tcPr>
            <w:tcW w:w="987" w:type="pct"/>
          </w:tcPr>
          <w:p w14:paraId="72EB69E3" w14:textId="7D5D6A7D" w:rsidR="00F662D0" w:rsidRPr="00CF6457" w:rsidRDefault="00F459C3" w:rsidP="00EC2B1A">
            <w:pPr>
              <w:pStyle w:val="SDMTableBoxParaNotNumbered"/>
            </w:pPr>
            <w:r w:rsidRPr="00B5612F">
              <w:t>3.46%</w:t>
            </w:r>
          </w:p>
        </w:tc>
        <w:tc>
          <w:tcPr>
            <w:tcW w:w="1039" w:type="pct"/>
          </w:tcPr>
          <w:p w14:paraId="4C4A173C" w14:textId="298251C5" w:rsidR="00F662D0" w:rsidRPr="00CF6457" w:rsidRDefault="003650DC" w:rsidP="00EC2B1A">
            <w:pPr>
              <w:pStyle w:val="SDMTableBoxParaNotNumbered"/>
            </w:pPr>
            <w:r w:rsidRPr="00A644C5">
              <w:t>30.07</w:t>
            </w:r>
            <w:r w:rsidR="009B0137" w:rsidRPr="00A644C5">
              <w:t>%</w:t>
            </w:r>
          </w:p>
        </w:tc>
      </w:tr>
      <w:tr w:rsidR="00F662D0" w:rsidRPr="00EC2B1A" w14:paraId="3B7F10E5" w14:textId="77777777" w:rsidTr="008F3C9F">
        <w:trPr>
          <w:jc w:val="right"/>
        </w:trPr>
        <w:tc>
          <w:tcPr>
            <w:tcW w:w="1905" w:type="pct"/>
          </w:tcPr>
          <w:p w14:paraId="72C0A1E6" w14:textId="0D3EEE15" w:rsidR="00F662D0" w:rsidRDefault="00F662D0" w:rsidP="00EC2B1A">
            <w:pPr>
              <w:pStyle w:val="SDMTableBoxParaNotNumbered"/>
            </w:pPr>
            <w:r w:rsidRPr="002243E8">
              <w:t>Philippines</w:t>
            </w:r>
          </w:p>
        </w:tc>
        <w:tc>
          <w:tcPr>
            <w:tcW w:w="1069" w:type="pct"/>
          </w:tcPr>
          <w:p w14:paraId="630FFBF3" w14:textId="2F648B59" w:rsidR="00F662D0" w:rsidRPr="00CF6457" w:rsidRDefault="00E752CF" w:rsidP="00EC2B1A">
            <w:pPr>
              <w:pStyle w:val="SDMTableBoxParaNotNumbered"/>
            </w:pPr>
            <w:r w:rsidRPr="0070652D">
              <w:t>0.00%</w:t>
            </w:r>
          </w:p>
        </w:tc>
        <w:tc>
          <w:tcPr>
            <w:tcW w:w="987" w:type="pct"/>
          </w:tcPr>
          <w:p w14:paraId="77417BCE" w14:textId="03CB40FD" w:rsidR="00F662D0" w:rsidRPr="00CF6457" w:rsidRDefault="00F459C3" w:rsidP="00EC2B1A">
            <w:pPr>
              <w:pStyle w:val="SDMTableBoxParaNotNumbered"/>
            </w:pPr>
            <w:r w:rsidRPr="00B5612F">
              <w:t>0.00%</w:t>
            </w:r>
          </w:p>
        </w:tc>
        <w:tc>
          <w:tcPr>
            <w:tcW w:w="1039" w:type="pct"/>
          </w:tcPr>
          <w:p w14:paraId="26378892" w14:textId="7B5875E3" w:rsidR="00F662D0" w:rsidRPr="00CF6457" w:rsidRDefault="003650DC" w:rsidP="00EC2B1A">
            <w:pPr>
              <w:pStyle w:val="SDMTableBoxParaNotNumbered"/>
            </w:pPr>
            <w:r w:rsidRPr="00A644C5">
              <w:t>18.29</w:t>
            </w:r>
            <w:r w:rsidR="009B0137" w:rsidRPr="00A644C5">
              <w:t>%</w:t>
            </w:r>
          </w:p>
        </w:tc>
      </w:tr>
      <w:tr w:rsidR="00F662D0" w:rsidRPr="00EC2B1A" w14:paraId="45BBC1C2" w14:textId="77777777" w:rsidTr="008F3C9F">
        <w:trPr>
          <w:jc w:val="right"/>
        </w:trPr>
        <w:tc>
          <w:tcPr>
            <w:tcW w:w="1905" w:type="pct"/>
          </w:tcPr>
          <w:p w14:paraId="14B80274" w14:textId="77777777" w:rsidR="00F662D0" w:rsidRDefault="00F662D0" w:rsidP="00EC2B1A">
            <w:pPr>
              <w:pStyle w:val="SDMTableBoxParaNotNumbered"/>
            </w:pPr>
            <w:r w:rsidRPr="002243E8">
              <w:t>Poland</w:t>
            </w:r>
          </w:p>
        </w:tc>
        <w:tc>
          <w:tcPr>
            <w:tcW w:w="1069" w:type="pct"/>
          </w:tcPr>
          <w:p w14:paraId="7242C6C6" w14:textId="3F4295B2" w:rsidR="00F662D0" w:rsidRPr="00CF6457" w:rsidRDefault="00E752CF" w:rsidP="00EC2B1A">
            <w:pPr>
              <w:pStyle w:val="SDMTableBoxParaNotNumbered"/>
            </w:pPr>
            <w:r w:rsidRPr="0070652D">
              <w:t>1.30%</w:t>
            </w:r>
          </w:p>
        </w:tc>
        <w:tc>
          <w:tcPr>
            <w:tcW w:w="987" w:type="pct"/>
          </w:tcPr>
          <w:p w14:paraId="06D08156" w14:textId="2788DBE4" w:rsidR="00F662D0" w:rsidRPr="00CF6457" w:rsidRDefault="00F459C3" w:rsidP="00EC2B1A">
            <w:pPr>
              <w:pStyle w:val="SDMTableBoxParaNotNumbered"/>
            </w:pPr>
            <w:r w:rsidRPr="00B5612F">
              <w:t>4.07%</w:t>
            </w:r>
          </w:p>
        </w:tc>
        <w:tc>
          <w:tcPr>
            <w:tcW w:w="1039" w:type="pct"/>
          </w:tcPr>
          <w:p w14:paraId="07FE66D6" w14:textId="66FB4AA0" w:rsidR="00F662D0" w:rsidRPr="00CF6457" w:rsidRDefault="003650DC" w:rsidP="00EC2B1A">
            <w:pPr>
              <w:pStyle w:val="SDMTableBoxParaNotNumbered"/>
            </w:pPr>
            <w:r w:rsidRPr="00A644C5">
              <w:t>28.92</w:t>
            </w:r>
            <w:r w:rsidR="009B0137" w:rsidRPr="00A644C5">
              <w:t>%</w:t>
            </w:r>
          </w:p>
        </w:tc>
      </w:tr>
      <w:tr w:rsidR="00F662D0" w:rsidRPr="00EC2B1A" w14:paraId="3E58BAA6" w14:textId="77777777" w:rsidTr="008F3C9F">
        <w:trPr>
          <w:jc w:val="right"/>
        </w:trPr>
        <w:tc>
          <w:tcPr>
            <w:tcW w:w="1905" w:type="pct"/>
          </w:tcPr>
          <w:p w14:paraId="4F051B26" w14:textId="77777777" w:rsidR="00F662D0" w:rsidRDefault="00F662D0" w:rsidP="00EC2B1A">
            <w:pPr>
              <w:pStyle w:val="SDMTableBoxParaNotNumbered"/>
            </w:pPr>
            <w:r w:rsidRPr="002243E8">
              <w:t>Portugal</w:t>
            </w:r>
          </w:p>
        </w:tc>
        <w:tc>
          <w:tcPr>
            <w:tcW w:w="1069" w:type="pct"/>
          </w:tcPr>
          <w:p w14:paraId="11EF5B52" w14:textId="7875A8A0" w:rsidR="00F662D0" w:rsidRPr="00CF6457" w:rsidRDefault="00E752CF" w:rsidP="00EC2B1A">
            <w:pPr>
              <w:pStyle w:val="SDMTableBoxParaNotNumbered"/>
            </w:pPr>
            <w:r w:rsidRPr="0070652D">
              <w:t>7.16%</w:t>
            </w:r>
          </w:p>
        </w:tc>
        <w:tc>
          <w:tcPr>
            <w:tcW w:w="987" w:type="pct"/>
          </w:tcPr>
          <w:p w14:paraId="268F1C74" w14:textId="48687339" w:rsidR="00F662D0" w:rsidRPr="00CF6457" w:rsidRDefault="00F459C3" w:rsidP="00EC2B1A">
            <w:pPr>
              <w:pStyle w:val="SDMTableBoxParaNotNumbered"/>
            </w:pPr>
            <w:r w:rsidRPr="00B5612F">
              <w:t>15.28%</w:t>
            </w:r>
          </w:p>
        </w:tc>
        <w:tc>
          <w:tcPr>
            <w:tcW w:w="1039" w:type="pct"/>
          </w:tcPr>
          <w:p w14:paraId="5B434270" w14:textId="095D0DAB" w:rsidR="00F662D0" w:rsidRPr="00CF6457" w:rsidRDefault="003650DC" w:rsidP="00EC2B1A">
            <w:pPr>
              <w:pStyle w:val="SDMTableBoxParaNotNumbered"/>
            </w:pPr>
            <w:r w:rsidRPr="00A644C5">
              <w:t>26.05</w:t>
            </w:r>
            <w:r w:rsidR="009B0137" w:rsidRPr="00A644C5">
              <w:t>%</w:t>
            </w:r>
          </w:p>
        </w:tc>
      </w:tr>
      <w:tr w:rsidR="00F662D0" w:rsidRPr="00EC2B1A" w14:paraId="44AF7E7E" w14:textId="77777777" w:rsidTr="008F3C9F">
        <w:trPr>
          <w:jc w:val="right"/>
        </w:trPr>
        <w:tc>
          <w:tcPr>
            <w:tcW w:w="1905" w:type="pct"/>
          </w:tcPr>
          <w:p w14:paraId="71AD0FB9" w14:textId="77777777" w:rsidR="00F662D0" w:rsidRDefault="00F662D0" w:rsidP="00EC2B1A">
            <w:pPr>
              <w:pStyle w:val="SDMTableBoxParaNotNumbered"/>
            </w:pPr>
            <w:r w:rsidRPr="002243E8">
              <w:t>Qatar</w:t>
            </w:r>
          </w:p>
        </w:tc>
        <w:tc>
          <w:tcPr>
            <w:tcW w:w="1069" w:type="pct"/>
          </w:tcPr>
          <w:p w14:paraId="17410FF0" w14:textId="3B3E8298" w:rsidR="00F662D0" w:rsidRPr="00CF6457" w:rsidRDefault="00E752CF" w:rsidP="00EC2B1A">
            <w:pPr>
              <w:pStyle w:val="SDMTableBoxParaNotNumbered"/>
            </w:pPr>
            <w:r w:rsidRPr="0070652D">
              <w:t>0.00%</w:t>
            </w:r>
          </w:p>
        </w:tc>
        <w:tc>
          <w:tcPr>
            <w:tcW w:w="987" w:type="pct"/>
          </w:tcPr>
          <w:p w14:paraId="360D3B09" w14:textId="6371A27A" w:rsidR="00F662D0" w:rsidRPr="00CF6457" w:rsidRDefault="00F459C3" w:rsidP="00EC2B1A">
            <w:pPr>
              <w:pStyle w:val="SDMTableBoxParaNotNumbered"/>
            </w:pPr>
            <w:r w:rsidRPr="00B5612F">
              <w:t>0.00%</w:t>
            </w:r>
          </w:p>
        </w:tc>
        <w:tc>
          <w:tcPr>
            <w:tcW w:w="1039" w:type="pct"/>
          </w:tcPr>
          <w:p w14:paraId="349EA1BC" w14:textId="157E2234" w:rsidR="00F662D0" w:rsidRPr="00CF6457" w:rsidRDefault="000A16B8" w:rsidP="00EC2B1A">
            <w:pPr>
              <w:pStyle w:val="SDMTableBoxParaNotNumbered"/>
            </w:pPr>
            <w:r w:rsidRPr="00A644C5">
              <w:t>Use global value</w:t>
            </w:r>
          </w:p>
        </w:tc>
      </w:tr>
      <w:tr w:rsidR="00237279" w:rsidRPr="00EC2B1A" w14:paraId="0D8DF32F" w14:textId="77777777" w:rsidTr="008F3C9F">
        <w:trPr>
          <w:jc w:val="right"/>
        </w:trPr>
        <w:tc>
          <w:tcPr>
            <w:tcW w:w="1905" w:type="pct"/>
          </w:tcPr>
          <w:p w14:paraId="0A151D47" w14:textId="0AFD8342" w:rsidR="00237279" w:rsidRDefault="00237279" w:rsidP="00EC2B1A">
            <w:pPr>
              <w:pStyle w:val="SDMTableBoxParaNotNumbered"/>
            </w:pPr>
            <w:r>
              <w:t xml:space="preserve">Republic of </w:t>
            </w:r>
            <w:r w:rsidRPr="002243E8">
              <w:t>Korea</w:t>
            </w:r>
          </w:p>
        </w:tc>
        <w:tc>
          <w:tcPr>
            <w:tcW w:w="1069" w:type="pct"/>
          </w:tcPr>
          <w:p w14:paraId="6710F15A" w14:textId="77777777" w:rsidR="00237279" w:rsidRPr="00CF6457" w:rsidRDefault="00237279" w:rsidP="00EC2B1A">
            <w:pPr>
              <w:pStyle w:val="SDMTableBoxParaNotNumbered"/>
            </w:pPr>
            <w:r w:rsidRPr="0070652D">
              <w:t>0.94%</w:t>
            </w:r>
          </w:p>
        </w:tc>
        <w:tc>
          <w:tcPr>
            <w:tcW w:w="987" w:type="pct"/>
          </w:tcPr>
          <w:p w14:paraId="1007EB41" w14:textId="77777777" w:rsidR="00237279" w:rsidRPr="00CF6457" w:rsidRDefault="00237279" w:rsidP="00EC2B1A">
            <w:pPr>
              <w:pStyle w:val="SDMTableBoxParaNotNumbered"/>
            </w:pPr>
            <w:r w:rsidRPr="00B5612F">
              <w:t>3.33%</w:t>
            </w:r>
          </w:p>
        </w:tc>
        <w:tc>
          <w:tcPr>
            <w:tcW w:w="1039" w:type="pct"/>
          </w:tcPr>
          <w:p w14:paraId="1AD8E320" w14:textId="77777777" w:rsidR="00237279" w:rsidRPr="00CF6457" w:rsidRDefault="00237279" w:rsidP="00EC2B1A">
            <w:pPr>
              <w:pStyle w:val="SDMTableBoxParaNotNumbered"/>
            </w:pPr>
            <w:r w:rsidRPr="00A644C5">
              <w:t>14.37%</w:t>
            </w:r>
          </w:p>
        </w:tc>
      </w:tr>
      <w:tr w:rsidR="00D53A33" w:rsidRPr="00EC2B1A" w14:paraId="2E9FE3C5" w14:textId="77777777" w:rsidTr="008F3C9F">
        <w:trPr>
          <w:jc w:val="right"/>
        </w:trPr>
        <w:tc>
          <w:tcPr>
            <w:tcW w:w="1905" w:type="pct"/>
          </w:tcPr>
          <w:p w14:paraId="4FF12B92" w14:textId="7DA04B7E" w:rsidR="00D53A33" w:rsidRDefault="00D53A33" w:rsidP="00EC2B1A">
            <w:pPr>
              <w:pStyle w:val="SDMTableBoxParaNotNumbered"/>
            </w:pPr>
            <w:r w:rsidRPr="00CE0230">
              <w:t>Republic of Moldova</w:t>
            </w:r>
          </w:p>
        </w:tc>
        <w:tc>
          <w:tcPr>
            <w:tcW w:w="1069" w:type="pct"/>
          </w:tcPr>
          <w:p w14:paraId="7221669E" w14:textId="77777777" w:rsidR="00D53A33" w:rsidRPr="00CF6457" w:rsidRDefault="00D53A33" w:rsidP="00EC2B1A">
            <w:pPr>
              <w:pStyle w:val="SDMTableBoxParaNotNumbered"/>
            </w:pPr>
            <w:r w:rsidRPr="0070652D">
              <w:t>0.08%</w:t>
            </w:r>
          </w:p>
        </w:tc>
        <w:tc>
          <w:tcPr>
            <w:tcW w:w="987" w:type="pct"/>
          </w:tcPr>
          <w:p w14:paraId="066A9F6E" w14:textId="77777777" w:rsidR="00D53A33" w:rsidRPr="00CF6457" w:rsidRDefault="00D53A33" w:rsidP="00EC2B1A">
            <w:pPr>
              <w:pStyle w:val="SDMTableBoxParaNotNumbered"/>
            </w:pPr>
            <w:r w:rsidRPr="00B5612F">
              <w:t>1.28%</w:t>
            </w:r>
          </w:p>
        </w:tc>
        <w:tc>
          <w:tcPr>
            <w:tcW w:w="1039" w:type="pct"/>
          </w:tcPr>
          <w:p w14:paraId="43730552" w14:textId="77777777" w:rsidR="00D53A33" w:rsidRPr="00CF6457" w:rsidRDefault="00D53A33" w:rsidP="00EC2B1A">
            <w:pPr>
              <w:pStyle w:val="SDMTableBoxParaNotNumbered"/>
            </w:pPr>
            <w:r w:rsidRPr="00A644C5">
              <w:t>Use global value</w:t>
            </w:r>
          </w:p>
        </w:tc>
      </w:tr>
      <w:tr w:rsidR="00F662D0" w:rsidRPr="00EC2B1A" w14:paraId="0572BED1" w14:textId="77777777" w:rsidTr="008F3C9F">
        <w:trPr>
          <w:jc w:val="right"/>
        </w:trPr>
        <w:tc>
          <w:tcPr>
            <w:tcW w:w="1905" w:type="pct"/>
          </w:tcPr>
          <w:p w14:paraId="31ABBD17" w14:textId="77777777" w:rsidR="00F662D0" w:rsidRDefault="00F662D0" w:rsidP="00EC2B1A">
            <w:pPr>
              <w:pStyle w:val="SDMTableBoxParaNotNumbered"/>
            </w:pPr>
            <w:r w:rsidRPr="002243E8">
              <w:t>Romania</w:t>
            </w:r>
          </w:p>
        </w:tc>
        <w:tc>
          <w:tcPr>
            <w:tcW w:w="1069" w:type="pct"/>
          </w:tcPr>
          <w:p w14:paraId="2481DB0C" w14:textId="6919FE70" w:rsidR="00F662D0" w:rsidRPr="00CF6457" w:rsidRDefault="00E752CF" w:rsidP="00EC2B1A">
            <w:pPr>
              <w:pStyle w:val="SDMTableBoxParaNotNumbered"/>
            </w:pPr>
            <w:r w:rsidRPr="0070652D">
              <w:t>1.87%</w:t>
            </w:r>
          </w:p>
        </w:tc>
        <w:tc>
          <w:tcPr>
            <w:tcW w:w="987" w:type="pct"/>
          </w:tcPr>
          <w:p w14:paraId="24BD1DF9" w14:textId="6DF26387" w:rsidR="00F662D0" w:rsidRPr="00CF6457" w:rsidRDefault="00F459C3" w:rsidP="00EC2B1A">
            <w:pPr>
              <w:pStyle w:val="SDMTableBoxParaNotNumbered"/>
            </w:pPr>
            <w:r w:rsidRPr="00B5612F">
              <w:t>5.91%</w:t>
            </w:r>
          </w:p>
        </w:tc>
        <w:tc>
          <w:tcPr>
            <w:tcW w:w="1039" w:type="pct"/>
          </w:tcPr>
          <w:p w14:paraId="06339F4B" w14:textId="34957009" w:rsidR="00F662D0" w:rsidRPr="00CF6457" w:rsidRDefault="003650DC" w:rsidP="00EC2B1A">
            <w:pPr>
              <w:pStyle w:val="SDMTableBoxParaNotNumbered"/>
            </w:pPr>
            <w:r w:rsidRPr="00A644C5">
              <w:t>31.24</w:t>
            </w:r>
            <w:r w:rsidR="009B0137" w:rsidRPr="00A644C5">
              <w:t>%</w:t>
            </w:r>
          </w:p>
        </w:tc>
      </w:tr>
      <w:tr w:rsidR="00F662D0" w:rsidRPr="00EC2B1A" w14:paraId="2064E16E" w14:textId="77777777" w:rsidTr="008F3C9F">
        <w:trPr>
          <w:jc w:val="right"/>
        </w:trPr>
        <w:tc>
          <w:tcPr>
            <w:tcW w:w="1905" w:type="pct"/>
          </w:tcPr>
          <w:p w14:paraId="1E0EFEBE" w14:textId="2553A4E5" w:rsidR="00F662D0" w:rsidRDefault="00F662D0" w:rsidP="00EC2B1A">
            <w:pPr>
              <w:pStyle w:val="SDMTableBoxParaNotNumbered"/>
            </w:pPr>
            <w:r w:rsidRPr="002243E8">
              <w:t>Russian Federation</w:t>
            </w:r>
          </w:p>
        </w:tc>
        <w:tc>
          <w:tcPr>
            <w:tcW w:w="1069" w:type="pct"/>
          </w:tcPr>
          <w:p w14:paraId="404F75F2" w14:textId="2542FF3B" w:rsidR="00F662D0" w:rsidRPr="00CF6457" w:rsidRDefault="00E752CF" w:rsidP="00EC2B1A">
            <w:pPr>
              <w:pStyle w:val="SDMTableBoxParaNotNumbered"/>
            </w:pPr>
            <w:r w:rsidRPr="0070652D">
              <w:t>0.00%</w:t>
            </w:r>
          </w:p>
        </w:tc>
        <w:tc>
          <w:tcPr>
            <w:tcW w:w="987" w:type="pct"/>
          </w:tcPr>
          <w:p w14:paraId="436CA439" w14:textId="06E113D4" w:rsidR="00F662D0" w:rsidRPr="00CF6457" w:rsidRDefault="00F459C3" w:rsidP="00EC2B1A">
            <w:pPr>
              <w:pStyle w:val="SDMTableBoxParaNotNumbered"/>
            </w:pPr>
            <w:r w:rsidRPr="00B5612F">
              <w:t>0.56%</w:t>
            </w:r>
          </w:p>
        </w:tc>
        <w:tc>
          <w:tcPr>
            <w:tcW w:w="1039" w:type="pct"/>
          </w:tcPr>
          <w:p w14:paraId="39E4FA58" w14:textId="3868D3FD" w:rsidR="00F662D0" w:rsidRPr="00CF6457" w:rsidRDefault="003650DC" w:rsidP="00EC2B1A">
            <w:pPr>
              <w:pStyle w:val="SDMTableBoxParaNotNumbered"/>
            </w:pPr>
            <w:r w:rsidRPr="00A644C5">
              <w:t>20.51</w:t>
            </w:r>
            <w:r w:rsidR="009B0137" w:rsidRPr="00A644C5">
              <w:t>%</w:t>
            </w:r>
          </w:p>
        </w:tc>
      </w:tr>
      <w:tr w:rsidR="00F662D0" w:rsidRPr="00EC2B1A" w14:paraId="17CF11A1" w14:textId="77777777" w:rsidTr="008F3C9F">
        <w:trPr>
          <w:jc w:val="right"/>
        </w:trPr>
        <w:tc>
          <w:tcPr>
            <w:tcW w:w="1905" w:type="pct"/>
          </w:tcPr>
          <w:p w14:paraId="5928FC2C" w14:textId="77777777" w:rsidR="00F662D0" w:rsidRDefault="00F662D0" w:rsidP="00EC2B1A">
            <w:pPr>
              <w:pStyle w:val="SDMTableBoxParaNotNumbered"/>
            </w:pPr>
            <w:r w:rsidRPr="002243E8">
              <w:t>Rwanda</w:t>
            </w:r>
          </w:p>
        </w:tc>
        <w:tc>
          <w:tcPr>
            <w:tcW w:w="1069" w:type="pct"/>
          </w:tcPr>
          <w:p w14:paraId="145EFB34" w14:textId="16464D88" w:rsidR="00F662D0" w:rsidRPr="00CF6457" w:rsidRDefault="00E752CF" w:rsidP="00EC2B1A">
            <w:pPr>
              <w:pStyle w:val="SDMTableBoxParaNotNumbered"/>
            </w:pPr>
            <w:r w:rsidRPr="0070652D">
              <w:t>0.02%</w:t>
            </w:r>
          </w:p>
        </w:tc>
        <w:tc>
          <w:tcPr>
            <w:tcW w:w="987" w:type="pct"/>
          </w:tcPr>
          <w:p w14:paraId="1AD7BDDA" w14:textId="03C26125" w:rsidR="00F662D0" w:rsidRPr="00CF6457" w:rsidRDefault="00F459C3" w:rsidP="00EC2B1A">
            <w:pPr>
              <w:pStyle w:val="SDMTableBoxParaNotNumbered"/>
            </w:pPr>
            <w:r w:rsidRPr="00B5612F">
              <w:t>5.95%</w:t>
            </w:r>
          </w:p>
        </w:tc>
        <w:tc>
          <w:tcPr>
            <w:tcW w:w="1039" w:type="pct"/>
          </w:tcPr>
          <w:p w14:paraId="619B245E" w14:textId="225325E5" w:rsidR="00F662D0" w:rsidRPr="00CF6457" w:rsidRDefault="003650DC" w:rsidP="00EC2B1A">
            <w:pPr>
              <w:pStyle w:val="SDMTableBoxParaNotNumbered"/>
            </w:pPr>
            <w:r w:rsidRPr="00A644C5">
              <w:t>63.78%</w:t>
            </w:r>
          </w:p>
        </w:tc>
      </w:tr>
      <w:tr w:rsidR="00F662D0" w:rsidRPr="00EC2B1A" w14:paraId="041E08A7" w14:textId="77777777" w:rsidTr="008F3C9F">
        <w:trPr>
          <w:jc w:val="right"/>
        </w:trPr>
        <w:tc>
          <w:tcPr>
            <w:tcW w:w="1905" w:type="pct"/>
          </w:tcPr>
          <w:p w14:paraId="64C5E844" w14:textId="77777777" w:rsidR="00F662D0" w:rsidRDefault="00F662D0" w:rsidP="00EC2B1A">
            <w:pPr>
              <w:pStyle w:val="SDMTableBoxParaNotNumbered"/>
            </w:pPr>
            <w:r w:rsidRPr="002243E8">
              <w:t>Saint Kitts and Nevis</w:t>
            </w:r>
          </w:p>
        </w:tc>
        <w:tc>
          <w:tcPr>
            <w:tcW w:w="1069" w:type="pct"/>
          </w:tcPr>
          <w:p w14:paraId="176C5B89" w14:textId="38BD2BAD" w:rsidR="00F662D0" w:rsidRPr="00CF6457" w:rsidRDefault="00E752CF" w:rsidP="00EC2B1A">
            <w:pPr>
              <w:pStyle w:val="SDMTableBoxParaNotNumbered"/>
            </w:pPr>
            <w:r w:rsidRPr="0070652D">
              <w:t>0.72%</w:t>
            </w:r>
          </w:p>
        </w:tc>
        <w:tc>
          <w:tcPr>
            <w:tcW w:w="987" w:type="pct"/>
          </w:tcPr>
          <w:p w14:paraId="330060A6" w14:textId="7900A665" w:rsidR="00F662D0" w:rsidRPr="00CF6457" w:rsidRDefault="00F459C3" w:rsidP="00EC2B1A">
            <w:pPr>
              <w:pStyle w:val="SDMTableBoxParaNotNumbered"/>
            </w:pPr>
            <w:r w:rsidRPr="00B5612F">
              <w:t>0.61%</w:t>
            </w:r>
          </w:p>
        </w:tc>
        <w:tc>
          <w:tcPr>
            <w:tcW w:w="1039" w:type="pct"/>
          </w:tcPr>
          <w:p w14:paraId="30889DE4" w14:textId="209D1F93" w:rsidR="00F662D0" w:rsidRPr="00CF6457" w:rsidRDefault="000A16B8" w:rsidP="00EC2B1A">
            <w:pPr>
              <w:pStyle w:val="SDMTableBoxParaNotNumbered"/>
            </w:pPr>
            <w:r w:rsidRPr="00A644C5">
              <w:t>Use global value</w:t>
            </w:r>
          </w:p>
        </w:tc>
      </w:tr>
      <w:tr w:rsidR="00F662D0" w:rsidRPr="00EC2B1A" w14:paraId="01B18D75" w14:textId="77777777" w:rsidTr="008F3C9F">
        <w:trPr>
          <w:jc w:val="right"/>
        </w:trPr>
        <w:tc>
          <w:tcPr>
            <w:tcW w:w="1905" w:type="pct"/>
          </w:tcPr>
          <w:p w14:paraId="0F3E9376" w14:textId="77777777" w:rsidR="00F662D0" w:rsidRDefault="00F662D0" w:rsidP="00EC2B1A">
            <w:pPr>
              <w:pStyle w:val="SDMTableBoxParaNotNumbered"/>
            </w:pPr>
            <w:r w:rsidRPr="002243E8">
              <w:t>Saint Lucia</w:t>
            </w:r>
          </w:p>
        </w:tc>
        <w:tc>
          <w:tcPr>
            <w:tcW w:w="1069" w:type="pct"/>
          </w:tcPr>
          <w:p w14:paraId="6EABD075" w14:textId="4C415EB8" w:rsidR="00F662D0" w:rsidRPr="00CF6457" w:rsidRDefault="00E752CF" w:rsidP="00EC2B1A">
            <w:pPr>
              <w:pStyle w:val="SDMTableBoxParaNotNumbered"/>
            </w:pPr>
            <w:r w:rsidRPr="0070652D">
              <w:t>0.32%</w:t>
            </w:r>
          </w:p>
        </w:tc>
        <w:tc>
          <w:tcPr>
            <w:tcW w:w="987" w:type="pct"/>
          </w:tcPr>
          <w:p w14:paraId="50691A5B" w14:textId="28FC6D86" w:rsidR="00F662D0" w:rsidRPr="00CF6457" w:rsidRDefault="00F459C3" w:rsidP="00EC2B1A">
            <w:pPr>
              <w:pStyle w:val="SDMTableBoxParaNotNumbered"/>
            </w:pPr>
            <w:r w:rsidRPr="00B5612F">
              <w:t>0.95%</w:t>
            </w:r>
          </w:p>
        </w:tc>
        <w:tc>
          <w:tcPr>
            <w:tcW w:w="1039" w:type="pct"/>
          </w:tcPr>
          <w:p w14:paraId="6B24E6A7" w14:textId="5E48E8A3" w:rsidR="00F662D0" w:rsidRPr="00CF6457" w:rsidRDefault="000A16B8" w:rsidP="00EC2B1A">
            <w:pPr>
              <w:pStyle w:val="SDMTableBoxParaNotNumbered"/>
            </w:pPr>
            <w:r w:rsidRPr="00A644C5">
              <w:t>Use global value</w:t>
            </w:r>
          </w:p>
        </w:tc>
      </w:tr>
      <w:tr w:rsidR="00F662D0" w:rsidRPr="00EC2B1A" w14:paraId="0F883DFF" w14:textId="77777777" w:rsidTr="008F3C9F">
        <w:trPr>
          <w:jc w:val="right"/>
        </w:trPr>
        <w:tc>
          <w:tcPr>
            <w:tcW w:w="1905" w:type="pct"/>
          </w:tcPr>
          <w:p w14:paraId="067B80DB" w14:textId="77777777" w:rsidR="00F662D0" w:rsidRDefault="00F662D0" w:rsidP="00EC2B1A">
            <w:pPr>
              <w:pStyle w:val="SDMTableBoxParaNotNumbered"/>
            </w:pPr>
            <w:r w:rsidRPr="002243E8">
              <w:t>Saint Vincent and the Grenadines</w:t>
            </w:r>
          </w:p>
        </w:tc>
        <w:tc>
          <w:tcPr>
            <w:tcW w:w="1069" w:type="pct"/>
          </w:tcPr>
          <w:p w14:paraId="4B0B057C" w14:textId="3BFBDC3B" w:rsidR="00F662D0" w:rsidRPr="00CF6457" w:rsidRDefault="00E752CF" w:rsidP="00EC2B1A">
            <w:pPr>
              <w:pStyle w:val="SDMTableBoxParaNotNumbered"/>
            </w:pPr>
            <w:r w:rsidRPr="0070652D">
              <w:t>0.65%</w:t>
            </w:r>
          </w:p>
        </w:tc>
        <w:tc>
          <w:tcPr>
            <w:tcW w:w="987" w:type="pct"/>
          </w:tcPr>
          <w:p w14:paraId="00DE3B2B" w14:textId="34E26456" w:rsidR="00F662D0" w:rsidRPr="00CF6457" w:rsidRDefault="00F459C3" w:rsidP="00EC2B1A">
            <w:pPr>
              <w:pStyle w:val="SDMTableBoxParaNotNumbered"/>
            </w:pPr>
            <w:r w:rsidRPr="00B5612F">
              <w:t>0.66%</w:t>
            </w:r>
          </w:p>
        </w:tc>
        <w:tc>
          <w:tcPr>
            <w:tcW w:w="1039" w:type="pct"/>
          </w:tcPr>
          <w:p w14:paraId="6890A148" w14:textId="703CA53C" w:rsidR="00F662D0" w:rsidRPr="00CF6457" w:rsidRDefault="000A16B8" w:rsidP="00EC2B1A">
            <w:pPr>
              <w:pStyle w:val="SDMTableBoxParaNotNumbered"/>
            </w:pPr>
            <w:r w:rsidRPr="00A644C5">
              <w:t>Use global value</w:t>
            </w:r>
          </w:p>
        </w:tc>
      </w:tr>
      <w:tr w:rsidR="00F662D0" w:rsidRPr="00EC2B1A" w14:paraId="39EE0B38" w14:textId="77777777" w:rsidTr="008F3C9F">
        <w:trPr>
          <w:jc w:val="right"/>
        </w:trPr>
        <w:tc>
          <w:tcPr>
            <w:tcW w:w="1905" w:type="pct"/>
          </w:tcPr>
          <w:p w14:paraId="78BF21B8" w14:textId="77777777" w:rsidR="00F662D0" w:rsidRDefault="00F662D0" w:rsidP="00EC2B1A">
            <w:pPr>
              <w:pStyle w:val="SDMTableBoxParaNotNumbered"/>
            </w:pPr>
            <w:r w:rsidRPr="002243E8">
              <w:t>Samoa</w:t>
            </w:r>
          </w:p>
        </w:tc>
        <w:tc>
          <w:tcPr>
            <w:tcW w:w="1069" w:type="pct"/>
          </w:tcPr>
          <w:p w14:paraId="577D97FD" w14:textId="483C952F" w:rsidR="00F662D0" w:rsidRPr="00CF6457" w:rsidRDefault="00E752CF" w:rsidP="00EC2B1A">
            <w:pPr>
              <w:pStyle w:val="SDMTableBoxParaNotNumbered"/>
            </w:pPr>
            <w:r w:rsidRPr="0070652D">
              <w:t>0.93%</w:t>
            </w:r>
          </w:p>
        </w:tc>
        <w:tc>
          <w:tcPr>
            <w:tcW w:w="987" w:type="pct"/>
          </w:tcPr>
          <w:p w14:paraId="083CA067" w14:textId="6C3012E1" w:rsidR="00F662D0" w:rsidRPr="00CF6457" w:rsidRDefault="00F459C3" w:rsidP="00EC2B1A">
            <w:pPr>
              <w:pStyle w:val="SDMTableBoxParaNotNumbered"/>
            </w:pPr>
            <w:r w:rsidRPr="00B5612F">
              <w:t>4.96%</w:t>
            </w:r>
          </w:p>
        </w:tc>
        <w:tc>
          <w:tcPr>
            <w:tcW w:w="1039" w:type="pct"/>
          </w:tcPr>
          <w:p w14:paraId="18E23A94" w14:textId="324171F5" w:rsidR="00F662D0" w:rsidRPr="00CF6457" w:rsidRDefault="000A16B8" w:rsidP="00EC2B1A">
            <w:pPr>
              <w:pStyle w:val="SDMTableBoxParaNotNumbered"/>
            </w:pPr>
            <w:r w:rsidRPr="00A644C5">
              <w:t>Use global value</w:t>
            </w:r>
          </w:p>
        </w:tc>
      </w:tr>
      <w:tr w:rsidR="00F662D0" w:rsidRPr="00EC2B1A" w14:paraId="3D85B95B" w14:textId="77777777" w:rsidTr="008F3C9F">
        <w:trPr>
          <w:jc w:val="right"/>
        </w:trPr>
        <w:tc>
          <w:tcPr>
            <w:tcW w:w="1905" w:type="pct"/>
          </w:tcPr>
          <w:p w14:paraId="7C3139CF" w14:textId="77777777" w:rsidR="00F662D0" w:rsidRDefault="00F662D0" w:rsidP="00EC2B1A">
            <w:pPr>
              <w:pStyle w:val="SDMTableBoxParaNotNumbered"/>
            </w:pPr>
            <w:r w:rsidRPr="002243E8">
              <w:t>Sao Tome and Principe</w:t>
            </w:r>
          </w:p>
        </w:tc>
        <w:tc>
          <w:tcPr>
            <w:tcW w:w="1069" w:type="pct"/>
          </w:tcPr>
          <w:p w14:paraId="0783AB92" w14:textId="5733FD12" w:rsidR="00F662D0" w:rsidRPr="00CF6457" w:rsidRDefault="00E752CF" w:rsidP="00EC2B1A">
            <w:pPr>
              <w:pStyle w:val="SDMTableBoxParaNotNumbered"/>
            </w:pPr>
            <w:r w:rsidRPr="0070652D">
              <w:t>2.97%</w:t>
            </w:r>
          </w:p>
        </w:tc>
        <w:tc>
          <w:tcPr>
            <w:tcW w:w="987" w:type="pct"/>
          </w:tcPr>
          <w:p w14:paraId="6159ACC5" w14:textId="0B512133" w:rsidR="00F662D0" w:rsidRPr="00CF6457" w:rsidRDefault="00F459C3" w:rsidP="00EC2B1A">
            <w:pPr>
              <w:pStyle w:val="SDMTableBoxParaNotNumbered"/>
            </w:pPr>
            <w:r w:rsidRPr="00B5612F">
              <w:t>4.90%</w:t>
            </w:r>
          </w:p>
        </w:tc>
        <w:tc>
          <w:tcPr>
            <w:tcW w:w="1039" w:type="pct"/>
          </w:tcPr>
          <w:p w14:paraId="4845EC44" w14:textId="6B74639D" w:rsidR="00F662D0" w:rsidRPr="00CF6457" w:rsidRDefault="000A16B8" w:rsidP="00EC2B1A">
            <w:pPr>
              <w:pStyle w:val="SDMTableBoxParaNotNumbered"/>
            </w:pPr>
            <w:r w:rsidRPr="00A644C5">
              <w:t>Use global value</w:t>
            </w:r>
          </w:p>
        </w:tc>
      </w:tr>
      <w:tr w:rsidR="00F662D0" w:rsidRPr="00EC2B1A" w14:paraId="072ED83C" w14:textId="77777777" w:rsidTr="008F3C9F">
        <w:trPr>
          <w:jc w:val="right"/>
        </w:trPr>
        <w:tc>
          <w:tcPr>
            <w:tcW w:w="1905" w:type="pct"/>
          </w:tcPr>
          <w:p w14:paraId="4E24AAEE" w14:textId="77777777" w:rsidR="00F662D0" w:rsidRDefault="00F662D0" w:rsidP="00EC2B1A">
            <w:pPr>
              <w:pStyle w:val="SDMTableBoxParaNotNumbered"/>
            </w:pPr>
            <w:r w:rsidRPr="002243E8">
              <w:t>Saudi Arabia</w:t>
            </w:r>
          </w:p>
        </w:tc>
        <w:tc>
          <w:tcPr>
            <w:tcW w:w="1069" w:type="pct"/>
          </w:tcPr>
          <w:p w14:paraId="6FBE4240" w14:textId="008082F2" w:rsidR="00F662D0" w:rsidRPr="00CF6457" w:rsidRDefault="00E752CF" w:rsidP="00EC2B1A">
            <w:pPr>
              <w:pStyle w:val="SDMTableBoxParaNotNumbered"/>
            </w:pPr>
            <w:r w:rsidRPr="0070652D">
              <w:t>0.00%</w:t>
            </w:r>
          </w:p>
        </w:tc>
        <w:tc>
          <w:tcPr>
            <w:tcW w:w="987" w:type="pct"/>
          </w:tcPr>
          <w:p w14:paraId="710090A0" w14:textId="427364E3" w:rsidR="00F662D0" w:rsidRPr="00CF6457" w:rsidRDefault="00F459C3" w:rsidP="00EC2B1A">
            <w:pPr>
              <w:pStyle w:val="SDMTableBoxParaNotNumbered"/>
            </w:pPr>
            <w:r w:rsidRPr="00B5612F">
              <w:t>0.22%</w:t>
            </w:r>
          </w:p>
        </w:tc>
        <w:tc>
          <w:tcPr>
            <w:tcW w:w="1039" w:type="pct"/>
          </w:tcPr>
          <w:p w14:paraId="3DB9423C" w14:textId="0A14B066" w:rsidR="00F662D0" w:rsidRPr="00CF6457" w:rsidRDefault="003650DC" w:rsidP="00EC2B1A">
            <w:pPr>
              <w:pStyle w:val="SDMTableBoxParaNotNumbered"/>
            </w:pPr>
            <w:r w:rsidRPr="00A644C5">
              <w:t>22.27</w:t>
            </w:r>
            <w:r w:rsidR="009B0137" w:rsidRPr="00A644C5">
              <w:t>%</w:t>
            </w:r>
          </w:p>
        </w:tc>
      </w:tr>
      <w:tr w:rsidR="00F662D0" w:rsidRPr="00EC2B1A" w14:paraId="2898BCAD" w14:textId="77777777" w:rsidTr="008F3C9F">
        <w:trPr>
          <w:jc w:val="right"/>
        </w:trPr>
        <w:tc>
          <w:tcPr>
            <w:tcW w:w="1905" w:type="pct"/>
          </w:tcPr>
          <w:p w14:paraId="2B2A2082" w14:textId="77777777" w:rsidR="00F662D0" w:rsidRDefault="00F662D0" w:rsidP="00EC2B1A">
            <w:pPr>
              <w:pStyle w:val="SDMTableBoxParaNotNumbered"/>
            </w:pPr>
            <w:r w:rsidRPr="002243E8">
              <w:t>Senegal</w:t>
            </w:r>
          </w:p>
        </w:tc>
        <w:tc>
          <w:tcPr>
            <w:tcW w:w="1069" w:type="pct"/>
          </w:tcPr>
          <w:p w14:paraId="0A2DE33C" w14:textId="5D2C2480" w:rsidR="00F662D0" w:rsidRPr="00CF6457" w:rsidRDefault="00E752CF" w:rsidP="00EC2B1A">
            <w:pPr>
              <w:pStyle w:val="SDMTableBoxParaNotNumbered"/>
            </w:pPr>
            <w:r w:rsidRPr="0070652D">
              <w:t>0.34%</w:t>
            </w:r>
          </w:p>
        </w:tc>
        <w:tc>
          <w:tcPr>
            <w:tcW w:w="987" w:type="pct"/>
          </w:tcPr>
          <w:p w14:paraId="1D733DA1" w14:textId="5FF23D9E" w:rsidR="00F662D0" w:rsidRPr="00CF6457" w:rsidRDefault="00F459C3" w:rsidP="00EC2B1A">
            <w:pPr>
              <w:pStyle w:val="SDMTableBoxParaNotNumbered"/>
            </w:pPr>
            <w:r w:rsidRPr="00B5612F">
              <w:t>2.90%</w:t>
            </w:r>
          </w:p>
        </w:tc>
        <w:tc>
          <w:tcPr>
            <w:tcW w:w="1039" w:type="pct"/>
          </w:tcPr>
          <w:p w14:paraId="6910123E" w14:textId="1C496A6D" w:rsidR="00F662D0" w:rsidRPr="00CF6457" w:rsidRDefault="003650DC" w:rsidP="00EC2B1A">
            <w:pPr>
              <w:pStyle w:val="SDMTableBoxParaNotNumbered"/>
            </w:pPr>
            <w:r w:rsidRPr="00A644C5">
              <w:t>32.69%</w:t>
            </w:r>
          </w:p>
        </w:tc>
      </w:tr>
      <w:tr w:rsidR="00F662D0" w:rsidRPr="00EC2B1A" w14:paraId="37439862" w14:textId="77777777" w:rsidTr="008F3C9F">
        <w:trPr>
          <w:jc w:val="right"/>
        </w:trPr>
        <w:tc>
          <w:tcPr>
            <w:tcW w:w="1905" w:type="pct"/>
          </w:tcPr>
          <w:p w14:paraId="068AFEC2" w14:textId="77777777" w:rsidR="00F662D0" w:rsidRDefault="00F662D0" w:rsidP="00EC2B1A">
            <w:pPr>
              <w:pStyle w:val="SDMTableBoxParaNotNumbered"/>
            </w:pPr>
            <w:r w:rsidRPr="002243E8">
              <w:t>Serbia</w:t>
            </w:r>
          </w:p>
        </w:tc>
        <w:tc>
          <w:tcPr>
            <w:tcW w:w="1069" w:type="pct"/>
          </w:tcPr>
          <w:p w14:paraId="1D5C1E03" w14:textId="01813140" w:rsidR="00F662D0" w:rsidRPr="00CF6457" w:rsidRDefault="00E752CF" w:rsidP="00EC2B1A">
            <w:pPr>
              <w:pStyle w:val="SDMTableBoxParaNotNumbered"/>
            </w:pPr>
            <w:r w:rsidRPr="0070652D">
              <w:t>0.72%</w:t>
            </w:r>
          </w:p>
        </w:tc>
        <w:tc>
          <w:tcPr>
            <w:tcW w:w="987" w:type="pct"/>
          </w:tcPr>
          <w:p w14:paraId="71F82224" w14:textId="6B32B87A" w:rsidR="00F662D0" w:rsidRPr="00CF6457" w:rsidRDefault="00F459C3" w:rsidP="00EC2B1A">
            <w:pPr>
              <w:pStyle w:val="SDMTableBoxParaNotNumbered"/>
            </w:pPr>
            <w:r w:rsidRPr="00B5612F">
              <w:t>2.10%</w:t>
            </w:r>
          </w:p>
        </w:tc>
        <w:tc>
          <w:tcPr>
            <w:tcW w:w="1039" w:type="pct"/>
          </w:tcPr>
          <w:p w14:paraId="5742C31A" w14:textId="438A618E" w:rsidR="00F662D0" w:rsidRPr="00CF6457" w:rsidRDefault="003650DC" w:rsidP="00EC2B1A">
            <w:pPr>
              <w:pStyle w:val="SDMTableBoxParaNotNumbered"/>
            </w:pPr>
            <w:r w:rsidRPr="00A644C5">
              <w:t>17.47%</w:t>
            </w:r>
          </w:p>
        </w:tc>
      </w:tr>
      <w:tr w:rsidR="00F662D0" w:rsidRPr="00EC2B1A" w14:paraId="431903F8" w14:textId="77777777" w:rsidTr="008F3C9F">
        <w:trPr>
          <w:jc w:val="right"/>
        </w:trPr>
        <w:tc>
          <w:tcPr>
            <w:tcW w:w="1905" w:type="pct"/>
          </w:tcPr>
          <w:p w14:paraId="3739BC92" w14:textId="77777777" w:rsidR="00F662D0" w:rsidRDefault="00F662D0" w:rsidP="00EC2B1A">
            <w:pPr>
              <w:pStyle w:val="SDMTableBoxParaNotNumbered"/>
            </w:pPr>
            <w:r w:rsidRPr="002243E8">
              <w:t>Seychelles</w:t>
            </w:r>
          </w:p>
        </w:tc>
        <w:tc>
          <w:tcPr>
            <w:tcW w:w="1069" w:type="pct"/>
          </w:tcPr>
          <w:p w14:paraId="3D040621" w14:textId="544B0EA9" w:rsidR="00F662D0" w:rsidRPr="00CF6457" w:rsidRDefault="00E752CF" w:rsidP="00EC2B1A">
            <w:pPr>
              <w:pStyle w:val="SDMTableBoxParaNotNumbered"/>
            </w:pPr>
            <w:r w:rsidRPr="0070652D">
              <w:t>0.35%</w:t>
            </w:r>
          </w:p>
        </w:tc>
        <w:tc>
          <w:tcPr>
            <w:tcW w:w="987" w:type="pct"/>
          </w:tcPr>
          <w:p w14:paraId="5E6BF8B4" w14:textId="13DC179C" w:rsidR="00F662D0" w:rsidRPr="00CF6457" w:rsidRDefault="00F459C3" w:rsidP="00EC2B1A">
            <w:pPr>
              <w:pStyle w:val="SDMTableBoxParaNotNumbered"/>
            </w:pPr>
            <w:r w:rsidRPr="00B5612F">
              <w:t>2.89%</w:t>
            </w:r>
          </w:p>
        </w:tc>
        <w:tc>
          <w:tcPr>
            <w:tcW w:w="1039" w:type="pct"/>
          </w:tcPr>
          <w:p w14:paraId="6F30EDA0" w14:textId="198F378C" w:rsidR="00F662D0" w:rsidRPr="00CF6457" w:rsidRDefault="003650DC" w:rsidP="00EC2B1A">
            <w:pPr>
              <w:pStyle w:val="SDMTableBoxParaNotNumbered"/>
            </w:pPr>
            <w:r w:rsidRPr="00A644C5">
              <w:t>4.06</w:t>
            </w:r>
            <w:r w:rsidR="009B0137" w:rsidRPr="00A644C5">
              <w:t>%</w:t>
            </w:r>
          </w:p>
        </w:tc>
      </w:tr>
      <w:tr w:rsidR="00F662D0" w:rsidRPr="00EC2B1A" w14:paraId="703AA4AF" w14:textId="77777777" w:rsidTr="008F3C9F">
        <w:trPr>
          <w:jc w:val="right"/>
        </w:trPr>
        <w:tc>
          <w:tcPr>
            <w:tcW w:w="1905" w:type="pct"/>
          </w:tcPr>
          <w:p w14:paraId="31BA09DA" w14:textId="77777777" w:rsidR="00F662D0" w:rsidRDefault="00F662D0" w:rsidP="00EC2B1A">
            <w:pPr>
              <w:pStyle w:val="SDMTableBoxParaNotNumbered"/>
            </w:pPr>
            <w:r w:rsidRPr="002243E8">
              <w:t>Sierra Leone</w:t>
            </w:r>
          </w:p>
        </w:tc>
        <w:tc>
          <w:tcPr>
            <w:tcW w:w="1069" w:type="pct"/>
          </w:tcPr>
          <w:p w14:paraId="4918B1FB" w14:textId="5E7E3BE4" w:rsidR="00F662D0" w:rsidRPr="00CF6457" w:rsidRDefault="00E752CF" w:rsidP="00EC2B1A">
            <w:pPr>
              <w:pStyle w:val="SDMTableBoxParaNotNumbered"/>
            </w:pPr>
            <w:r w:rsidRPr="0070652D">
              <w:t>0.00%</w:t>
            </w:r>
          </w:p>
        </w:tc>
        <w:tc>
          <w:tcPr>
            <w:tcW w:w="987" w:type="pct"/>
          </w:tcPr>
          <w:p w14:paraId="5370D674" w14:textId="7D8275BD" w:rsidR="00F662D0" w:rsidRPr="00CF6457" w:rsidRDefault="00F459C3" w:rsidP="00EC2B1A">
            <w:pPr>
              <w:pStyle w:val="SDMTableBoxParaNotNumbered"/>
            </w:pPr>
            <w:r w:rsidRPr="00B5612F">
              <w:t>34.46%</w:t>
            </w:r>
          </w:p>
        </w:tc>
        <w:tc>
          <w:tcPr>
            <w:tcW w:w="1039" w:type="pct"/>
          </w:tcPr>
          <w:p w14:paraId="2AE00C0A" w14:textId="4BE0DDCB" w:rsidR="00F662D0" w:rsidRPr="00CF6457" w:rsidRDefault="003650DC" w:rsidP="00EC2B1A">
            <w:pPr>
              <w:pStyle w:val="SDMTableBoxParaNotNumbered"/>
            </w:pPr>
            <w:r w:rsidRPr="00A644C5">
              <w:t>67.95%</w:t>
            </w:r>
          </w:p>
        </w:tc>
      </w:tr>
      <w:tr w:rsidR="00F662D0" w:rsidRPr="00EC2B1A" w14:paraId="1F56E764" w14:textId="77777777" w:rsidTr="008F3C9F">
        <w:trPr>
          <w:jc w:val="right"/>
        </w:trPr>
        <w:tc>
          <w:tcPr>
            <w:tcW w:w="1905" w:type="pct"/>
          </w:tcPr>
          <w:p w14:paraId="14CCD19A" w14:textId="77777777" w:rsidR="00F662D0" w:rsidRDefault="00F662D0" w:rsidP="00EC2B1A">
            <w:pPr>
              <w:pStyle w:val="SDMTableBoxParaNotNumbered"/>
            </w:pPr>
            <w:r w:rsidRPr="002243E8">
              <w:t>Singapore</w:t>
            </w:r>
          </w:p>
        </w:tc>
        <w:tc>
          <w:tcPr>
            <w:tcW w:w="1069" w:type="pct"/>
          </w:tcPr>
          <w:p w14:paraId="1091B686" w14:textId="2BCC7E9C" w:rsidR="00F662D0" w:rsidRPr="00CF6457" w:rsidRDefault="00E752CF" w:rsidP="00EC2B1A">
            <w:pPr>
              <w:pStyle w:val="SDMTableBoxParaNotNumbered"/>
            </w:pPr>
            <w:r w:rsidRPr="0070652D">
              <w:t>0.00%</w:t>
            </w:r>
          </w:p>
        </w:tc>
        <w:tc>
          <w:tcPr>
            <w:tcW w:w="987" w:type="pct"/>
          </w:tcPr>
          <w:p w14:paraId="4113E149" w14:textId="10EBCB19" w:rsidR="00F662D0" w:rsidRPr="00CF6457" w:rsidRDefault="00F459C3" w:rsidP="00EC2B1A">
            <w:pPr>
              <w:pStyle w:val="SDMTableBoxParaNotNumbered"/>
            </w:pPr>
            <w:r w:rsidRPr="00B5612F">
              <w:t>0.26%</w:t>
            </w:r>
          </w:p>
        </w:tc>
        <w:tc>
          <w:tcPr>
            <w:tcW w:w="1039" w:type="pct"/>
          </w:tcPr>
          <w:p w14:paraId="32B6869C" w14:textId="61065432" w:rsidR="00F662D0" w:rsidRPr="00CF6457" w:rsidRDefault="003650DC" w:rsidP="00EC2B1A">
            <w:pPr>
              <w:pStyle w:val="SDMTableBoxParaNotNumbered"/>
            </w:pPr>
            <w:r w:rsidRPr="00A644C5">
              <w:t>25.27</w:t>
            </w:r>
            <w:r w:rsidR="009B0137" w:rsidRPr="00A644C5">
              <w:t>%</w:t>
            </w:r>
          </w:p>
        </w:tc>
      </w:tr>
      <w:tr w:rsidR="00F662D0" w:rsidRPr="00EC2B1A" w14:paraId="419D7EB0" w14:textId="77777777" w:rsidTr="008F3C9F">
        <w:trPr>
          <w:jc w:val="right"/>
        </w:trPr>
        <w:tc>
          <w:tcPr>
            <w:tcW w:w="1905" w:type="pct"/>
          </w:tcPr>
          <w:p w14:paraId="63F79D33" w14:textId="77777777" w:rsidR="00F662D0" w:rsidRDefault="00F662D0" w:rsidP="00EC2B1A">
            <w:pPr>
              <w:pStyle w:val="SDMTableBoxParaNotNumbered"/>
            </w:pPr>
            <w:r w:rsidRPr="002243E8">
              <w:t>Slovakia</w:t>
            </w:r>
          </w:p>
        </w:tc>
        <w:tc>
          <w:tcPr>
            <w:tcW w:w="1069" w:type="pct"/>
          </w:tcPr>
          <w:p w14:paraId="2D569E5F" w14:textId="5F21E5E9" w:rsidR="00F662D0" w:rsidRPr="00CF6457" w:rsidRDefault="00E752CF" w:rsidP="00EC2B1A">
            <w:pPr>
              <w:pStyle w:val="SDMTableBoxParaNotNumbered"/>
            </w:pPr>
            <w:r w:rsidRPr="0070652D">
              <w:t>4.57%</w:t>
            </w:r>
          </w:p>
        </w:tc>
        <w:tc>
          <w:tcPr>
            <w:tcW w:w="987" w:type="pct"/>
          </w:tcPr>
          <w:p w14:paraId="6F066B1D" w14:textId="40DB463D" w:rsidR="00F662D0" w:rsidRPr="00CF6457" w:rsidRDefault="00F459C3" w:rsidP="00EC2B1A">
            <w:pPr>
              <w:pStyle w:val="SDMTableBoxParaNotNumbered"/>
            </w:pPr>
            <w:r w:rsidRPr="00B5612F">
              <w:t>8.98%</w:t>
            </w:r>
          </w:p>
        </w:tc>
        <w:tc>
          <w:tcPr>
            <w:tcW w:w="1039" w:type="pct"/>
          </w:tcPr>
          <w:p w14:paraId="6448381C" w14:textId="7EB60A6D" w:rsidR="00F662D0" w:rsidRPr="00CF6457" w:rsidRDefault="003650DC" w:rsidP="00EC2B1A">
            <w:pPr>
              <w:pStyle w:val="SDMTableBoxParaNotNumbered"/>
            </w:pPr>
            <w:r w:rsidRPr="00A644C5">
              <w:t>29.61</w:t>
            </w:r>
            <w:r w:rsidR="009B0137" w:rsidRPr="00A644C5">
              <w:t>%</w:t>
            </w:r>
          </w:p>
        </w:tc>
      </w:tr>
      <w:tr w:rsidR="00F662D0" w:rsidRPr="00EC2B1A" w14:paraId="1CC2CA7A" w14:textId="77777777" w:rsidTr="008F3C9F">
        <w:trPr>
          <w:jc w:val="right"/>
        </w:trPr>
        <w:tc>
          <w:tcPr>
            <w:tcW w:w="1905" w:type="pct"/>
          </w:tcPr>
          <w:p w14:paraId="5211EAB9" w14:textId="77777777" w:rsidR="00F662D0" w:rsidRDefault="00F662D0" w:rsidP="00EC2B1A">
            <w:pPr>
              <w:pStyle w:val="SDMTableBoxParaNotNumbered"/>
            </w:pPr>
            <w:r w:rsidRPr="002243E8">
              <w:t>Slovenia</w:t>
            </w:r>
          </w:p>
        </w:tc>
        <w:tc>
          <w:tcPr>
            <w:tcW w:w="1069" w:type="pct"/>
          </w:tcPr>
          <w:p w14:paraId="14668B4F" w14:textId="327E012C" w:rsidR="00F662D0" w:rsidRPr="00CF6457" w:rsidRDefault="00E752CF" w:rsidP="00EC2B1A">
            <w:pPr>
              <w:pStyle w:val="SDMTableBoxParaNotNumbered"/>
            </w:pPr>
            <w:r w:rsidRPr="0070652D">
              <w:t>0.86%</w:t>
            </w:r>
          </w:p>
        </w:tc>
        <w:tc>
          <w:tcPr>
            <w:tcW w:w="987" w:type="pct"/>
          </w:tcPr>
          <w:p w14:paraId="3CFB0FD8" w14:textId="372268EE" w:rsidR="00F662D0" w:rsidRPr="00CF6457" w:rsidRDefault="00F459C3" w:rsidP="00EC2B1A">
            <w:pPr>
              <w:pStyle w:val="SDMTableBoxParaNotNumbered"/>
            </w:pPr>
            <w:r w:rsidRPr="00B5612F">
              <w:t>5.44%</w:t>
            </w:r>
          </w:p>
        </w:tc>
        <w:tc>
          <w:tcPr>
            <w:tcW w:w="1039" w:type="pct"/>
          </w:tcPr>
          <w:p w14:paraId="069BA983" w14:textId="262357D8" w:rsidR="00F662D0" w:rsidRPr="00CF6457" w:rsidRDefault="003650DC" w:rsidP="00EC2B1A">
            <w:pPr>
              <w:pStyle w:val="SDMTableBoxParaNotNumbered"/>
            </w:pPr>
            <w:r w:rsidRPr="00A644C5">
              <w:t>94.95%</w:t>
            </w:r>
          </w:p>
        </w:tc>
      </w:tr>
      <w:tr w:rsidR="00F662D0" w:rsidRPr="00EC2B1A" w14:paraId="364FEF41" w14:textId="77777777" w:rsidTr="008F3C9F">
        <w:trPr>
          <w:jc w:val="right"/>
        </w:trPr>
        <w:tc>
          <w:tcPr>
            <w:tcW w:w="1905" w:type="pct"/>
          </w:tcPr>
          <w:p w14:paraId="77DE7386" w14:textId="77777777" w:rsidR="00F662D0" w:rsidRDefault="00F662D0" w:rsidP="00EC2B1A">
            <w:pPr>
              <w:pStyle w:val="SDMTableBoxParaNotNumbered"/>
            </w:pPr>
            <w:r w:rsidRPr="002243E8">
              <w:t>Solomon Islands</w:t>
            </w:r>
          </w:p>
        </w:tc>
        <w:tc>
          <w:tcPr>
            <w:tcW w:w="1069" w:type="pct"/>
          </w:tcPr>
          <w:p w14:paraId="2C02C747" w14:textId="26FFD38C" w:rsidR="00F662D0" w:rsidRPr="00CF6457" w:rsidRDefault="00E752CF" w:rsidP="00EC2B1A">
            <w:pPr>
              <w:pStyle w:val="SDMTableBoxParaNotNumbered"/>
            </w:pPr>
            <w:r w:rsidRPr="0070652D">
              <w:t>0.36%</w:t>
            </w:r>
          </w:p>
        </w:tc>
        <w:tc>
          <w:tcPr>
            <w:tcW w:w="987" w:type="pct"/>
          </w:tcPr>
          <w:p w14:paraId="01A3C258" w14:textId="3E2032FA" w:rsidR="00F662D0" w:rsidRPr="00CF6457" w:rsidRDefault="00F459C3" w:rsidP="00EC2B1A">
            <w:pPr>
              <w:pStyle w:val="SDMTableBoxParaNotNumbered"/>
            </w:pPr>
            <w:r w:rsidRPr="00B5612F">
              <w:t>2.29%</w:t>
            </w:r>
          </w:p>
        </w:tc>
        <w:tc>
          <w:tcPr>
            <w:tcW w:w="1039" w:type="pct"/>
          </w:tcPr>
          <w:p w14:paraId="02634B64" w14:textId="20BC874C" w:rsidR="00F662D0" w:rsidRPr="00CF6457" w:rsidRDefault="000A16B8" w:rsidP="00EC2B1A">
            <w:pPr>
              <w:pStyle w:val="SDMTableBoxParaNotNumbered"/>
            </w:pPr>
            <w:r w:rsidRPr="00A644C5">
              <w:t>Use global value</w:t>
            </w:r>
          </w:p>
        </w:tc>
      </w:tr>
      <w:tr w:rsidR="00F662D0" w:rsidRPr="00EC2B1A" w14:paraId="6FB80025" w14:textId="77777777" w:rsidTr="008F3C9F">
        <w:trPr>
          <w:jc w:val="right"/>
        </w:trPr>
        <w:tc>
          <w:tcPr>
            <w:tcW w:w="1905" w:type="pct"/>
          </w:tcPr>
          <w:p w14:paraId="339A713B" w14:textId="77777777" w:rsidR="00F662D0" w:rsidRDefault="00F662D0" w:rsidP="00EC2B1A">
            <w:pPr>
              <w:pStyle w:val="SDMTableBoxParaNotNumbered"/>
            </w:pPr>
            <w:r w:rsidRPr="002243E8">
              <w:t>Somalia</w:t>
            </w:r>
          </w:p>
        </w:tc>
        <w:tc>
          <w:tcPr>
            <w:tcW w:w="1069" w:type="pct"/>
          </w:tcPr>
          <w:p w14:paraId="46F6C325" w14:textId="3F635E2D" w:rsidR="00F662D0" w:rsidRPr="00CF6457" w:rsidRDefault="00E752CF" w:rsidP="00EC2B1A">
            <w:pPr>
              <w:pStyle w:val="SDMTableBoxParaNotNumbered"/>
            </w:pPr>
            <w:r w:rsidRPr="0070652D">
              <w:t>0.35%</w:t>
            </w:r>
          </w:p>
        </w:tc>
        <w:tc>
          <w:tcPr>
            <w:tcW w:w="987" w:type="pct"/>
          </w:tcPr>
          <w:p w14:paraId="03A92CB3" w14:textId="7450635B" w:rsidR="00F662D0" w:rsidRPr="00CF6457" w:rsidRDefault="00F459C3" w:rsidP="00EC2B1A">
            <w:pPr>
              <w:pStyle w:val="SDMTableBoxParaNotNumbered"/>
            </w:pPr>
            <w:r w:rsidRPr="00B5612F">
              <w:t>3.49%</w:t>
            </w:r>
          </w:p>
        </w:tc>
        <w:tc>
          <w:tcPr>
            <w:tcW w:w="1039" w:type="pct"/>
          </w:tcPr>
          <w:p w14:paraId="0C2482BB" w14:textId="27DF1EA2" w:rsidR="00F662D0" w:rsidRPr="00CF6457" w:rsidRDefault="000A16B8" w:rsidP="00EC2B1A">
            <w:pPr>
              <w:pStyle w:val="SDMTableBoxParaNotNumbered"/>
            </w:pPr>
            <w:r w:rsidRPr="00A644C5">
              <w:t>Use global value</w:t>
            </w:r>
          </w:p>
        </w:tc>
      </w:tr>
      <w:tr w:rsidR="00F662D0" w:rsidRPr="00EC2B1A" w14:paraId="1167A3AC" w14:textId="77777777" w:rsidTr="008F3C9F">
        <w:trPr>
          <w:jc w:val="right"/>
        </w:trPr>
        <w:tc>
          <w:tcPr>
            <w:tcW w:w="1905" w:type="pct"/>
          </w:tcPr>
          <w:p w14:paraId="00EA7ED6" w14:textId="77777777" w:rsidR="00F662D0" w:rsidRDefault="00F662D0" w:rsidP="00EC2B1A">
            <w:pPr>
              <w:pStyle w:val="SDMTableBoxParaNotNumbered"/>
            </w:pPr>
            <w:r w:rsidRPr="002243E8">
              <w:t>South Africa</w:t>
            </w:r>
          </w:p>
        </w:tc>
        <w:tc>
          <w:tcPr>
            <w:tcW w:w="1069" w:type="pct"/>
          </w:tcPr>
          <w:p w14:paraId="3F1080BA" w14:textId="6220C6A7" w:rsidR="00F662D0" w:rsidRPr="00CF6457" w:rsidRDefault="00E752CF" w:rsidP="00EC2B1A">
            <w:pPr>
              <w:pStyle w:val="SDMTableBoxParaNotNumbered"/>
            </w:pPr>
            <w:r w:rsidRPr="0070652D">
              <w:t>0.24%</w:t>
            </w:r>
          </w:p>
        </w:tc>
        <w:tc>
          <w:tcPr>
            <w:tcW w:w="987" w:type="pct"/>
          </w:tcPr>
          <w:p w14:paraId="7727471F" w14:textId="4B007F49" w:rsidR="00F662D0" w:rsidRPr="00CF6457" w:rsidRDefault="00F459C3" w:rsidP="00EC2B1A">
            <w:pPr>
              <w:pStyle w:val="SDMTableBoxParaNotNumbered"/>
            </w:pPr>
            <w:r w:rsidRPr="00B5612F">
              <w:t>1.39%</w:t>
            </w:r>
          </w:p>
        </w:tc>
        <w:tc>
          <w:tcPr>
            <w:tcW w:w="1039" w:type="pct"/>
          </w:tcPr>
          <w:p w14:paraId="38E0569D" w14:textId="61851F52" w:rsidR="00F662D0" w:rsidRPr="00CF6457" w:rsidRDefault="003650DC" w:rsidP="00EC2B1A">
            <w:pPr>
              <w:pStyle w:val="SDMTableBoxParaNotNumbered"/>
            </w:pPr>
            <w:r w:rsidRPr="00A644C5">
              <w:t>22.34</w:t>
            </w:r>
            <w:r w:rsidR="009B0137" w:rsidRPr="00A644C5">
              <w:t>%</w:t>
            </w:r>
          </w:p>
        </w:tc>
      </w:tr>
      <w:tr w:rsidR="00F662D0" w:rsidRPr="00EC2B1A" w14:paraId="2B0A03D8" w14:textId="77777777" w:rsidTr="008F3C9F">
        <w:trPr>
          <w:jc w:val="right"/>
        </w:trPr>
        <w:tc>
          <w:tcPr>
            <w:tcW w:w="1905" w:type="pct"/>
          </w:tcPr>
          <w:p w14:paraId="5F979627" w14:textId="77777777" w:rsidR="00F662D0" w:rsidRDefault="00F662D0" w:rsidP="00EC2B1A">
            <w:pPr>
              <w:pStyle w:val="SDMTableBoxParaNotNumbered"/>
            </w:pPr>
            <w:r w:rsidRPr="002243E8">
              <w:t>South Sudan</w:t>
            </w:r>
          </w:p>
        </w:tc>
        <w:tc>
          <w:tcPr>
            <w:tcW w:w="1069" w:type="pct"/>
          </w:tcPr>
          <w:p w14:paraId="5568509A" w14:textId="10D80E36" w:rsidR="00F662D0" w:rsidRPr="00CF6457" w:rsidRDefault="00E752CF" w:rsidP="00EC2B1A">
            <w:pPr>
              <w:pStyle w:val="SDMTableBoxParaNotNumbered"/>
            </w:pPr>
            <w:r w:rsidRPr="0070652D">
              <w:t>0.25%</w:t>
            </w:r>
          </w:p>
        </w:tc>
        <w:tc>
          <w:tcPr>
            <w:tcW w:w="987" w:type="pct"/>
          </w:tcPr>
          <w:p w14:paraId="1DE8F625" w14:textId="7F2C19B5" w:rsidR="00F662D0" w:rsidRPr="00CF6457" w:rsidRDefault="00F459C3" w:rsidP="00EC2B1A">
            <w:pPr>
              <w:pStyle w:val="SDMTableBoxParaNotNumbered"/>
            </w:pPr>
            <w:r w:rsidRPr="00B5612F">
              <w:t>1.53%</w:t>
            </w:r>
          </w:p>
        </w:tc>
        <w:tc>
          <w:tcPr>
            <w:tcW w:w="1039" w:type="pct"/>
          </w:tcPr>
          <w:p w14:paraId="0D37A6E3" w14:textId="40E9E935" w:rsidR="00F662D0" w:rsidRPr="00CF6457" w:rsidRDefault="009B0137" w:rsidP="00EC2B1A">
            <w:pPr>
              <w:pStyle w:val="SDMTableBoxParaNotNumbered"/>
            </w:pPr>
            <w:r w:rsidRPr="00A644C5">
              <w:t>0.</w:t>
            </w:r>
            <w:r w:rsidR="003650DC" w:rsidRPr="00A644C5">
              <w:t>70</w:t>
            </w:r>
            <w:r w:rsidRPr="00A644C5">
              <w:t>%</w:t>
            </w:r>
          </w:p>
        </w:tc>
      </w:tr>
      <w:tr w:rsidR="00F662D0" w:rsidRPr="00EC2B1A" w14:paraId="619F1FBC" w14:textId="77777777" w:rsidTr="008F3C9F">
        <w:trPr>
          <w:jc w:val="right"/>
        </w:trPr>
        <w:tc>
          <w:tcPr>
            <w:tcW w:w="1905" w:type="pct"/>
          </w:tcPr>
          <w:p w14:paraId="3A4243D8" w14:textId="77777777" w:rsidR="00F662D0" w:rsidRDefault="00F662D0" w:rsidP="00EC2B1A">
            <w:pPr>
              <w:pStyle w:val="SDMTableBoxParaNotNumbered"/>
            </w:pPr>
            <w:r w:rsidRPr="002243E8">
              <w:t>Spain</w:t>
            </w:r>
          </w:p>
        </w:tc>
        <w:tc>
          <w:tcPr>
            <w:tcW w:w="1069" w:type="pct"/>
          </w:tcPr>
          <w:p w14:paraId="1B318F29" w14:textId="4BA5D973" w:rsidR="00F662D0" w:rsidRPr="00CF6457" w:rsidRDefault="00E752CF" w:rsidP="00EC2B1A">
            <w:pPr>
              <w:pStyle w:val="SDMTableBoxParaNotNumbered"/>
            </w:pPr>
            <w:r w:rsidRPr="0070652D">
              <w:t>4.82%</w:t>
            </w:r>
          </w:p>
        </w:tc>
        <w:tc>
          <w:tcPr>
            <w:tcW w:w="987" w:type="pct"/>
          </w:tcPr>
          <w:p w14:paraId="574DDBA1" w14:textId="59E337F4" w:rsidR="00F662D0" w:rsidRPr="00CF6457" w:rsidRDefault="00F459C3" w:rsidP="00EC2B1A">
            <w:pPr>
              <w:pStyle w:val="SDMTableBoxParaNotNumbered"/>
            </w:pPr>
            <w:r w:rsidRPr="00B5612F">
              <w:t>10.41%</w:t>
            </w:r>
          </w:p>
        </w:tc>
        <w:tc>
          <w:tcPr>
            <w:tcW w:w="1039" w:type="pct"/>
          </w:tcPr>
          <w:p w14:paraId="60EF911E" w14:textId="0533F400" w:rsidR="00F662D0" w:rsidRPr="00CF6457" w:rsidRDefault="003650DC" w:rsidP="00EC2B1A">
            <w:pPr>
              <w:pStyle w:val="SDMTableBoxParaNotNumbered"/>
            </w:pPr>
            <w:r w:rsidRPr="00A644C5">
              <w:t>30.52</w:t>
            </w:r>
            <w:r w:rsidR="009B0137" w:rsidRPr="00A644C5">
              <w:t>%</w:t>
            </w:r>
          </w:p>
        </w:tc>
      </w:tr>
      <w:tr w:rsidR="00F662D0" w:rsidRPr="00EC2B1A" w14:paraId="0BDDC184" w14:textId="77777777" w:rsidTr="008F3C9F">
        <w:trPr>
          <w:jc w:val="right"/>
        </w:trPr>
        <w:tc>
          <w:tcPr>
            <w:tcW w:w="1905" w:type="pct"/>
          </w:tcPr>
          <w:p w14:paraId="30916875" w14:textId="77777777" w:rsidR="00F662D0" w:rsidRDefault="00F662D0" w:rsidP="00EC2B1A">
            <w:pPr>
              <w:pStyle w:val="SDMTableBoxParaNotNumbered"/>
            </w:pPr>
            <w:r w:rsidRPr="002243E8">
              <w:t>Sri Lanka</w:t>
            </w:r>
          </w:p>
        </w:tc>
        <w:tc>
          <w:tcPr>
            <w:tcW w:w="1069" w:type="pct"/>
          </w:tcPr>
          <w:p w14:paraId="55611F54" w14:textId="3493F495" w:rsidR="00F662D0" w:rsidRPr="00CF6457" w:rsidRDefault="00E752CF" w:rsidP="00EC2B1A">
            <w:pPr>
              <w:pStyle w:val="SDMTableBoxParaNotNumbered"/>
            </w:pPr>
            <w:r w:rsidRPr="0070652D">
              <w:t>0.20%</w:t>
            </w:r>
          </w:p>
        </w:tc>
        <w:tc>
          <w:tcPr>
            <w:tcW w:w="987" w:type="pct"/>
          </w:tcPr>
          <w:p w14:paraId="09FBB6A8" w14:textId="7CE66793" w:rsidR="00F662D0" w:rsidRPr="00CF6457" w:rsidRDefault="00F459C3" w:rsidP="00EC2B1A">
            <w:pPr>
              <w:pStyle w:val="SDMTableBoxParaNotNumbered"/>
            </w:pPr>
            <w:r w:rsidRPr="00B5612F">
              <w:t>5.58%</w:t>
            </w:r>
          </w:p>
        </w:tc>
        <w:tc>
          <w:tcPr>
            <w:tcW w:w="1039" w:type="pct"/>
          </w:tcPr>
          <w:p w14:paraId="189AF60B" w14:textId="4FB823EC" w:rsidR="00F662D0" w:rsidRPr="00CF6457" w:rsidRDefault="009B0137" w:rsidP="00EC2B1A">
            <w:pPr>
              <w:pStyle w:val="SDMTableBoxParaNotNumbered"/>
            </w:pPr>
            <w:r w:rsidRPr="00A644C5">
              <w:t>87</w:t>
            </w:r>
            <w:r w:rsidR="003650DC" w:rsidRPr="00A644C5">
              <w:t>.27</w:t>
            </w:r>
            <w:r w:rsidRPr="00A644C5">
              <w:t>%</w:t>
            </w:r>
          </w:p>
        </w:tc>
      </w:tr>
      <w:tr w:rsidR="00D53A33" w:rsidRPr="00EC2B1A" w14:paraId="1CFB75CB" w14:textId="77777777" w:rsidTr="008F3C9F">
        <w:trPr>
          <w:jc w:val="right"/>
        </w:trPr>
        <w:tc>
          <w:tcPr>
            <w:tcW w:w="1905" w:type="pct"/>
          </w:tcPr>
          <w:p w14:paraId="34CCDF18" w14:textId="77777777" w:rsidR="00D53A33" w:rsidRDefault="00D53A33" w:rsidP="00EC2B1A">
            <w:pPr>
              <w:pStyle w:val="SDMTableBoxParaNotNumbered"/>
            </w:pPr>
            <w:r>
              <w:t xml:space="preserve">State of </w:t>
            </w:r>
            <w:r w:rsidRPr="002243E8">
              <w:t>Palestine</w:t>
            </w:r>
          </w:p>
        </w:tc>
        <w:tc>
          <w:tcPr>
            <w:tcW w:w="1069" w:type="pct"/>
          </w:tcPr>
          <w:p w14:paraId="32976C0B" w14:textId="77777777" w:rsidR="00D53A33" w:rsidRPr="00CF6457" w:rsidRDefault="00D53A33" w:rsidP="00EC2B1A">
            <w:pPr>
              <w:pStyle w:val="SDMTableBoxParaNotNumbered"/>
            </w:pPr>
            <w:r w:rsidRPr="0070652D">
              <w:t>0.57%</w:t>
            </w:r>
          </w:p>
        </w:tc>
        <w:tc>
          <w:tcPr>
            <w:tcW w:w="987" w:type="pct"/>
          </w:tcPr>
          <w:p w14:paraId="7618B10B" w14:textId="77777777" w:rsidR="00D53A33" w:rsidRPr="00CF6457" w:rsidRDefault="00D53A33" w:rsidP="00EC2B1A">
            <w:pPr>
              <w:pStyle w:val="SDMTableBoxParaNotNumbered"/>
            </w:pPr>
            <w:r w:rsidRPr="00B5612F">
              <w:t>5.35%</w:t>
            </w:r>
          </w:p>
        </w:tc>
        <w:tc>
          <w:tcPr>
            <w:tcW w:w="1039" w:type="pct"/>
          </w:tcPr>
          <w:p w14:paraId="2C4CE50A" w14:textId="77777777" w:rsidR="00D53A33" w:rsidRPr="00CF6457" w:rsidRDefault="00D53A33" w:rsidP="00EC2B1A">
            <w:pPr>
              <w:pStyle w:val="SDMTableBoxParaNotNumbered"/>
            </w:pPr>
            <w:r w:rsidRPr="00A644C5">
              <w:t>61.16%</w:t>
            </w:r>
          </w:p>
        </w:tc>
      </w:tr>
      <w:tr w:rsidR="00F662D0" w:rsidRPr="00EC2B1A" w14:paraId="7F20B17C" w14:textId="77777777" w:rsidTr="008F3C9F">
        <w:trPr>
          <w:jc w:val="right"/>
        </w:trPr>
        <w:tc>
          <w:tcPr>
            <w:tcW w:w="1905" w:type="pct"/>
          </w:tcPr>
          <w:p w14:paraId="55559D4C" w14:textId="680A1452" w:rsidR="00F662D0" w:rsidRDefault="00F662D0" w:rsidP="00EC2B1A">
            <w:pPr>
              <w:pStyle w:val="SDMTableBoxParaNotNumbered"/>
            </w:pPr>
            <w:r w:rsidRPr="002243E8">
              <w:t>Sudan</w:t>
            </w:r>
          </w:p>
        </w:tc>
        <w:tc>
          <w:tcPr>
            <w:tcW w:w="1069" w:type="pct"/>
          </w:tcPr>
          <w:p w14:paraId="50805D3A" w14:textId="2B1ACFDF" w:rsidR="00F662D0" w:rsidRPr="00CF6457" w:rsidRDefault="00E752CF" w:rsidP="00EC2B1A">
            <w:pPr>
              <w:pStyle w:val="SDMTableBoxParaNotNumbered"/>
            </w:pPr>
            <w:r w:rsidRPr="0070652D">
              <w:t>0.02%</w:t>
            </w:r>
          </w:p>
        </w:tc>
        <w:tc>
          <w:tcPr>
            <w:tcW w:w="987" w:type="pct"/>
          </w:tcPr>
          <w:p w14:paraId="67855422" w14:textId="2E206DBC" w:rsidR="00F662D0" w:rsidRPr="00CF6457" w:rsidRDefault="00F459C3" w:rsidP="00EC2B1A">
            <w:pPr>
              <w:pStyle w:val="SDMTableBoxParaNotNumbered"/>
            </w:pPr>
            <w:r w:rsidRPr="00B5612F">
              <w:t>7.03%</w:t>
            </w:r>
          </w:p>
        </w:tc>
        <w:tc>
          <w:tcPr>
            <w:tcW w:w="1039" w:type="pct"/>
          </w:tcPr>
          <w:p w14:paraId="00F982EF" w14:textId="49219BBF" w:rsidR="00F662D0" w:rsidRPr="00CF6457" w:rsidRDefault="003650DC" w:rsidP="00EC2B1A">
            <w:pPr>
              <w:pStyle w:val="SDMTableBoxParaNotNumbered"/>
            </w:pPr>
            <w:r w:rsidRPr="00A644C5">
              <w:t>85.85%</w:t>
            </w:r>
          </w:p>
        </w:tc>
      </w:tr>
      <w:tr w:rsidR="00F662D0" w:rsidRPr="00EC2B1A" w14:paraId="22A88CB8" w14:textId="77777777" w:rsidTr="008F3C9F">
        <w:trPr>
          <w:jc w:val="right"/>
        </w:trPr>
        <w:tc>
          <w:tcPr>
            <w:tcW w:w="1905" w:type="pct"/>
          </w:tcPr>
          <w:p w14:paraId="2445D7C3" w14:textId="77777777" w:rsidR="00F662D0" w:rsidRDefault="00F662D0" w:rsidP="00EC2B1A">
            <w:pPr>
              <w:pStyle w:val="SDMTableBoxParaNotNumbered"/>
            </w:pPr>
            <w:r w:rsidRPr="002243E8">
              <w:t>Suriname</w:t>
            </w:r>
          </w:p>
        </w:tc>
        <w:tc>
          <w:tcPr>
            <w:tcW w:w="1069" w:type="pct"/>
          </w:tcPr>
          <w:p w14:paraId="267320A5" w14:textId="3EA56C63" w:rsidR="00F662D0" w:rsidRPr="00CF6457" w:rsidRDefault="00E752CF" w:rsidP="00EC2B1A">
            <w:pPr>
              <w:pStyle w:val="SDMTableBoxParaNotNumbered"/>
            </w:pPr>
            <w:r w:rsidRPr="0070652D">
              <w:t>0.19%</w:t>
            </w:r>
          </w:p>
        </w:tc>
        <w:tc>
          <w:tcPr>
            <w:tcW w:w="987" w:type="pct"/>
          </w:tcPr>
          <w:p w14:paraId="29B81463" w14:textId="2D1E9E8A" w:rsidR="00F662D0" w:rsidRPr="00CF6457" w:rsidRDefault="00F459C3" w:rsidP="00EC2B1A">
            <w:pPr>
              <w:pStyle w:val="SDMTableBoxParaNotNumbered"/>
            </w:pPr>
            <w:r w:rsidRPr="00B5612F">
              <w:t>7.74%</w:t>
            </w:r>
          </w:p>
        </w:tc>
        <w:tc>
          <w:tcPr>
            <w:tcW w:w="1039" w:type="pct"/>
          </w:tcPr>
          <w:p w14:paraId="15F2E785" w14:textId="03E5089B" w:rsidR="00F662D0" w:rsidRPr="00CF6457" w:rsidRDefault="009B0137" w:rsidP="00EC2B1A">
            <w:pPr>
              <w:pStyle w:val="SDMTableBoxParaNotNumbered"/>
            </w:pPr>
            <w:r w:rsidRPr="00A644C5">
              <w:t>0.</w:t>
            </w:r>
            <w:r w:rsidR="003650DC" w:rsidRPr="00A644C5">
              <w:t>45</w:t>
            </w:r>
            <w:r w:rsidRPr="00A644C5">
              <w:t>%</w:t>
            </w:r>
          </w:p>
        </w:tc>
      </w:tr>
      <w:tr w:rsidR="00F662D0" w:rsidRPr="00EC2B1A" w14:paraId="2F5F1E08" w14:textId="77777777" w:rsidTr="008F3C9F">
        <w:trPr>
          <w:jc w:val="right"/>
        </w:trPr>
        <w:tc>
          <w:tcPr>
            <w:tcW w:w="1905" w:type="pct"/>
          </w:tcPr>
          <w:p w14:paraId="372B398C" w14:textId="77777777" w:rsidR="00F662D0" w:rsidRDefault="00F662D0" w:rsidP="00EC2B1A">
            <w:pPr>
              <w:pStyle w:val="SDMTableBoxParaNotNumbered"/>
            </w:pPr>
            <w:r w:rsidRPr="002243E8">
              <w:t>Sweden</w:t>
            </w:r>
          </w:p>
        </w:tc>
        <w:tc>
          <w:tcPr>
            <w:tcW w:w="1069" w:type="pct"/>
          </w:tcPr>
          <w:p w14:paraId="104B8D60" w14:textId="6B3BEBA7" w:rsidR="00F662D0" w:rsidRPr="00CF6457" w:rsidRDefault="00E752CF" w:rsidP="00EC2B1A">
            <w:pPr>
              <w:pStyle w:val="SDMTableBoxParaNotNumbered"/>
            </w:pPr>
            <w:r w:rsidRPr="0070652D">
              <w:t>0.58%</w:t>
            </w:r>
          </w:p>
        </w:tc>
        <w:tc>
          <w:tcPr>
            <w:tcW w:w="987" w:type="pct"/>
          </w:tcPr>
          <w:p w14:paraId="3D7B435D" w14:textId="0AB4D46D" w:rsidR="00F662D0" w:rsidRPr="00CF6457" w:rsidRDefault="00F459C3" w:rsidP="00EC2B1A">
            <w:pPr>
              <w:pStyle w:val="SDMTableBoxParaNotNumbered"/>
            </w:pPr>
            <w:r w:rsidRPr="00B5612F">
              <w:t>2.72%</w:t>
            </w:r>
          </w:p>
        </w:tc>
        <w:tc>
          <w:tcPr>
            <w:tcW w:w="1039" w:type="pct"/>
          </w:tcPr>
          <w:p w14:paraId="3CD4160F" w14:textId="67FF2A43" w:rsidR="00F662D0" w:rsidRPr="00CF6457" w:rsidRDefault="003650DC" w:rsidP="00EC2B1A">
            <w:pPr>
              <w:pStyle w:val="SDMTableBoxParaNotNumbered"/>
            </w:pPr>
            <w:r w:rsidRPr="00A644C5">
              <w:t>25.61</w:t>
            </w:r>
            <w:r w:rsidR="009B0137" w:rsidRPr="00A644C5">
              <w:t>%</w:t>
            </w:r>
          </w:p>
        </w:tc>
      </w:tr>
      <w:tr w:rsidR="00F662D0" w:rsidRPr="00EC2B1A" w14:paraId="0E04CBFC" w14:textId="77777777" w:rsidTr="008F3C9F">
        <w:trPr>
          <w:jc w:val="right"/>
        </w:trPr>
        <w:tc>
          <w:tcPr>
            <w:tcW w:w="1905" w:type="pct"/>
          </w:tcPr>
          <w:p w14:paraId="6F0FF7EA" w14:textId="77777777" w:rsidR="00F662D0" w:rsidRDefault="00F662D0" w:rsidP="00EC2B1A">
            <w:pPr>
              <w:pStyle w:val="SDMTableBoxParaNotNumbered"/>
            </w:pPr>
            <w:r w:rsidRPr="002243E8">
              <w:t>Switzerland</w:t>
            </w:r>
          </w:p>
        </w:tc>
        <w:tc>
          <w:tcPr>
            <w:tcW w:w="1069" w:type="pct"/>
          </w:tcPr>
          <w:p w14:paraId="52A6B222" w14:textId="74CC4FC3" w:rsidR="00F662D0" w:rsidRPr="00CF6457" w:rsidRDefault="00E752CF" w:rsidP="00EC2B1A">
            <w:pPr>
              <w:pStyle w:val="SDMTableBoxParaNotNumbered"/>
            </w:pPr>
            <w:r w:rsidRPr="0070652D">
              <w:t>0.00%</w:t>
            </w:r>
          </w:p>
        </w:tc>
        <w:tc>
          <w:tcPr>
            <w:tcW w:w="987" w:type="pct"/>
          </w:tcPr>
          <w:p w14:paraId="600CB25E" w14:textId="5646073A" w:rsidR="00F662D0" w:rsidRPr="00CF6457" w:rsidRDefault="00F459C3" w:rsidP="00EC2B1A">
            <w:pPr>
              <w:pStyle w:val="SDMTableBoxParaNotNumbered"/>
            </w:pPr>
            <w:r w:rsidRPr="00B5612F">
              <w:t>4.77%</w:t>
            </w:r>
          </w:p>
        </w:tc>
        <w:tc>
          <w:tcPr>
            <w:tcW w:w="1039" w:type="pct"/>
          </w:tcPr>
          <w:p w14:paraId="6223AF31" w14:textId="39E0EA00" w:rsidR="00F662D0" w:rsidRPr="00CF6457" w:rsidRDefault="003650DC" w:rsidP="00EC2B1A">
            <w:pPr>
              <w:pStyle w:val="SDMTableBoxParaNotNumbered"/>
            </w:pPr>
            <w:r w:rsidRPr="00A644C5">
              <w:t>5.49%</w:t>
            </w:r>
          </w:p>
        </w:tc>
      </w:tr>
      <w:tr w:rsidR="00F662D0" w:rsidRPr="00EC2B1A" w14:paraId="5AD1CD67" w14:textId="77777777" w:rsidTr="008F3C9F">
        <w:trPr>
          <w:jc w:val="right"/>
        </w:trPr>
        <w:tc>
          <w:tcPr>
            <w:tcW w:w="1905" w:type="pct"/>
          </w:tcPr>
          <w:p w14:paraId="69124C93" w14:textId="2374601E" w:rsidR="00F662D0" w:rsidRDefault="00F662D0" w:rsidP="00EC2B1A">
            <w:pPr>
              <w:pStyle w:val="SDMTableBoxParaNotNumbered"/>
            </w:pPr>
            <w:r w:rsidRPr="002243E8">
              <w:t>Syrian Arab Republic</w:t>
            </w:r>
          </w:p>
        </w:tc>
        <w:tc>
          <w:tcPr>
            <w:tcW w:w="1069" w:type="pct"/>
          </w:tcPr>
          <w:p w14:paraId="7E108EEC" w14:textId="5D1CF3D5" w:rsidR="00F662D0" w:rsidRPr="00CF6457" w:rsidRDefault="00E752CF" w:rsidP="00EC2B1A">
            <w:pPr>
              <w:pStyle w:val="SDMTableBoxParaNotNumbered"/>
            </w:pPr>
            <w:r w:rsidRPr="0070652D">
              <w:t>1.00%</w:t>
            </w:r>
          </w:p>
        </w:tc>
        <w:tc>
          <w:tcPr>
            <w:tcW w:w="987" w:type="pct"/>
          </w:tcPr>
          <w:p w14:paraId="5C47E6AC" w14:textId="57902DA9" w:rsidR="00F662D0" w:rsidRPr="00CF6457" w:rsidRDefault="00F459C3" w:rsidP="00EC2B1A">
            <w:pPr>
              <w:pStyle w:val="SDMTableBoxParaNotNumbered"/>
            </w:pPr>
            <w:r w:rsidRPr="00B5612F">
              <w:t>1.43%</w:t>
            </w:r>
          </w:p>
        </w:tc>
        <w:tc>
          <w:tcPr>
            <w:tcW w:w="1039" w:type="pct"/>
          </w:tcPr>
          <w:p w14:paraId="4D6946E6" w14:textId="6BD4D3DC" w:rsidR="00F662D0" w:rsidRPr="00CF6457" w:rsidRDefault="000A16B8" w:rsidP="00EC2B1A">
            <w:pPr>
              <w:pStyle w:val="SDMTableBoxParaNotNumbered"/>
            </w:pPr>
            <w:r w:rsidRPr="00A644C5">
              <w:t>Use global value</w:t>
            </w:r>
          </w:p>
        </w:tc>
      </w:tr>
      <w:tr w:rsidR="00F662D0" w:rsidRPr="00EC2B1A" w14:paraId="2ED1AE6A" w14:textId="77777777" w:rsidTr="008F3C9F">
        <w:trPr>
          <w:jc w:val="right"/>
        </w:trPr>
        <w:tc>
          <w:tcPr>
            <w:tcW w:w="1905" w:type="pct"/>
          </w:tcPr>
          <w:p w14:paraId="497225FE" w14:textId="77777777" w:rsidR="00F662D0" w:rsidRDefault="00F662D0" w:rsidP="00EC2B1A">
            <w:pPr>
              <w:pStyle w:val="SDMTableBoxParaNotNumbered"/>
            </w:pPr>
            <w:r w:rsidRPr="002243E8">
              <w:t>Tajikistan</w:t>
            </w:r>
          </w:p>
        </w:tc>
        <w:tc>
          <w:tcPr>
            <w:tcW w:w="1069" w:type="pct"/>
          </w:tcPr>
          <w:p w14:paraId="3B285C50" w14:textId="6BA0E502" w:rsidR="00F662D0" w:rsidRPr="00CF6457" w:rsidRDefault="00E752CF" w:rsidP="00EC2B1A">
            <w:pPr>
              <w:pStyle w:val="SDMTableBoxParaNotNumbered"/>
            </w:pPr>
            <w:r w:rsidRPr="0070652D">
              <w:t>1.44%</w:t>
            </w:r>
          </w:p>
        </w:tc>
        <w:tc>
          <w:tcPr>
            <w:tcW w:w="987" w:type="pct"/>
          </w:tcPr>
          <w:p w14:paraId="166A3724" w14:textId="692AE527" w:rsidR="00F662D0" w:rsidRPr="00CF6457" w:rsidRDefault="00F459C3" w:rsidP="00EC2B1A">
            <w:pPr>
              <w:pStyle w:val="SDMTableBoxParaNotNumbered"/>
            </w:pPr>
            <w:r w:rsidRPr="00B5612F">
              <w:t>0.00%</w:t>
            </w:r>
          </w:p>
        </w:tc>
        <w:tc>
          <w:tcPr>
            <w:tcW w:w="1039" w:type="pct"/>
          </w:tcPr>
          <w:p w14:paraId="03D21DE6" w14:textId="23E8B763" w:rsidR="00F662D0" w:rsidRPr="00CF6457" w:rsidRDefault="003650DC" w:rsidP="00EC2B1A">
            <w:pPr>
              <w:pStyle w:val="SDMTableBoxParaNotNumbered"/>
            </w:pPr>
            <w:r w:rsidRPr="00A644C5">
              <w:t>175.03%</w:t>
            </w:r>
          </w:p>
        </w:tc>
      </w:tr>
      <w:tr w:rsidR="00F662D0" w:rsidRPr="00EC2B1A" w14:paraId="2D85108D" w14:textId="77777777" w:rsidTr="008F3C9F">
        <w:trPr>
          <w:jc w:val="right"/>
        </w:trPr>
        <w:tc>
          <w:tcPr>
            <w:tcW w:w="1905" w:type="pct"/>
          </w:tcPr>
          <w:p w14:paraId="79A7D170" w14:textId="77777777" w:rsidR="00F662D0" w:rsidRDefault="00F662D0" w:rsidP="00EC2B1A">
            <w:pPr>
              <w:pStyle w:val="SDMTableBoxParaNotNumbered"/>
            </w:pPr>
            <w:r w:rsidRPr="002243E8">
              <w:t>Thailand</w:t>
            </w:r>
          </w:p>
        </w:tc>
        <w:tc>
          <w:tcPr>
            <w:tcW w:w="1069" w:type="pct"/>
          </w:tcPr>
          <w:p w14:paraId="361AC0D5" w14:textId="0B6D3F56" w:rsidR="00F662D0" w:rsidRPr="00CF6457" w:rsidRDefault="00E752CF" w:rsidP="00EC2B1A">
            <w:pPr>
              <w:pStyle w:val="SDMTableBoxParaNotNumbered"/>
            </w:pPr>
            <w:r w:rsidRPr="0070652D">
              <w:t>0.38%</w:t>
            </w:r>
          </w:p>
        </w:tc>
        <w:tc>
          <w:tcPr>
            <w:tcW w:w="987" w:type="pct"/>
          </w:tcPr>
          <w:p w14:paraId="3B646AB2" w14:textId="5491A0E4" w:rsidR="00F662D0" w:rsidRPr="00CF6457" w:rsidRDefault="00F459C3" w:rsidP="00EC2B1A">
            <w:pPr>
              <w:pStyle w:val="SDMTableBoxParaNotNumbered"/>
            </w:pPr>
            <w:r w:rsidRPr="00B5612F">
              <w:t>1.15%</w:t>
            </w:r>
          </w:p>
        </w:tc>
        <w:tc>
          <w:tcPr>
            <w:tcW w:w="1039" w:type="pct"/>
          </w:tcPr>
          <w:p w14:paraId="165DF4CD" w14:textId="1D98BF15" w:rsidR="00F662D0" w:rsidRPr="00CF6457" w:rsidRDefault="009B0137" w:rsidP="00EC2B1A">
            <w:pPr>
              <w:pStyle w:val="SDMTableBoxParaNotNumbered"/>
            </w:pPr>
            <w:r w:rsidRPr="00A644C5">
              <w:t>1.</w:t>
            </w:r>
            <w:r w:rsidR="003650DC" w:rsidRPr="00A644C5">
              <w:t>23</w:t>
            </w:r>
            <w:r w:rsidRPr="00A644C5">
              <w:t>%</w:t>
            </w:r>
          </w:p>
        </w:tc>
      </w:tr>
      <w:tr w:rsidR="00F662D0" w:rsidRPr="00EC2B1A" w14:paraId="069E443A" w14:textId="77777777" w:rsidTr="008F3C9F">
        <w:trPr>
          <w:jc w:val="right"/>
        </w:trPr>
        <w:tc>
          <w:tcPr>
            <w:tcW w:w="1905" w:type="pct"/>
          </w:tcPr>
          <w:p w14:paraId="64D8ADEA" w14:textId="77777777" w:rsidR="00F662D0" w:rsidRDefault="00F662D0" w:rsidP="00EC2B1A">
            <w:pPr>
              <w:pStyle w:val="SDMTableBoxParaNotNumbered"/>
            </w:pPr>
            <w:r w:rsidRPr="002243E8">
              <w:t>Timor-Leste</w:t>
            </w:r>
          </w:p>
        </w:tc>
        <w:tc>
          <w:tcPr>
            <w:tcW w:w="1069" w:type="pct"/>
          </w:tcPr>
          <w:p w14:paraId="6794C8CA" w14:textId="792374B2" w:rsidR="00F662D0" w:rsidRPr="00CF6457" w:rsidRDefault="00E752CF" w:rsidP="00EC2B1A">
            <w:pPr>
              <w:pStyle w:val="SDMTableBoxParaNotNumbered"/>
            </w:pPr>
            <w:r w:rsidRPr="0070652D">
              <w:t>0.00%</w:t>
            </w:r>
          </w:p>
        </w:tc>
        <w:tc>
          <w:tcPr>
            <w:tcW w:w="987" w:type="pct"/>
          </w:tcPr>
          <w:p w14:paraId="51E7E4F8" w14:textId="71D6330D" w:rsidR="00F662D0" w:rsidRPr="00CF6457" w:rsidRDefault="00F459C3" w:rsidP="00EC2B1A">
            <w:pPr>
              <w:pStyle w:val="SDMTableBoxParaNotNumbered"/>
            </w:pPr>
            <w:r w:rsidRPr="00B5612F">
              <w:t>0.00%</w:t>
            </w:r>
          </w:p>
        </w:tc>
        <w:tc>
          <w:tcPr>
            <w:tcW w:w="1039" w:type="pct"/>
          </w:tcPr>
          <w:p w14:paraId="4847D409" w14:textId="4E63D92F" w:rsidR="00F662D0" w:rsidRPr="00CF6457" w:rsidRDefault="000A16B8" w:rsidP="00EC2B1A">
            <w:pPr>
              <w:pStyle w:val="SDMTableBoxParaNotNumbered"/>
            </w:pPr>
            <w:r w:rsidRPr="00A644C5">
              <w:t>Use global value</w:t>
            </w:r>
          </w:p>
        </w:tc>
      </w:tr>
      <w:tr w:rsidR="00F662D0" w:rsidRPr="00EC2B1A" w14:paraId="3EF512C4" w14:textId="77777777" w:rsidTr="008F3C9F">
        <w:trPr>
          <w:jc w:val="right"/>
        </w:trPr>
        <w:tc>
          <w:tcPr>
            <w:tcW w:w="1905" w:type="pct"/>
          </w:tcPr>
          <w:p w14:paraId="00AC0837" w14:textId="77777777" w:rsidR="00F662D0" w:rsidRDefault="00F662D0" w:rsidP="00EC2B1A">
            <w:pPr>
              <w:pStyle w:val="SDMTableBoxParaNotNumbered"/>
            </w:pPr>
            <w:r w:rsidRPr="002243E8">
              <w:t>Togo</w:t>
            </w:r>
          </w:p>
        </w:tc>
        <w:tc>
          <w:tcPr>
            <w:tcW w:w="1069" w:type="pct"/>
          </w:tcPr>
          <w:p w14:paraId="62C3E0B9" w14:textId="6040C22E" w:rsidR="00F662D0" w:rsidRPr="00CF6457" w:rsidRDefault="00E752CF" w:rsidP="00EC2B1A">
            <w:pPr>
              <w:pStyle w:val="SDMTableBoxParaNotNumbered"/>
            </w:pPr>
            <w:r w:rsidRPr="0070652D">
              <w:t>2.36%</w:t>
            </w:r>
          </w:p>
        </w:tc>
        <w:tc>
          <w:tcPr>
            <w:tcW w:w="987" w:type="pct"/>
          </w:tcPr>
          <w:p w14:paraId="0F9102A3" w14:textId="41716CF6" w:rsidR="00F662D0" w:rsidRPr="00CF6457" w:rsidRDefault="00F459C3" w:rsidP="00EC2B1A">
            <w:pPr>
              <w:pStyle w:val="SDMTableBoxParaNotNumbered"/>
            </w:pPr>
            <w:r w:rsidRPr="00B5612F">
              <w:t>2.60%</w:t>
            </w:r>
          </w:p>
        </w:tc>
        <w:tc>
          <w:tcPr>
            <w:tcW w:w="1039" w:type="pct"/>
          </w:tcPr>
          <w:p w14:paraId="491ED598" w14:textId="1276F9AE" w:rsidR="00F662D0" w:rsidRPr="00CF6457" w:rsidRDefault="000A16B8" w:rsidP="00EC2B1A">
            <w:pPr>
              <w:pStyle w:val="SDMTableBoxParaNotNumbered"/>
            </w:pPr>
            <w:r w:rsidRPr="00A644C5">
              <w:t>Use global value</w:t>
            </w:r>
          </w:p>
        </w:tc>
      </w:tr>
      <w:tr w:rsidR="00F662D0" w:rsidRPr="00EC2B1A" w14:paraId="59F82907" w14:textId="77777777" w:rsidTr="008F3C9F">
        <w:trPr>
          <w:jc w:val="right"/>
        </w:trPr>
        <w:tc>
          <w:tcPr>
            <w:tcW w:w="1905" w:type="pct"/>
          </w:tcPr>
          <w:p w14:paraId="5ADDCE48" w14:textId="77777777" w:rsidR="00F662D0" w:rsidRDefault="00F662D0" w:rsidP="00EC2B1A">
            <w:pPr>
              <w:pStyle w:val="SDMTableBoxParaNotNumbered"/>
            </w:pPr>
            <w:r w:rsidRPr="002243E8">
              <w:t>Tonga</w:t>
            </w:r>
          </w:p>
        </w:tc>
        <w:tc>
          <w:tcPr>
            <w:tcW w:w="1069" w:type="pct"/>
          </w:tcPr>
          <w:p w14:paraId="0A3F7B46" w14:textId="2F663FBF" w:rsidR="00F662D0" w:rsidRPr="00CF6457" w:rsidRDefault="00E752CF" w:rsidP="00EC2B1A">
            <w:pPr>
              <w:pStyle w:val="SDMTableBoxParaNotNumbered"/>
            </w:pPr>
            <w:r w:rsidRPr="0070652D">
              <w:t>0.59%</w:t>
            </w:r>
          </w:p>
        </w:tc>
        <w:tc>
          <w:tcPr>
            <w:tcW w:w="987" w:type="pct"/>
          </w:tcPr>
          <w:p w14:paraId="4068DB1C" w14:textId="376E014B" w:rsidR="00F662D0" w:rsidRPr="00CF6457" w:rsidRDefault="00F459C3" w:rsidP="00EC2B1A">
            <w:pPr>
              <w:pStyle w:val="SDMTableBoxParaNotNumbered"/>
            </w:pPr>
            <w:r w:rsidRPr="00B5612F">
              <w:t>2.51%</w:t>
            </w:r>
          </w:p>
        </w:tc>
        <w:tc>
          <w:tcPr>
            <w:tcW w:w="1039" w:type="pct"/>
          </w:tcPr>
          <w:p w14:paraId="11AAA13C" w14:textId="56415C36" w:rsidR="00F662D0" w:rsidRPr="00CF6457" w:rsidRDefault="000A16B8" w:rsidP="00EC2B1A">
            <w:pPr>
              <w:pStyle w:val="SDMTableBoxParaNotNumbered"/>
            </w:pPr>
            <w:r w:rsidRPr="00A644C5">
              <w:t>Use global value</w:t>
            </w:r>
          </w:p>
        </w:tc>
      </w:tr>
      <w:tr w:rsidR="00F662D0" w:rsidRPr="00EC2B1A" w14:paraId="57BDA81A" w14:textId="77777777" w:rsidTr="008F3C9F">
        <w:trPr>
          <w:jc w:val="right"/>
        </w:trPr>
        <w:tc>
          <w:tcPr>
            <w:tcW w:w="1905" w:type="pct"/>
          </w:tcPr>
          <w:p w14:paraId="204ACE28" w14:textId="77777777" w:rsidR="00F662D0" w:rsidRDefault="00F662D0" w:rsidP="00EC2B1A">
            <w:pPr>
              <w:pStyle w:val="SDMTableBoxParaNotNumbered"/>
            </w:pPr>
            <w:r w:rsidRPr="002243E8">
              <w:t>Trinidad and Tobago</w:t>
            </w:r>
          </w:p>
        </w:tc>
        <w:tc>
          <w:tcPr>
            <w:tcW w:w="1069" w:type="pct"/>
          </w:tcPr>
          <w:p w14:paraId="70D39B7C" w14:textId="00A83E7C" w:rsidR="00F662D0" w:rsidRPr="00CF6457" w:rsidRDefault="00E752CF" w:rsidP="00EC2B1A">
            <w:pPr>
              <w:pStyle w:val="SDMTableBoxParaNotNumbered"/>
            </w:pPr>
            <w:r w:rsidRPr="0070652D">
              <w:t>0.00%</w:t>
            </w:r>
          </w:p>
        </w:tc>
        <w:tc>
          <w:tcPr>
            <w:tcW w:w="987" w:type="pct"/>
          </w:tcPr>
          <w:p w14:paraId="0100E4C7" w14:textId="1234719E" w:rsidR="00F662D0" w:rsidRPr="00CF6457" w:rsidRDefault="00F459C3" w:rsidP="00EC2B1A">
            <w:pPr>
              <w:pStyle w:val="SDMTableBoxParaNotNumbered"/>
            </w:pPr>
            <w:r w:rsidRPr="00B5612F">
              <w:t>0.00%</w:t>
            </w:r>
          </w:p>
        </w:tc>
        <w:tc>
          <w:tcPr>
            <w:tcW w:w="1039" w:type="pct"/>
          </w:tcPr>
          <w:p w14:paraId="1A555C2B" w14:textId="2DAB8CEF" w:rsidR="00F662D0" w:rsidRPr="00CF6457" w:rsidRDefault="000A16B8" w:rsidP="00EC2B1A">
            <w:pPr>
              <w:pStyle w:val="SDMTableBoxParaNotNumbered"/>
            </w:pPr>
            <w:r w:rsidRPr="00A644C5">
              <w:t>Use global value</w:t>
            </w:r>
          </w:p>
        </w:tc>
      </w:tr>
      <w:tr w:rsidR="00F662D0" w:rsidRPr="00EC2B1A" w14:paraId="54212CD1" w14:textId="77777777" w:rsidTr="008F3C9F">
        <w:trPr>
          <w:jc w:val="right"/>
        </w:trPr>
        <w:tc>
          <w:tcPr>
            <w:tcW w:w="1905" w:type="pct"/>
          </w:tcPr>
          <w:p w14:paraId="21E6C18E" w14:textId="77777777" w:rsidR="00F662D0" w:rsidRDefault="00F662D0" w:rsidP="00EC2B1A">
            <w:pPr>
              <w:pStyle w:val="SDMTableBoxParaNotNumbered"/>
            </w:pPr>
            <w:r w:rsidRPr="002243E8">
              <w:t>Tunisia</w:t>
            </w:r>
          </w:p>
        </w:tc>
        <w:tc>
          <w:tcPr>
            <w:tcW w:w="1069" w:type="pct"/>
          </w:tcPr>
          <w:p w14:paraId="2C9C2720" w14:textId="5171C215" w:rsidR="00F662D0" w:rsidRPr="00CF6457" w:rsidRDefault="00E752CF" w:rsidP="00EC2B1A">
            <w:pPr>
              <w:pStyle w:val="SDMTableBoxParaNotNumbered"/>
            </w:pPr>
            <w:r w:rsidRPr="0070652D">
              <w:t>0.09%</w:t>
            </w:r>
          </w:p>
        </w:tc>
        <w:tc>
          <w:tcPr>
            <w:tcW w:w="987" w:type="pct"/>
          </w:tcPr>
          <w:p w14:paraId="7D95B57D" w14:textId="00F765F0" w:rsidR="00F662D0" w:rsidRPr="00CF6457" w:rsidRDefault="00F459C3" w:rsidP="00EC2B1A">
            <w:pPr>
              <w:pStyle w:val="SDMTableBoxParaNotNumbered"/>
            </w:pPr>
            <w:r w:rsidRPr="00B5612F">
              <w:t>0.20%</w:t>
            </w:r>
          </w:p>
        </w:tc>
        <w:tc>
          <w:tcPr>
            <w:tcW w:w="1039" w:type="pct"/>
          </w:tcPr>
          <w:p w14:paraId="73606575" w14:textId="284E59C3" w:rsidR="00F662D0" w:rsidRPr="00CF6457" w:rsidRDefault="003650DC" w:rsidP="00EC2B1A">
            <w:pPr>
              <w:pStyle w:val="SDMTableBoxParaNotNumbered"/>
            </w:pPr>
            <w:r w:rsidRPr="00A644C5">
              <w:t>30.37</w:t>
            </w:r>
            <w:r w:rsidR="009B0137" w:rsidRPr="00A644C5">
              <w:t>%</w:t>
            </w:r>
          </w:p>
        </w:tc>
      </w:tr>
      <w:tr w:rsidR="00F662D0" w:rsidRPr="00EC2B1A" w14:paraId="367410E7" w14:textId="77777777" w:rsidTr="008F3C9F">
        <w:trPr>
          <w:jc w:val="right"/>
        </w:trPr>
        <w:tc>
          <w:tcPr>
            <w:tcW w:w="1905" w:type="pct"/>
          </w:tcPr>
          <w:p w14:paraId="17C13CBF" w14:textId="16E67958" w:rsidR="00F662D0" w:rsidRDefault="0012519D" w:rsidP="00EC2B1A">
            <w:pPr>
              <w:pStyle w:val="SDMTableBoxParaNotNumbered"/>
            </w:pPr>
            <w:r w:rsidRPr="0012519D">
              <w:t>Türkiye</w:t>
            </w:r>
          </w:p>
        </w:tc>
        <w:tc>
          <w:tcPr>
            <w:tcW w:w="1069" w:type="pct"/>
          </w:tcPr>
          <w:p w14:paraId="6B4437A9" w14:textId="142F91D3" w:rsidR="00F662D0" w:rsidRPr="00CF6457" w:rsidRDefault="00E752CF" w:rsidP="00EC2B1A">
            <w:pPr>
              <w:pStyle w:val="SDMTableBoxParaNotNumbered"/>
            </w:pPr>
            <w:r w:rsidRPr="0070652D">
              <w:t>0.00%</w:t>
            </w:r>
          </w:p>
        </w:tc>
        <w:tc>
          <w:tcPr>
            <w:tcW w:w="987" w:type="pct"/>
          </w:tcPr>
          <w:p w14:paraId="33184B27" w14:textId="2E0E49C2" w:rsidR="00F662D0" w:rsidRPr="00CF6457" w:rsidRDefault="00F459C3" w:rsidP="00EC2B1A">
            <w:pPr>
              <w:pStyle w:val="SDMTableBoxParaNotNumbered"/>
            </w:pPr>
            <w:r w:rsidRPr="00B5612F">
              <w:t>1.94%</w:t>
            </w:r>
          </w:p>
        </w:tc>
        <w:tc>
          <w:tcPr>
            <w:tcW w:w="1039" w:type="pct"/>
          </w:tcPr>
          <w:p w14:paraId="4607DB47" w14:textId="1B6E5A3B" w:rsidR="00F662D0" w:rsidRPr="00CF6457" w:rsidRDefault="003650DC" w:rsidP="00EC2B1A">
            <w:pPr>
              <w:pStyle w:val="SDMTableBoxParaNotNumbered"/>
            </w:pPr>
            <w:r w:rsidRPr="00A644C5">
              <w:t>26.96</w:t>
            </w:r>
            <w:r w:rsidR="009B0137" w:rsidRPr="00A644C5">
              <w:t>%</w:t>
            </w:r>
          </w:p>
        </w:tc>
      </w:tr>
      <w:tr w:rsidR="00F662D0" w:rsidRPr="00EC2B1A" w14:paraId="56F384A6" w14:textId="77777777" w:rsidTr="008F3C9F">
        <w:trPr>
          <w:jc w:val="right"/>
        </w:trPr>
        <w:tc>
          <w:tcPr>
            <w:tcW w:w="1905" w:type="pct"/>
          </w:tcPr>
          <w:p w14:paraId="1DB94D27" w14:textId="77777777" w:rsidR="00F662D0" w:rsidRDefault="00F662D0" w:rsidP="00EC2B1A">
            <w:pPr>
              <w:pStyle w:val="SDMTableBoxParaNotNumbered"/>
            </w:pPr>
            <w:r w:rsidRPr="002243E8">
              <w:t>Turkmenistan</w:t>
            </w:r>
          </w:p>
        </w:tc>
        <w:tc>
          <w:tcPr>
            <w:tcW w:w="1069" w:type="pct"/>
          </w:tcPr>
          <w:p w14:paraId="68D1A5D6" w14:textId="7FFA03B2" w:rsidR="00F662D0" w:rsidRPr="00CF6457" w:rsidRDefault="00E752CF" w:rsidP="00EC2B1A">
            <w:pPr>
              <w:pStyle w:val="SDMTableBoxParaNotNumbered"/>
            </w:pPr>
            <w:r w:rsidRPr="0070652D">
              <w:t>0.00%</w:t>
            </w:r>
          </w:p>
        </w:tc>
        <w:tc>
          <w:tcPr>
            <w:tcW w:w="987" w:type="pct"/>
          </w:tcPr>
          <w:p w14:paraId="4DD3E652" w14:textId="75305956" w:rsidR="00F662D0" w:rsidRPr="00CF6457" w:rsidRDefault="00F459C3" w:rsidP="00EC2B1A">
            <w:pPr>
              <w:pStyle w:val="SDMTableBoxParaNotNumbered"/>
            </w:pPr>
            <w:r w:rsidRPr="00B5612F">
              <w:t>0.01%</w:t>
            </w:r>
          </w:p>
        </w:tc>
        <w:tc>
          <w:tcPr>
            <w:tcW w:w="1039" w:type="pct"/>
          </w:tcPr>
          <w:p w14:paraId="5537C0FD" w14:textId="4FEE21C7" w:rsidR="00F662D0" w:rsidRPr="00CF6457" w:rsidRDefault="009B0137" w:rsidP="00EC2B1A">
            <w:pPr>
              <w:pStyle w:val="SDMTableBoxParaNotNumbered"/>
            </w:pPr>
            <w:r w:rsidRPr="00A644C5">
              <w:t>0.</w:t>
            </w:r>
            <w:r w:rsidR="003650DC" w:rsidRPr="00A644C5">
              <w:t>01</w:t>
            </w:r>
            <w:r w:rsidRPr="00A644C5">
              <w:t>%</w:t>
            </w:r>
          </w:p>
        </w:tc>
      </w:tr>
      <w:tr w:rsidR="00F662D0" w:rsidRPr="00EC2B1A" w14:paraId="7CFBC0A8" w14:textId="77777777" w:rsidTr="008F3C9F">
        <w:trPr>
          <w:jc w:val="right"/>
        </w:trPr>
        <w:tc>
          <w:tcPr>
            <w:tcW w:w="1905" w:type="pct"/>
          </w:tcPr>
          <w:p w14:paraId="3C5FE7D9" w14:textId="77777777" w:rsidR="00F662D0" w:rsidRDefault="00F662D0" w:rsidP="00EC2B1A">
            <w:pPr>
              <w:pStyle w:val="SDMTableBoxParaNotNumbered"/>
            </w:pPr>
            <w:r w:rsidRPr="002243E8">
              <w:t>Uganda</w:t>
            </w:r>
          </w:p>
        </w:tc>
        <w:tc>
          <w:tcPr>
            <w:tcW w:w="1069" w:type="pct"/>
          </w:tcPr>
          <w:p w14:paraId="464E573C" w14:textId="27DF7631" w:rsidR="00F662D0" w:rsidRPr="00CF6457" w:rsidRDefault="00E752CF" w:rsidP="00EC2B1A">
            <w:pPr>
              <w:pStyle w:val="SDMTableBoxParaNotNumbered"/>
            </w:pPr>
            <w:r w:rsidRPr="0070652D">
              <w:t>2.22%</w:t>
            </w:r>
          </w:p>
        </w:tc>
        <w:tc>
          <w:tcPr>
            <w:tcW w:w="987" w:type="pct"/>
          </w:tcPr>
          <w:p w14:paraId="467565C0" w14:textId="66AA31A5" w:rsidR="00F662D0" w:rsidRPr="00CF6457" w:rsidRDefault="00F459C3" w:rsidP="00EC2B1A">
            <w:pPr>
              <w:pStyle w:val="SDMTableBoxParaNotNumbered"/>
            </w:pPr>
            <w:r w:rsidRPr="00B5612F">
              <w:t>2.41%</w:t>
            </w:r>
          </w:p>
        </w:tc>
        <w:tc>
          <w:tcPr>
            <w:tcW w:w="1039" w:type="pct"/>
          </w:tcPr>
          <w:p w14:paraId="20CD3F22" w14:textId="35A516A6" w:rsidR="00F662D0" w:rsidRPr="00CF6457" w:rsidRDefault="003650DC" w:rsidP="00EC2B1A">
            <w:pPr>
              <w:pStyle w:val="SDMTableBoxParaNotNumbered"/>
            </w:pPr>
            <w:r w:rsidRPr="00A644C5">
              <w:t>70.87%</w:t>
            </w:r>
          </w:p>
        </w:tc>
      </w:tr>
      <w:tr w:rsidR="00F662D0" w:rsidRPr="00EC2B1A" w14:paraId="5DEAB301" w14:textId="77777777" w:rsidTr="008F3C9F">
        <w:trPr>
          <w:jc w:val="right"/>
        </w:trPr>
        <w:tc>
          <w:tcPr>
            <w:tcW w:w="1905" w:type="pct"/>
          </w:tcPr>
          <w:p w14:paraId="611AEDE8" w14:textId="77777777" w:rsidR="00F662D0" w:rsidRDefault="00F662D0" w:rsidP="00EC2B1A">
            <w:pPr>
              <w:pStyle w:val="SDMTableBoxParaNotNumbered"/>
            </w:pPr>
            <w:r w:rsidRPr="002243E8">
              <w:t>Ukraine</w:t>
            </w:r>
          </w:p>
        </w:tc>
        <w:tc>
          <w:tcPr>
            <w:tcW w:w="1069" w:type="pct"/>
          </w:tcPr>
          <w:p w14:paraId="6125C74E" w14:textId="42C5FB7C" w:rsidR="00F662D0" w:rsidRPr="00CF6457" w:rsidRDefault="00E752CF" w:rsidP="00EC2B1A">
            <w:pPr>
              <w:pStyle w:val="SDMTableBoxParaNotNumbered"/>
            </w:pPr>
            <w:r w:rsidRPr="0070652D">
              <w:t>0.79%</w:t>
            </w:r>
          </w:p>
        </w:tc>
        <w:tc>
          <w:tcPr>
            <w:tcW w:w="987" w:type="pct"/>
          </w:tcPr>
          <w:p w14:paraId="015BD601" w14:textId="2A3F6773" w:rsidR="00F662D0" w:rsidRPr="00CF6457" w:rsidRDefault="00F459C3" w:rsidP="00EC2B1A">
            <w:pPr>
              <w:pStyle w:val="SDMTableBoxParaNotNumbered"/>
            </w:pPr>
            <w:r w:rsidRPr="00B5612F">
              <w:t>8.54%</w:t>
            </w:r>
          </w:p>
        </w:tc>
        <w:tc>
          <w:tcPr>
            <w:tcW w:w="1039" w:type="pct"/>
          </w:tcPr>
          <w:p w14:paraId="3B2D8F99" w14:textId="798768E6" w:rsidR="00F662D0" w:rsidRPr="00CF6457" w:rsidRDefault="003650DC" w:rsidP="00EC2B1A">
            <w:pPr>
              <w:pStyle w:val="SDMTableBoxParaNotNumbered"/>
            </w:pPr>
            <w:r w:rsidRPr="00A644C5">
              <w:t>25.49%</w:t>
            </w:r>
          </w:p>
        </w:tc>
      </w:tr>
      <w:tr w:rsidR="00F662D0" w:rsidRPr="00EC2B1A" w14:paraId="48947273" w14:textId="77777777" w:rsidTr="008F3C9F">
        <w:trPr>
          <w:jc w:val="right"/>
        </w:trPr>
        <w:tc>
          <w:tcPr>
            <w:tcW w:w="1905" w:type="pct"/>
          </w:tcPr>
          <w:p w14:paraId="0FE20B2D" w14:textId="77777777" w:rsidR="00F662D0" w:rsidRDefault="00F662D0" w:rsidP="00EC2B1A">
            <w:pPr>
              <w:pStyle w:val="SDMTableBoxParaNotNumbered"/>
            </w:pPr>
            <w:r w:rsidRPr="002243E8">
              <w:t>United Arab Emirates</w:t>
            </w:r>
          </w:p>
        </w:tc>
        <w:tc>
          <w:tcPr>
            <w:tcW w:w="1069" w:type="pct"/>
          </w:tcPr>
          <w:p w14:paraId="6DD380B5" w14:textId="404D9B0A" w:rsidR="00F662D0" w:rsidRPr="00CF6457" w:rsidRDefault="00E752CF" w:rsidP="00EC2B1A">
            <w:pPr>
              <w:pStyle w:val="SDMTableBoxParaNotNumbered"/>
            </w:pPr>
            <w:r w:rsidRPr="0070652D">
              <w:t>0.02%</w:t>
            </w:r>
          </w:p>
        </w:tc>
        <w:tc>
          <w:tcPr>
            <w:tcW w:w="987" w:type="pct"/>
          </w:tcPr>
          <w:p w14:paraId="65FD84E8" w14:textId="5D707ED1" w:rsidR="00F662D0" w:rsidRPr="00CF6457" w:rsidRDefault="00F459C3" w:rsidP="00EC2B1A">
            <w:pPr>
              <w:pStyle w:val="SDMTableBoxParaNotNumbered"/>
            </w:pPr>
            <w:r w:rsidRPr="00B5612F">
              <w:t>5.74%</w:t>
            </w:r>
          </w:p>
        </w:tc>
        <w:tc>
          <w:tcPr>
            <w:tcW w:w="1039" w:type="pct"/>
          </w:tcPr>
          <w:p w14:paraId="49E09A83" w14:textId="7EDACD4C" w:rsidR="00F662D0" w:rsidRPr="00CF6457" w:rsidRDefault="003650DC" w:rsidP="00EC2B1A">
            <w:pPr>
              <w:pStyle w:val="SDMTableBoxParaNotNumbered"/>
            </w:pPr>
            <w:r w:rsidRPr="00A644C5">
              <w:t>40.71</w:t>
            </w:r>
            <w:r w:rsidR="009B0137" w:rsidRPr="00A644C5">
              <w:t>%</w:t>
            </w:r>
          </w:p>
        </w:tc>
      </w:tr>
      <w:tr w:rsidR="00F662D0" w:rsidRPr="00EC2B1A" w14:paraId="541C06F1" w14:textId="77777777" w:rsidTr="008F3C9F">
        <w:trPr>
          <w:jc w:val="right"/>
        </w:trPr>
        <w:tc>
          <w:tcPr>
            <w:tcW w:w="1905" w:type="pct"/>
          </w:tcPr>
          <w:p w14:paraId="01F77DF9" w14:textId="77777777" w:rsidR="00F662D0" w:rsidRDefault="00F662D0" w:rsidP="00EC2B1A">
            <w:pPr>
              <w:pStyle w:val="SDMTableBoxParaNotNumbered"/>
            </w:pPr>
            <w:r w:rsidRPr="002243E8">
              <w:t>United Kingdom</w:t>
            </w:r>
          </w:p>
        </w:tc>
        <w:tc>
          <w:tcPr>
            <w:tcW w:w="1069" w:type="pct"/>
          </w:tcPr>
          <w:p w14:paraId="0EA864EB" w14:textId="7C41A40C" w:rsidR="00F662D0" w:rsidRPr="00CF6457" w:rsidRDefault="00E752CF" w:rsidP="00EC2B1A">
            <w:pPr>
              <w:pStyle w:val="SDMTableBoxParaNotNumbered"/>
            </w:pPr>
            <w:r w:rsidRPr="0070652D">
              <w:t>5.21%</w:t>
            </w:r>
          </w:p>
        </w:tc>
        <w:tc>
          <w:tcPr>
            <w:tcW w:w="987" w:type="pct"/>
          </w:tcPr>
          <w:p w14:paraId="6D344C55" w14:textId="3FBE022D" w:rsidR="00F662D0" w:rsidRPr="00CF6457" w:rsidRDefault="00F459C3" w:rsidP="00EC2B1A">
            <w:pPr>
              <w:pStyle w:val="SDMTableBoxParaNotNumbered"/>
            </w:pPr>
            <w:r w:rsidRPr="00B5612F">
              <w:t>8.51%</w:t>
            </w:r>
          </w:p>
        </w:tc>
        <w:tc>
          <w:tcPr>
            <w:tcW w:w="1039" w:type="pct"/>
          </w:tcPr>
          <w:p w14:paraId="0A615C3B" w14:textId="26039EBA" w:rsidR="00F662D0" w:rsidRPr="00CF6457" w:rsidRDefault="003650DC" w:rsidP="00EC2B1A">
            <w:pPr>
              <w:pStyle w:val="SDMTableBoxParaNotNumbered"/>
            </w:pPr>
            <w:r w:rsidRPr="00A644C5">
              <w:t>12.36</w:t>
            </w:r>
            <w:r w:rsidR="009B0137" w:rsidRPr="00A644C5">
              <w:t>%</w:t>
            </w:r>
          </w:p>
        </w:tc>
      </w:tr>
      <w:tr w:rsidR="002C2B28" w:rsidRPr="00EC2B1A" w14:paraId="645B0894" w14:textId="77777777" w:rsidTr="008F3C9F">
        <w:trPr>
          <w:jc w:val="right"/>
        </w:trPr>
        <w:tc>
          <w:tcPr>
            <w:tcW w:w="1905" w:type="pct"/>
          </w:tcPr>
          <w:p w14:paraId="058EBDDA" w14:textId="34FD2A0C" w:rsidR="002C2B28" w:rsidRDefault="002C2B28" w:rsidP="00EC2B1A">
            <w:pPr>
              <w:pStyle w:val="SDMTableBoxParaNotNumbered"/>
            </w:pPr>
            <w:r w:rsidRPr="002243E8">
              <w:t>United Republic of Tanzania</w:t>
            </w:r>
          </w:p>
        </w:tc>
        <w:tc>
          <w:tcPr>
            <w:tcW w:w="1069" w:type="pct"/>
          </w:tcPr>
          <w:p w14:paraId="50160426" w14:textId="77777777" w:rsidR="002C2B28" w:rsidRPr="00CF6457" w:rsidRDefault="002C2B28" w:rsidP="00EC2B1A">
            <w:pPr>
              <w:pStyle w:val="SDMTableBoxParaNotNumbered"/>
            </w:pPr>
            <w:r w:rsidRPr="0070652D">
              <w:t>2.21%</w:t>
            </w:r>
          </w:p>
        </w:tc>
        <w:tc>
          <w:tcPr>
            <w:tcW w:w="987" w:type="pct"/>
          </w:tcPr>
          <w:p w14:paraId="77AA093B" w14:textId="77777777" w:rsidR="002C2B28" w:rsidRPr="00CF6457" w:rsidRDefault="002C2B28" w:rsidP="00EC2B1A">
            <w:pPr>
              <w:pStyle w:val="SDMTableBoxParaNotNumbered"/>
            </w:pPr>
            <w:r w:rsidRPr="00B5612F">
              <w:t>2.94%</w:t>
            </w:r>
          </w:p>
        </w:tc>
        <w:tc>
          <w:tcPr>
            <w:tcW w:w="1039" w:type="pct"/>
          </w:tcPr>
          <w:p w14:paraId="51311E0F" w14:textId="77777777" w:rsidR="002C2B28" w:rsidRPr="00CF6457" w:rsidRDefault="002C2B28" w:rsidP="00EC2B1A">
            <w:pPr>
              <w:pStyle w:val="SDMTableBoxParaNotNumbered"/>
            </w:pPr>
            <w:r w:rsidRPr="00A644C5">
              <w:t>14.61%</w:t>
            </w:r>
          </w:p>
        </w:tc>
      </w:tr>
      <w:tr w:rsidR="00F662D0" w:rsidRPr="00EC2B1A" w14:paraId="4572546E" w14:textId="77777777" w:rsidTr="008F3C9F">
        <w:trPr>
          <w:jc w:val="right"/>
        </w:trPr>
        <w:tc>
          <w:tcPr>
            <w:tcW w:w="1905" w:type="pct"/>
          </w:tcPr>
          <w:p w14:paraId="52433EA4" w14:textId="77777777" w:rsidR="00F662D0" w:rsidRDefault="00F662D0" w:rsidP="00EC2B1A">
            <w:pPr>
              <w:pStyle w:val="SDMTableBoxParaNotNumbered"/>
            </w:pPr>
            <w:r w:rsidRPr="002243E8">
              <w:t>United States of America</w:t>
            </w:r>
          </w:p>
        </w:tc>
        <w:tc>
          <w:tcPr>
            <w:tcW w:w="1069" w:type="pct"/>
          </w:tcPr>
          <w:p w14:paraId="78C6F36A" w14:textId="7D3F6341" w:rsidR="00F662D0" w:rsidRPr="00CF6457" w:rsidRDefault="00E752CF" w:rsidP="00EC2B1A">
            <w:pPr>
              <w:pStyle w:val="SDMTableBoxParaNotNumbered"/>
            </w:pPr>
            <w:r w:rsidRPr="0070652D">
              <w:t>1.85%</w:t>
            </w:r>
          </w:p>
        </w:tc>
        <w:tc>
          <w:tcPr>
            <w:tcW w:w="987" w:type="pct"/>
          </w:tcPr>
          <w:p w14:paraId="0375218C" w14:textId="7766418D" w:rsidR="00F662D0" w:rsidRPr="00CF6457" w:rsidRDefault="00F459C3" w:rsidP="00EC2B1A">
            <w:pPr>
              <w:pStyle w:val="SDMTableBoxParaNotNumbered"/>
            </w:pPr>
            <w:r w:rsidRPr="00B5612F">
              <w:t>3.35%</w:t>
            </w:r>
          </w:p>
        </w:tc>
        <w:tc>
          <w:tcPr>
            <w:tcW w:w="1039" w:type="pct"/>
          </w:tcPr>
          <w:p w14:paraId="3F94AB09" w14:textId="658B2DFC" w:rsidR="00F662D0" w:rsidRPr="00CF6457" w:rsidRDefault="003650DC" w:rsidP="00EC2B1A">
            <w:pPr>
              <w:pStyle w:val="SDMTableBoxParaNotNumbered"/>
            </w:pPr>
            <w:r w:rsidRPr="00A644C5">
              <w:t>19.39</w:t>
            </w:r>
            <w:r w:rsidR="009B0137" w:rsidRPr="00A644C5">
              <w:t>%</w:t>
            </w:r>
          </w:p>
        </w:tc>
      </w:tr>
      <w:tr w:rsidR="00F662D0" w:rsidRPr="00EC2B1A" w14:paraId="4BEB82E5" w14:textId="77777777" w:rsidTr="008F3C9F">
        <w:trPr>
          <w:jc w:val="right"/>
        </w:trPr>
        <w:tc>
          <w:tcPr>
            <w:tcW w:w="1905" w:type="pct"/>
          </w:tcPr>
          <w:p w14:paraId="4E1DE9D6" w14:textId="77777777" w:rsidR="00F662D0" w:rsidRDefault="00F662D0" w:rsidP="00EC2B1A">
            <w:pPr>
              <w:pStyle w:val="SDMTableBoxParaNotNumbered"/>
            </w:pPr>
            <w:r w:rsidRPr="002243E8">
              <w:t>Uruguay</w:t>
            </w:r>
          </w:p>
        </w:tc>
        <w:tc>
          <w:tcPr>
            <w:tcW w:w="1069" w:type="pct"/>
          </w:tcPr>
          <w:p w14:paraId="6CA08377" w14:textId="03CFC168" w:rsidR="00F662D0" w:rsidRPr="00CF6457" w:rsidRDefault="00E752CF" w:rsidP="00EC2B1A">
            <w:pPr>
              <w:pStyle w:val="SDMTableBoxParaNotNumbered"/>
            </w:pPr>
            <w:r w:rsidRPr="0070652D">
              <w:t>0.50%</w:t>
            </w:r>
          </w:p>
        </w:tc>
        <w:tc>
          <w:tcPr>
            <w:tcW w:w="987" w:type="pct"/>
          </w:tcPr>
          <w:p w14:paraId="64E06C6E" w14:textId="28EDA9D2" w:rsidR="00F662D0" w:rsidRPr="00CF6457" w:rsidRDefault="00F459C3" w:rsidP="00EC2B1A">
            <w:pPr>
              <w:pStyle w:val="SDMTableBoxParaNotNumbered"/>
            </w:pPr>
            <w:r w:rsidRPr="00B5612F">
              <w:t>1.25%</w:t>
            </w:r>
          </w:p>
        </w:tc>
        <w:tc>
          <w:tcPr>
            <w:tcW w:w="1039" w:type="pct"/>
          </w:tcPr>
          <w:p w14:paraId="10ACB013" w14:textId="11E6909E" w:rsidR="00F662D0" w:rsidRPr="00CF6457" w:rsidRDefault="003650DC" w:rsidP="00EC2B1A">
            <w:pPr>
              <w:pStyle w:val="SDMTableBoxParaNotNumbered"/>
            </w:pPr>
            <w:r w:rsidRPr="00A644C5">
              <w:t>13.22%</w:t>
            </w:r>
          </w:p>
        </w:tc>
      </w:tr>
      <w:tr w:rsidR="00F662D0" w:rsidRPr="00EC2B1A" w14:paraId="5B66F39C" w14:textId="77777777" w:rsidTr="008F3C9F">
        <w:trPr>
          <w:jc w:val="right"/>
        </w:trPr>
        <w:tc>
          <w:tcPr>
            <w:tcW w:w="1905" w:type="pct"/>
          </w:tcPr>
          <w:p w14:paraId="25097BA9" w14:textId="77777777" w:rsidR="00F662D0" w:rsidRDefault="00F662D0" w:rsidP="00EC2B1A">
            <w:pPr>
              <w:pStyle w:val="SDMTableBoxParaNotNumbered"/>
            </w:pPr>
            <w:r w:rsidRPr="002243E8">
              <w:t>Uzbekistan</w:t>
            </w:r>
          </w:p>
        </w:tc>
        <w:tc>
          <w:tcPr>
            <w:tcW w:w="1069" w:type="pct"/>
          </w:tcPr>
          <w:p w14:paraId="77D9CE85" w14:textId="543B71F2" w:rsidR="00F662D0" w:rsidRPr="00CF6457" w:rsidRDefault="00E752CF" w:rsidP="00EC2B1A">
            <w:pPr>
              <w:pStyle w:val="SDMTableBoxParaNotNumbered"/>
            </w:pPr>
            <w:r w:rsidRPr="0070652D">
              <w:t>0.40%</w:t>
            </w:r>
          </w:p>
        </w:tc>
        <w:tc>
          <w:tcPr>
            <w:tcW w:w="987" w:type="pct"/>
          </w:tcPr>
          <w:p w14:paraId="79D4B322" w14:textId="4098B0D6" w:rsidR="00F662D0" w:rsidRPr="00CF6457" w:rsidRDefault="00F459C3" w:rsidP="00EC2B1A">
            <w:pPr>
              <w:pStyle w:val="SDMTableBoxParaNotNumbered"/>
            </w:pPr>
            <w:r w:rsidRPr="00B5612F">
              <w:t>0.13%</w:t>
            </w:r>
          </w:p>
        </w:tc>
        <w:tc>
          <w:tcPr>
            <w:tcW w:w="1039" w:type="pct"/>
          </w:tcPr>
          <w:p w14:paraId="6FE91210" w14:textId="13ABD6AC" w:rsidR="00F662D0" w:rsidRPr="00CF6457" w:rsidRDefault="003650DC" w:rsidP="00EC2B1A">
            <w:pPr>
              <w:pStyle w:val="SDMTableBoxParaNotNumbered"/>
            </w:pPr>
            <w:r w:rsidRPr="00A644C5">
              <w:t>23.34</w:t>
            </w:r>
            <w:r w:rsidR="009B0137" w:rsidRPr="00A644C5">
              <w:t>%</w:t>
            </w:r>
          </w:p>
        </w:tc>
      </w:tr>
      <w:tr w:rsidR="00F662D0" w:rsidRPr="00EC2B1A" w14:paraId="54735B75" w14:textId="77777777" w:rsidTr="008F3C9F">
        <w:trPr>
          <w:jc w:val="right"/>
        </w:trPr>
        <w:tc>
          <w:tcPr>
            <w:tcW w:w="1905" w:type="pct"/>
          </w:tcPr>
          <w:p w14:paraId="179C94FF" w14:textId="77777777" w:rsidR="00F662D0" w:rsidRDefault="00F662D0" w:rsidP="00EC2B1A">
            <w:pPr>
              <w:pStyle w:val="SDMTableBoxParaNotNumbered"/>
            </w:pPr>
            <w:r w:rsidRPr="002243E8">
              <w:t>Vanuatu</w:t>
            </w:r>
          </w:p>
        </w:tc>
        <w:tc>
          <w:tcPr>
            <w:tcW w:w="1069" w:type="pct"/>
          </w:tcPr>
          <w:p w14:paraId="6D0CAEA2" w14:textId="078F2F7A" w:rsidR="00F662D0" w:rsidRPr="00CF6457" w:rsidRDefault="00E752CF" w:rsidP="00EC2B1A">
            <w:pPr>
              <w:pStyle w:val="SDMTableBoxParaNotNumbered"/>
            </w:pPr>
            <w:r w:rsidRPr="0070652D">
              <w:t>0.77%</w:t>
            </w:r>
          </w:p>
        </w:tc>
        <w:tc>
          <w:tcPr>
            <w:tcW w:w="987" w:type="pct"/>
          </w:tcPr>
          <w:p w14:paraId="1A947F4E" w14:textId="3CC4C986" w:rsidR="00F662D0" w:rsidRPr="00CF6457" w:rsidRDefault="00F459C3" w:rsidP="00EC2B1A">
            <w:pPr>
              <w:pStyle w:val="SDMTableBoxParaNotNumbered"/>
            </w:pPr>
            <w:r w:rsidRPr="00B5612F">
              <w:t>5.29%</w:t>
            </w:r>
          </w:p>
        </w:tc>
        <w:tc>
          <w:tcPr>
            <w:tcW w:w="1039" w:type="pct"/>
          </w:tcPr>
          <w:p w14:paraId="4DE48FF4" w14:textId="2704EA4D" w:rsidR="00F662D0" w:rsidRPr="00CF6457" w:rsidRDefault="000A16B8" w:rsidP="00EC2B1A">
            <w:pPr>
              <w:pStyle w:val="SDMTableBoxParaNotNumbered"/>
            </w:pPr>
            <w:r w:rsidRPr="00A644C5">
              <w:t>Use global value</w:t>
            </w:r>
          </w:p>
        </w:tc>
      </w:tr>
      <w:tr w:rsidR="00F662D0" w:rsidRPr="00EC2B1A" w14:paraId="66A0C566" w14:textId="77777777" w:rsidTr="008F3C9F">
        <w:trPr>
          <w:jc w:val="right"/>
        </w:trPr>
        <w:tc>
          <w:tcPr>
            <w:tcW w:w="1905" w:type="pct"/>
          </w:tcPr>
          <w:p w14:paraId="68886CD8" w14:textId="77777777" w:rsidR="00F662D0" w:rsidRDefault="00F662D0" w:rsidP="00EC2B1A">
            <w:pPr>
              <w:pStyle w:val="SDMTableBoxParaNotNumbered"/>
            </w:pPr>
            <w:r w:rsidRPr="002243E8">
              <w:t>Venezuela (Bolivarian Republic of)</w:t>
            </w:r>
          </w:p>
        </w:tc>
        <w:tc>
          <w:tcPr>
            <w:tcW w:w="1069" w:type="pct"/>
          </w:tcPr>
          <w:p w14:paraId="54C49666" w14:textId="1B1D17A4" w:rsidR="00F662D0" w:rsidRPr="00CF6457" w:rsidRDefault="00E752CF" w:rsidP="00EC2B1A">
            <w:pPr>
              <w:pStyle w:val="SDMTableBoxParaNotNumbered"/>
            </w:pPr>
            <w:r w:rsidRPr="0070652D">
              <w:t>0.00%</w:t>
            </w:r>
          </w:p>
        </w:tc>
        <w:tc>
          <w:tcPr>
            <w:tcW w:w="987" w:type="pct"/>
          </w:tcPr>
          <w:p w14:paraId="14CAB188" w14:textId="6473F3F7" w:rsidR="00F662D0" w:rsidRPr="00CF6457" w:rsidRDefault="00F459C3" w:rsidP="00EC2B1A">
            <w:pPr>
              <w:pStyle w:val="SDMTableBoxParaNotNumbered"/>
            </w:pPr>
            <w:r w:rsidRPr="00B5612F">
              <w:t>13.86%</w:t>
            </w:r>
          </w:p>
        </w:tc>
        <w:tc>
          <w:tcPr>
            <w:tcW w:w="1039" w:type="pct"/>
          </w:tcPr>
          <w:p w14:paraId="3F096627" w14:textId="66C2E2FF" w:rsidR="00F662D0" w:rsidRPr="00CF6457" w:rsidRDefault="003650DC" w:rsidP="00EC2B1A">
            <w:pPr>
              <w:pStyle w:val="SDMTableBoxParaNotNumbered"/>
            </w:pPr>
            <w:r w:rsidRPr="00A644C5">
              <w:t>32.17</w:t>
            </w:r>
            <w:r w:rsidR="009B0137" w:rsidRPr="00A644C5">
              <w:t>%</w:t>
            </w:r>
          </w:p>
        </w:tc>
      </w:tr>
      <w:tr w:rsidR="00F662D0" w:rsidRPr="00EC2B1A" w14:paraId="4D4E001F" w14:textId="77777777" w:rsidTr="008F3C9F">
        <w:trPr>
          <w:jc w:val="right"/>
        </w:trPr>
        <w:tc>
          <w:tcPr>
            <w:tcW w:w="1905" w:type="pct"/>
          </w:tcPr>
          <w:p w14:paraId="40C1D516" w14:textId="5F27A0C2" w:rsidR="00F662D0" w:rsidRDefault="00F662D0" w:rsidP="009D06B1">
            <w:pPr>
              <w:pStyle w:val="SDMTableBoxParaNotNumbered"/>
              <w:tabs>
                <w:tab w:val="center" w:pos="1533"/>
              </w:tabs>
            </w:pPr>
            <w:r w:rsidRPr="002243E8">
              <w:t>Viet Nam</w:t>
            </w:r>
            <w:r w:rsidR="009D06B1">
              <w:tab/>
            </w:r>
          </w:p>
        </w:tc>
        <w:tc>
          <w:tcPr>
            <w:tcW w:w="1069" w:type="pct"/>
          </w:tcPr>
          <w:p w14:paraId="67189092" w14:textId="4620AA85" w:rsidR="00F662D0" w:rsidRPr="00CF6457" w:rsidRDefault="00E752CF" w:rsidP="00EC2B1A">
            <w:pPr>
              <w:pStyle w:val="SDMTableBoxParaNotNumbered"/>
            </w:pPr>
            <w:r w:rsidRPr="0070652D">
              <w:t>0.00%</w:t>
            </w:r>
          </w:p>
        </w:tc>
        <w:tc>
          <w:tcPr>
            <w:tcW w:w="987" w:type="pct"/>
          </w:tcPr>
          <w:p w14:paraId="346F1A3D" w14:textId="4F634636" w:rsidR="00F662D0" w:rsidRPr="00CF6457" w:rsidRDefault="00F459C3" w:rsidP="00EC2B1A">
            <w:pPr>
              <w:pStyle w:val="SDMTableBoxParaNotNumbered"/>
            </w:pPr>
            <w:r w:rsidRPr="00B5612F">
              <w:t>1.61%</w:t>
            </w:r>
          </w:p>
        </w:tc>
        <w:tc>
          <w:tcPr>
            <w:tcW w:w="1039" w:type="pct"/>
          </w:tcPr>
          <w:p w14:paraId="254E70E6" w14:textId="439AFCF0" w:rsidR="00F662D0" w:rsidRPr="00CF6457" w:rsidRDefault="003650DC" w:rsidP="00EC2B1A">
            <w:pPr>
              <w:pStyle w:val="SDMTableBoxParaNotNumbered"/>
            </w:pPr>
            <w:r w:rsidRPr="00A644C5">
              <w:t>12.02</w:t>
            </w:r>
            <w:r w:rsidR="009B0137" w:rsidRPr="00A644C5">
              <w:t>%</w:t>
            </w:r>
          </w:p>
        </w:tc>
      </w:tr>
      <w:tr w:rsidR="00F662D0" w:rsidRPr="00EC2B1A" w14:paraId="0FBF8208" w14:textId="77777777" w:rsidTr="008F3C9F">
        <w:trPr>
          <w:jc w:val="right"/>
        </w:trPr>
        <w:tc>
          <w:tcPr>
            <w:tcW w:w="1905" w:type="pct"/>
          </w:tcPr>
          <w:p w14:paraId="51B876CB" w14:textId="77777777" w:rsidR="00F662D0" w:rsidRDefault="00F662D0" w:rsidP="00EC2B1A">
            <w:pPr>
              <w:pStyle w:val="SDMTableBoxParaNotNumbered"/>
            </w:pPr>
            <w:r w:rsidRPr="002243E8">
              <w:t>Yemen</w:t>
            </w:r>
          </w:p>
        </w:tc>
        <w:tc>
          <w:tcPr>
            <w:tcW w:w="1069" w:type="pct"/>
          </w:tcPr>
          <w:p w14:paraId="2CB23113" w14:textId="61A4BCEF" w:rsidR="00F662D0" w:rsidRPr="00CF6457" w:rsidRDefault="00E752CF" w:rsidP="00EC2B1A">
            <w:pPr>
              <w:pStyle w:val="SDMTableBoxParaNotNumbered"/>
            </w:pPr>
            <w:r w:rsidRPr="0070652D">
              <w:t>1.10%</w:t>
            </w:r>
          </w:p>
        </w:tc>
        <w:tc>
          <w:tcPr>
            <w:tcW w:w="987" w:type="pct"/>
          </w:tcPr>
          <w:p w14:paraId="4B116BE3" w14:textId="1CDDAD7F" w:rsidR="00F662D0" w:rsidRPr="00CF6457" w:rsidRDefault="00F459C3" w:rsidP="00EC2B1A">
            <w:pPr>
              <w:pStyle w:val="SDMTableBoxParaNotNumbered"/>
            </w:pPr>
            <w:r w:rsidRPr="00B5612F">
              <w:t>4.26%</w:t>
            </w:r>
          </w:p>
        </w:tc>
        <w:tc>
          <w:tcPr>
            <w:tcW w:w="1039" w:type="pct"/>
          </w:tcPr>
          <w:p w14:paraId="7664AFF7" w14:textId="68F118B0" w:rsidR="00F662D0" w:rsidRPr="00CF6457" w:rsidRDefault="003650DC" w:rsidP="00EC2B1A">
            <w:pPr>
              <w:pStyle w:val="SDMTableBoxParaNotNumbered"/>
            </w:pPr>
            <w:r w:rsidRPr="00A644C5">
              <w:t>18.55%</w:t>
            </w:r>
          </w:p>
        </w:tc>
      </w:tr>
      <w:tr w:rsidR="00F662D0" w:rsidRPr="00EC2B1A" w14:paraId="02914960" w14:textId="77777777" w:rsidTr="008F3C9F">
        <w:trPr>
          <w:jc w:val="right"/>
        </w:trPr>
        <w:tc>
          <w:tcPr>
            <w:tcW w:w="1905" w:type="pct"/>
          </w:tcPr>
          <w:p w14:paraId="40EC2494" w14:textId="77777777" w:rsidR="00F662D0" w:rsidRDefault="00F662D0" w:rsidP="00EC2B1A">
            <w:pPr>
              <w:pStyle w:val="SDMTableBoxParaNotNumbered"/>
            </w:pPr>
            <w:r w:rsidRPr="002243E8">
              <w:t>Zambia</w:t>
            </w:r>
          </w:p>
        </w:tc>
        <w:tc>
          <w:tcPr>
            <w:tcW w:w="1069" w:type="pct"/>
          </w:tcPr>
          <w:p w14:paraId="3E441A08" w14:textId="07F10E92" w:rsidR="00F662D0" w:rsidRPr="00CF6457" w:rsidRDefault="00E752CF" w:rsidP="00EC2B1A">
            <w:pPr>
              <w:pStyle w:val="SDMTableBoxParaNotNumbered"/>
            </w:pPr>
            <w:r w:rsidRPr="0070652D">
              <w:t>0.00%</w:t>
            </w:r>
          </w:p>
        </w:tc>
        <w:tc>
          <w:tcPr>
            <w:tcW w:w="987" w:type="pct"/>
          </w:tcPr>
          <w:p w14:paraId="55A77DB2" w14:textId="7F55A492" w:rsidR="00F662D0" w:rsidRPr="00CF6457" w:rsidRDefault="00F459C3" w:rsidP="00EC2B1A">
            <w:pPr>
              <w:pStyle w:val="SDMTableBoxParaNotNumbered"/>
            </w:pPr>
            <w:r w:rsidRPr="00B5612F">
              <w:t>4.93%</w:t>
            </w:r>
          </w:p>
        </w:tc>
        <w:tc>
          <w:tcPr>
            <w:tcW w:w="1039" w:type="pct"/>
          </w:tcPr>
          <w:p w14:paraId="158DF8DF" w14:textId="1956D4C6" w:rsidR="00F662D0" w:rsidRPr="00CF6457" w:rsidRDefault="003650DC" w:rsidP="00EC2B1A">
            <w:pPr>
              <w:pStyle w:val="SDMTableBoxParaNotNumbered"/>
            </w:pPr>
            <w:r w:rsidRPr="00A644C5">
              <w:t>62.12</w:t>
            </w:r>
            <w:r w:rsidR="009B0137" w:rsidRPr="00A644C5">
              <w:t>%</w:t>
            </w:r>
          </w:p>
        </w:tc>
      </w:tr>
      <w:tr w:rsidR="00F662D0" w:rsidRPr="00EC2B1A" w14:paraId="2AE00B96" w14:textId="77777777" w:rsidTr="008F3C9F">
        <w:trPr>
          <w:jc w:val="right"/>
        </w:trPr>
        <w:tc>
          <w:tcPr>
            <w:tcW w:w="1905" w:type="pct"/>
          </w:tcPr>
          <w:p w14:paraId="1AB88A7F" w14:textId="77777777" w:rsidR="00F662D0" w:rsidRDefault="00F662D0" w:rsidP="00EC2B1A">
            <w:pPr>
              <w:pStyle w:val="SDMTableBoxParaNotNumbered"/>
            </w:pPr>
            <w:r w:rsidRPr="002243E8">
              <w:t>Zimbabwe</w:t>
            </w:r>
          </w:p>
        </w:tc>
        <w:tc>
          <w:tcPr>
            <w:tcW w:w="1069" w:type="pct"/>
          </w:tcPr>
          <w:p w14:paraId="34A5DA78" w14:textId="45C8A02D" w:rsidR="00F662D0" w:rsidRPr="00CF6457" w:rsidRDefault="00E752CF" w:rsidP="00EC2B1A">
            <w:pPr>
              <w:pStyle w:val="SDMTableBoxParaNotNumbered"/>
            </w:pPr>
            <w:r w:rsidRPr="0070652D">
              <w:t>0.05%</w:t>
            </w:r>
          </w:p>
        </w:tc>
        <w:tc>
          <w:tcPr>
            <w:tcW w:w="987" w:type="pct"/>
          </w:tcPr>
          <w:p w14:paraId="59BAFE24" w14:textId="1397612A" w:rsidR="00F662D0" w:rsidRPr="00CF6457" w:rsidRDefault="00F459C3" w:rsidP="00EC2B1A">
            <w:pPr>
              <w:pStyle w:val="SDMTableBoxParaNotNumbered"/>
            </w:pPr>
            <w:r w:rsidRPr="00B5612F">
              <w:t>9.39%</w:t>
            </w:r>
          </w:p>
        </w:tc>
        <w:tc>
          <w:tcPr>
            <w:tcW w:w="1039" w:type="pct"/>
          </w:tcPr>
          <w:p w14:paraId="75B48F08" w14:textId="7292B8B0" w:rsidR="00F662D0" w:rsidRPr="00CF6457" w:rsidRDefault="000A16B8" w:rsidP="00EC2B1A">
            <w:pPr>
              <w:pStyle w:val="SDMTableBoxParaNotNumbered"/>
            </w:pPr>
            <w:r w:rsidRPr="00A644C5">
              <w:t>0.00%</w:t>
            </w:r>
          </w:p>
        </w:tc>
      </w:tr>
    </w:tbl>
    <w:p w14:paraId="44F30036" w14:textId="77777777" w:rsidR="00CA6E5E" w:rsidRDefault="00CA6E5E" w:rsidP="00CA6E5E">
      <w:pPr>
        <w:pStyle w:val="SDMPara"/>
        <w:numPr>
          <w:ilvl w:val="0"/>
          <w:numId w:val="0"/>
        </w:numPr>
        <w:spacing w:before="240"/>
        <w:ind w:left="709"/>
        <w:jc w:val="center"/>
      </w:pPr>
      <w:r w:rsidRPr="00846858">
        <w:t>- - - - -</w:t>
      </w:r>
    </w:p>
    <w:p w14:paraId="395BE265" w14:textId="77777777" w:rsidR="00CA6E5E" w:rsidRPr="00C151D8" w:rsidRDefault="00CA6E5E" w:rsidP="00CA6E5E">
      <w:pPr>
        <w:pStyle w:val="SDMDocInfoTitle"/>
      </w:pPr>
      <w:r w:rsidRPr="00C151D8">
        <w:t xml:space="preserve">Document </w:t>
      </w:r>
      <w:r>
        <w:t>i</w:t>
      </w:r>
      <w:r w:rsidRPr="00C151D8">
        <w:t>nformation</w:t>
      </w:r>
    </w:p>
    <w:tbl>
      <w:tblPr>
        <w:tblW w:w="5000" w:type="pct"/>
        <w:jc w:val="center"/>
        <w:tblLayout w:type="fixed"/>
        <w:tblLook w:val="0000" w:firstRow="0" w:lastRow="0" w:firstColumn="0" w:lastColumn="0" w:noHBand="0" w:noVBand="0"/>
      </w:tblPr>
      <w:tblGrid>
        <w:gridCol w:w="1398"/>
        <w:gridCol w:w="1864"/>
        <w:gridCol w:w="5951"/>
      </w:tblGrid>
      <w:tr w:rsidR="00CA6E5E" w:rsidRPr="003303F0" w14:paraId="1F61690D" w14:textId="77777777" w:rsidTr="00A217B9">
        <w:trPr>
          <w:trHeight w:val="113"/>
          <w:tblHeader/>
          <w:jc w:val="center"/>
        </w:trPr>
        <w:tc>
          <w:tcPr>
            <w:tcW w:w="1418" w:type="dxa"/>
            <w:tcBorders>
              <w:top w:val="single" w:sz="4" w:space="0" w:color="auto"/>
              <w:bottom w:val="single" w:sz="12" w:space="0" w:color="auto"/>
            </w:tcBorders>
            <w:tcMar>
              <w:top w:w="80" w:type="dxa"/>
              <w:bottom w:w="80" w:type="dxa"/>
            </w:tcMar>
            <w:vAlign w:val="center"/>
          </w:tcPr>
          <w:p w14:paraId="1509212C" w14:textId="77777777" w:rsidR="00CA6E5E" w:rsidRPr="002A3775" w:rsidRDefault="00CA6E5E" w:rsidP="00A217B9">
            <w:pPr>
              <w:pStyle w:val="SDMDocInfoHeadRow"/>
            </w:pPr>
            <w:r>
              <w:t>Version</w:t>
            </w:r>
          </w:p>
        </w:tc>
        <w:tc>
          <w:tcPr>
            <w:tcW w:w="1891" w:type="dxa"/>
            <w:tcBorders>
              <w:top w:val="single" w:sz="4" w:space="0" w:color="auto"/>
              <w:bottom w:val="single" w:sz="12" w:space="0" w:color="auto"/>
            </w:tcBorders>
            <w:tcMar>
              <w:top w:w="80" w:type="dxa"/>
              <w:bottom w:w="80" w:type="dxa"/>
            </w:tcMar>
            <w:vAlign w:val="center"/>
          </w:tcPr>
          <w:p w14:paraId="1A4A5EB7" w14:textId="77777777" w:rsidR="00CA6E5E" w:rsidRPr="002A3775" w:rsidRDefault="00CA6E5E" w:rsidP="00A217B9">
            <w:pPr>
              <w:pStyle w:val="SDMDocInfoHeadRow"/>
            </w:pPr>
            <w:r>
              <w:t>Date</w:t>
            </w:r>
          </w:p>
        </w:tc>
        <w:tc>
          <w:tcPr>
            <w:tcW w:w="6046" w:type="dxa"/>
            <w:tcBorders>
              <w:top w:val="single" w:sz="4" w:space="0" w:color="auto"/>
              <w:bottom w:val="single" w:sz="12" w:space="0" w:color="auto"/>
            </w:tcBorders>
            <w:tcMar>
              <w:top w:w="80" w:type="dxa"/>
              <w:bottom w:w="80" w:type="dxa"/>
            </w:tcMar>
            <w:vAlign w:val="center"/>
          </w:tcPr>
          <w:p w14:paraId="32206221" w14:textId="77777777" w:rsidR="00CA6E5E" w:rsidRPr="002A3775" w:rsidRDefault="00CA6E5E" w:rsidP="00A217B9">
            <w:pPr>
              <w:pStyle w:val="SDMDocInfoHeadRow"/>
            </w:pPr>
            <w:r>
              <w:t>Description</w:t>
            </w:r>
          </w:p>
        </w:tc>
      </w:tr>
      <w:tr w:rsidR="00CA6E5E" w:rsidRPr="003303F0" w14:paraId="1054E9A5" w14:textId="77777777" w:rsidTr="00A217B9">
        <w:trPr>
          <w:trHeight w:val="113"/>
          <w:jc w:val="center"/>
        </w:trPr>
        <w:tc>
          <w:tcPr>
            <w:tcW w:w="1418" w:type="dxa"/>
            <w:tcBorders>
              <w:bottom w:val="single" w:sz="4" w:space="0" w:color="auto"/>
            </w:tcBorders>
          </w:tcPr>
          <w:p w14:paraId="7707E220" w14:textId="77777777" w:rsidR="00CA6E5E" w:rsidRDefault="00CA6E5E">
            <w:pPr>
              <w:pStyle w:val="SDMDocInfoText"/>
              <w:keepNext/>
            </w:pPr>
            <w:r>
              <w:t>01.0</w:t>
            </w:r>
          </w:p>
        </w:tc>
        <w:tc>
          <w:tcPr>
            <w:tcW w:w="1891" w:type="dxa"/>
            <w:tcBorders>
              <w:bottom w:val="single" w:sz="4" w:space="0" w:color="auto"/>
            </w:tcBorders>
          </w:tcPr>
          <w:p w14:paraId="047ACDA1" w14:textId="77777777" w:rsidR="00CA6E5E" w:rsidRPr="00B85235" w:rsidRDefault="00CA6E5E">
            <w:pPr>
              <w:pStyle w:val="SDMDocInfoText"/>
              <w:keepNext/>
            </w:pPr>
            <w:r>
              <w:t>20</w:t>
            </w:r>
            <w:r w:rsidRPr="00FA0412">
              <w:t xml:space="preserve"> </w:t>
            </w:r>
            <w:r>
              <w:t>February</w:t>
            </w:r>
            <w:r w:rsidRPr="00FA0412">
              <w:t xml:space="preserve"> 202</w:t>
            </w:r>
            <w:r>
              <w:t>6</w:t>
            </w:r>
          </w:p>
        </w:tc>
        <w:tc>
          <w:tcPr>
            <w:tcW w:w="6046" w:type="dxa"/>
            <w:tcBorders>
              <w:bottom w:val="single" w:sz="4" w:space="0" w:color="auto"/>
            </w:tcBorders>
          </w:tcPr>
          <w:p w14:paraId="762F5175" w14:textId="03841B32" w:rsidR="00CA6E5E" w:rsidRDefault="00CA6E5E">
            <w:pPr>
              <w:pStyle w:val="SDMDocInfoText"/>
              <w:keepNext/>
            </w:pPr>
            <w:r>
              <w:t>SBM020</w:t>
            </w:r>
            <w:r w:rsidRPr="00FA0412">
              <w:t xml:space="preserve">, Annex </w:t>
            </w:r>
            <w:r w:rsidR="007B6FE6">
              <w:t>7</w:t>
            </w:r>
            <w:r w:rsidRPr="00FA0412">
              <w:t>.</w:t>
            </w:r>
            <w:r>
              <w:br/>
              <w:t>Initial adoption.</w:t>
            </w:r>
          </w:p>
        </w:tc>
      </w:tr>
      <w:tr w:rsidR="00CA6E5E" w:rsidRPr="0056518A" w14:paraId="62B84054" w14:textId="77777777" w:rsidTr="00A217B9">
        <w:trPr>
          <w:trHeight w:val="113"/>
          <w:jc w:val="center"/>
        </w:trPr>
        <w:tc>
          <w:tcPr>
            <w:tcW w:w="9355" w:type="dxa"/>
            <w:gridSpan w:val="3"/>
            <w:tcBorders>
              <w:top w:val="single" w:sz="4" w:space="0" w:color="auto"/>
              <w:bottom w:val="single" w:sz="12" w:space="0" w:color="auto"/>
            </w:tcBorders>
            <w:vAlign w:val="center"/>
          </w:tcPr>
          <w:p w14:paraId="24942766" w14:textId="425BD694" w:rsidR="00CA6E5E" w:rsidRPr="0056518A" w:rsidRDefault="00CA6E5E">
            <w:pPr>
              <w:pStyle w:val="SDMDocInfoText"/>
            </w:pPr>
            <w:r w:rsidRPr="00FA0412">
              <w:t>Decision Class: Regulatory</w:t>
            </w:r>
            <w:r w:rsidRPr="00FA0412">
              <w:br/>
              <w:t>Document Type: Tool</w:t>
            </w:r>
            <w:r w:rsidRPr="00FA0412">
              <w:br/>
              <w:t>Business Function: Methodology</w:t>
            </w:r>
            <w:r w:rsidRPr="00FA0412">
              <w:br/>
              <w:t xml:space="preserve">Keywords: A6.4 mechanism, </w:t>
            </w:r>
            <w:r w:rsidR="005B7A55">
              <w:t>electricity generation, electric power transmission, grid emission factor, methodologies</w:t>
            </w:r>
          </w:p>
        </w:tc>
      </w:tr>
    </w:tbl>
    <w:p w14:paraId="5188D345" w14:textId="77777777" w:rsidR="00CA6E5E" w:rsidRDefault="00CA6E5E" w:rsidP="00CA6E5E">
      <w:pPr>
        <w:rPr>
          <w:sz w:val="2"/>
          <w:szCs w:val="2"/>
        </w:rPr>
      </w:pPr>
    </w:p>
    <w:p w14:paraId="091DE878" w14:textId="77777777" w:rsidR="00CA6E5E" w:rsidRDefault="00CA6E5E" w:rsidP="00CA6E5E">
      <w:pPr>
        <w:rPr>
          <w:sz w:val="2"/>
          <w:szCs w:val="2"/>
        </w:rPr>
      </w:pPr>
    </w:p>
    <w:p w14:paraId="07E444B3" w14:textId="77777777" w:rsidR="00D9066E" w:rsidRDefault="00D9066E" w:rsidP="00D9066E">
      <w:pPr>
        <w:rPr>
          <w:sz w:val="2"/>
          <w:szCs w:val="2"/>
        </w:rPr>
      </w:pPr>
    </w:p>
    <w:p w14:paraId="6619A952" w14:textId="77777777" w:rsidR="00235FD4" w:rsidRDefault="00235FD4" w:rsidP="00ED7CB5">
      <w:pPr>
        <w:rPr>
          <w:sz w:val="2"/>
          <w:szCs w:val="2"/>
        </w:rPr>
      </w:pPr>
    </w:p>
    <w:sectPr w:rsidR="00235FD4" w:rsidSect="00964E72">
      <w:headerReference w:type="default" r:id="rId23"/>
      <w:footnotePr>
        <w:numRestart w:val="eachSect"/>
      </w:footnotePr>
      <w:pgSz w:w="11907" w:h="16840" w:code="9"/>
      <w:pgMar w:top="2268" w:right="1276" w:bottom="1418" w:left="1418" w:header="851"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2937F" w14:textId="77777777" w:rsidR="001A572D" w:rsidRDefault="001A572D">
      <w:r>
        <w:separator/>
      </w:r>
    </w:p>
  </w:endnote>
  <w:endnote w:type="continuationSeparator" w:id="0">
    <w:p w14:paraId="68167BD0" w14:textId="77777777" w:rsidR="001A572D" w:rsidRDefault="001A572D">
      <w:r>
        <w:continuationSeparator/>
      </w:r>
    </w:p>
  </w:endnote>
  <w:endnote w:type="continuationNotice" w:id="1">
    <w:p w14:paraId="1FE8048F" w14:textId="77777777" w:rsidR="001A572D" w:rsidRDefault="001A57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77268" w14:textId="05045FA5" w:rsidR="00F07540" w:rsidRPr="00F07540" w:rsidRDefault="00F07540" w:rsidP="0071171A">
    <w:pPr>
      <w:pStyle w:val="SDMFooter"/>
    </w:pPr>
    <w:r w:rsidRPr="00F306F1">
      <w:fldChar w:fldCharType="begin"/>
    </w:r>
    <w:r w:rsidRPr="00F306F1">
      <w:instrText xml:space="preserve"> PAGE </w:instrText>
    </w:r>
    <w:r w:rsidRPr="00F306F1">
      <w:fldChar w:fldCharType="separate"/>
    </w:r>
    <w:r>
      <w:t>2</w:t>
    </w:r>
    <w:r w:rsidRPr="00F306F1">
      <w:fldChar w:fldCharType="end"/>
    </w:r>
    <w:r w:rsidRPr="00F306F1">
      <w:t xml:space="preserve"> of </w:t>
    </w:r>
    <w:r>
      <w:fldChar w:fldCharType="begin"/>
    </w:r>
    <w:r>
      <w:instrText>NUMPAGES</w:instrText>
    </w:r>
    <w:r>
      <w:fldChar w:fldCharType="separate"/>
    </w:r>
    <w:r>
      <w:t>73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BDAD4" w14:textId="205AFFFA" w:rsidR="000D1E11" w:rsidRPr="00F306F1" w:rsidRDefault="000D1E11">
    <w:pPr>
      <w:pStyle w:val="SDMFooter"/>
    </w:pPr>
    <w:r w:rsidRPr="00F306F1">
      <w:fldChar w:fldCharType="begin"/>
    </w:r>
    <w:r w:rsidRPr="00F306F1">
      <w:instrText xml:space="preserve"> PAGE </w:instrText>
    </w:r>
    <w:r w:rsidRPr="00F306F1">
      <w:fldChar w:fldCharType="separate"/>
    </w:r>
    <w:r w:rsidR="00C5445F">
      <w:t>4</w:t>
    </w:r>
    <w:r w:rsidRPr="00F306F1">
      <w:fldChar w:fldCharType="end"/>
    </w:r>
    <w:r w:rsidRPr="00F306F1">
      <w:t xml:space="preserve"> of </w:t>
    </w:r>
    <w:r>
      <w:fldChar w:fldCharType="begin"/>
    </w:r>
    <w:r>
      <w:instrText>NUMPAGES</w:instrText>
    </w:r>
    <w:r>
      <w:fldChar w:fldCharType="separate"/>
    </w:r>
    <w:r w:rsidR="00C5445F">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474FB" w14:textId="77777777" w:rsidR="001A572D" w:rsidRDefault="001A572D">
      <w:r>
        <w:separator/>
      </w:r>
    </w:p>
  </w:footnote>
  <w:footnote w:type="continuationSeparator" w:id="0">
    <w:p w14:paraId="6D57BE42" w14:textId="77777777" w:rsidR="001A572D" w:rsidRDefault="001A572D">
      <w:r>
        <w:continuationSeparator/>
      </w:r>
    </w:p>
  </w:footnote>
  <w:footnote w:type="continuationNotice" w:id="1">
    <w:p w14:paraId="38223E04" w14:textId="77777777" w:rsidR="001A572D" w:rsidRDefault="001A572D"/>
  </w:footnote>
  <w:footnote w:id="2">
    <w:p w14:paraId="306E1A0A" w14:textId="3DDF0472" w:rsidR="009B336B" w:rsidRPr="00455DCA" w:rsidRDefault="009B336B">
      <w:pPr>
        <w:pStyle w:val="FootnoteText"/>
        <w:rPr>
          <w:rFonts w:eastAsia="MS Mincho"/>
          <w:lang w:val="en-US" w:eastAsia="ja-JP"/>
        </w:rPr>
      </w:pPr>
      <w:r>
        <w:rPr>
          <w:rStyle w:val="FootnoteReference"/>
        </w:rPr>
        <w:footnoteRef/>
      </w:r>
      <w:r>
        <w:rPr>
          <w:lang w:val="en-US"/>
        </w:rPr>
        <w:tab/>
      </w:r>
      <w:r w:rsidRPr="009B336B">
        <w:rPr>
          <w:lang w:val="en-US"/>
        </w:rPr>
        <w:t>Note that this version of the tool does not include procedures to account for the effects of contracts between actors in electricity markets, such as power purchase agreements between specific entities. The tool may be updated in the future to reflect such contracts based on evolving developments in relevant fora or under relevant regulatory frameworks.</w:t>
      </w:r>
      <w:r w:rsidR="00E563BD">
        <w:rPr>
          <w:rFonts w:eastAsia="MS Mincho" w:hint="eastAsia"/>
          <w:lang w:val="en-US" w:eastAsia="ja-JP"/>
        </w:rPr>
        <w:t xml:space="preserve"> </w:t>
      </w:r>
      <w:r w:rsidR="000300B5">
        <w:rPr>
          <w:rFonts w:eastAsia="MS Mincho" w:hint="eastAsia"/>
          <w:lang w:val="en-US" w:eastAsia="ja-JP"/>
        </w:rPr>
        <w:t>Further note that t</w:t>
      </w:r>
      <w:r w:rsidR="00E563BD" w:rsidRPr="00E563BD">
        <w:rPr>
          <w:rFonts w:eastAsia="MS Mincho"/>
          <w:lang w:val="en-US" w:eastAsia="ja-JP"/>
        </w:rPr>
        <w:t xml:space="preserve">he tool currently does not include provisions for integrating off-grid power plants in the calculation of the emission factor for the electricity system and </w:t>
      </w:r>
      <w:r w:rsidR="000300B5">
        <w:rPr>
          <w:rFonts w:eastAsia="MS Mincho" w:hint="eastAsia"/>
          <w:lang w:val="en-US" w:eastAsia="ja-JP"/>
        </w:rPr>
        <w:t xml:space="preserve">that </w:t>
      </w:r>
      <w:r w:rsidR="00E563BD" w:rsidRPr="00E563BD">
        <w:rPr>
          <w:rFonts w:eastAsia="MS Mincho"/>
          <w:lang w:val="en-US" w:eastAsia="ja-JP"/>
        </w:rPr>
        <w:t xml:space="preserve">this issue </w:t>
      </w:r>
      <w:r w:rsidR="000B23D5">
        <w:rPr>
          <w:rFonts w:eastAsia="MS Mincho" w:hint="eastAsia"/>
          <w:lang w:val="en-US" w:eastAsia="ja-JP"/>
        </w:rPr>
        <w:t xml:space="preserve">may </w:t>
      </w:r>
      <w:r w:rsidR="00E563BD" w:rsidRPr="00E563BD">
        <w:rPr>
          <w:rFonts w:eastAsia="MS Mincho"/>
          <w:lang w:val="en-US" w:eastAsia="ja-JP"/>
        </w:rPr>
        <w:t>be addressed in future revisions to this methodological tool.</w:t>
      </w:r>
    </w:p>
  </w:footnote>
  <w:footnote w:id="3">
    <w:p w14:paraId="5257A4AE" w14:textId="07DF3406" w:rsidR="009B336B" w:rsidRDefault="009B336B">
      <w:pPr>
        <w:pStyle w:val="FootnoteText"/>
      </w:pPr>
      <w:r>
        <w:rPr>
          <w:rStyle w:val="FootnoteReference"/>
        </w:rPr>
        <w:footnoteRef/>
      </w:r>
      <w:r>
        <w:rPr>
          <w:lang w:val="en-US"/>
        </w:rPr>
        <w:tab/>
      </w:r>
      <w:r w:rsidR="7CA60D72" w:rsidRPr="009B336B">
        <w:rPr>
          <w:lang w:val="en-US"/>
        </w:rPr>
        <w:t xml:space="preserve">See </w:t>
      </w:r>
      <w:hyperlink r:id="rId1">
        <w:r w:rsidR="7CA60D72" w:rsidRPr="7CA60D72">
          <w:rPr>
            <w:rStyle w:val="Hyperlink"/>
            <w:lang w:val="en-US"/>
          </w:rPr>
          <w:t>https://unfccc.int/sites/default/files/resource/A6.4-PROC-METH-001.pdf</w:t>
        </w:r>
      </w:hyperlink>
      <w:r w:rsidR="7CA60D72">
        <w:rPr>
          <w:lang w:val="en-US"/>
        </w:rPr>
        <w:t>.</w:t>
      </w:r>
    </w:p>
  </w:footnote>
  <w:footnote w:id="4">
    <w:p w14:paraId="71740019" w14:textId="3838E70F" w:rsidR="009B336B" w:rsidRDefault="009B336B">
      <w:pPr>
        <w:pStyle w:val="FootnoteText"/>
      </w:pPr>
      <w:r>
        <w:rPr>
          <w:rStyle w:val="FootnoteReference"/>
        </w:rPr>
        <w:footnoteRef/>
      </w:r>
      <w:r>
        <w:rPr>
          <w:lang w:val="en-US"/>
        </w:rPr>
        <w:tab/>
      </w:r>
      <w:r w:rsidRPr="009B336B">
        <w:rPr>
          <w:lang w:val="en-US"/>
        </w:rPr>
        <w:t>For example, this may apply to a facility that purchases electricity from a specific wind power plant through a dedicated electricity line and therefore draws a high load from the electricity system during periods of low wind power availability.</w:t>
      </w:r>
    </w:p>
  </w:footnote>
  <w:footnote w:id="5">
    <w:p w14:paraId="24BFF0E0" w14:textId="1BB04476" w:rsidR="00D55ADA" w:rsidRDefault="00D55ADA">
      <w:pPr>
        <w:pStyle w:val="FootnoteText"/>
      </w:pPr>
      <w:r>
        <w:rPr>
          <w:rStyle w:val="FootnoteReference"/>
        </w:rPr>
        <w:footnoteRef/>
      </w:r>
      <w:r w:rsidR="00F74E46">
        <w:tab/>
      </w:r>
      <w:r w:rsidRPr="00D23AC8">
        <w:t xml:space="preserve">For example, </w:t>
      </w:r>
      <w:r w:rsidR="00F20868">
        <w:t xml:space="preserve">in the case of </w:t>
      </w:r>
      <w:r w:rsidR="00325D81">
        <w:t xml:space="preserve">a </w:t>
      </w:r>
      <w:r w:rsidR="000B756B">
        <w:t>landfill gas utilization project, one electricity generation source </w:t>
      </w:r>
      <w:r w:rsidR="000B756B" w:rsidRPr="002E3B23">
        <w:rPr>
          <w:i/>
          <w:iCs/>
        </w:rPr>
        <w:t>s</w:t>
      </w:r>
      <w:r w:rsidR="000B756B">
        <w:t xml:space="preserve"> </w:t>
      </w:r>
      <w:r w:rsidR="00594203">
        <w:t>may</w:t>
      </w:r>
      <w:r w:rsidR="00A45B63">
        <w:t xml:space="preserve"> </w:t>
      </w:r>
      <w:r w:rsidR="003B2BA2">
        <w:t xml:space="preserve">be </w:t>
      </w:r>
      <w:r w:rsidR="00A45B63">
        <w:t xml:space="preserve">the </w:t>
      </w:r>
      <w:r w:rsidR="006C0C87">
        <w:t>power genera</w:t>
      </w:r>
      <w:r w:rsidR="00145CA0">
        <w:t>tion</w:t>
      </w:r>
      <w:r w:rsidR="00266AF0">
        <w:t xml:space="preserve"> equipment utilizing the </w:t>
      </w:r>
      <w:r w:rsidR="00594203">
        <w:t xml:space="preserve">landfill gas, while electricity consumption sources may include </w:t>
      </w:r>
      <w:r w:rsidR="002876BB">
        <w:t xml:space="preserve">equipment </w:t>
      </w:r>
      <w:r w:rsidR="003B2BA2">
        <w:t xml:space="preserve">used </w:t>
      </w:r>
      <w:r w:rsidR="002876BB">
        <w:t>to operate the landfill gas capture system and other auxiliary equipment.</w:t>
      </w:r>
    </w:p>
  </w:footnote>
  <w:footnote w:id="6">
    <w:p w14:paraId="2AD5DC4E" w14:textId="18DB8F0B" w:rsidR="009B336B" w:rsidRDefault="009B336B">
      <w:pPr>
        <w:pStyle w:val="FootnoteText"/>
      </w:pPr>
      <w:r>
        <w:rPr>
          <w:rStyle w:val="FootnoteReference"/>
        </w:rPr>
        <w:footnoteRef/>
      </w:r>
      <w:r>
        <w:rPr>
          <w:lang w:val="en-US"/>
        </w:rPr>
        <w:tab/>
      </w:r>
      <w:r w:rsidRPr="00633A80">
        <w:rPr>
          <w:lang w:val="en-US"/>
        </w:rPr>
        <w:t xml:space="preserve">See </w:t>
      </w:r>
      <w:hyperlink r:id="rId2" w:history="1">
        <w:r w:rsidRPr="00633A80">
          <w:rPr>
            <w:rStyle w:val="Hyperlink"/>
            <w:lang w:val="en-US"/>
          </w:rPr>
          <w:t>https://www.ipcc-nggip.iges.or.jp/public/2019rf/index.html</w:t>
        </w:r>
      </w:hyperlink>
      <w:r w:rsidRPr="00CB0928">
        <w:rPr>
          <w:rStyle w:val="Hyperlink"/>
          <w:u w:val="none"/>
          <w:lang w:val="en-US"/>
        </w:rPr>
        <w:t>.</w:t>
      </w:r>
    </w:p>
  </w:footnote>
  <w:footnote w:id="7">
    <w:p w14:paraId="5419E7CD" w14:textId="3A0B49B3" w:rsidR="009B336B" w:rsidRDefault="009B336B">
      <w:pPr>
        <w:pStyle w:val="FootnoteText"/>
      </w:pPr>
      <w:r>
        <w:rPr>
          <w:rStyle w:val="FootnoteReference"/>
        </w:rPr>
        <w:footnoteRef/>
      </w:r>
      <w:r>
        <w:rPr>
          <w:lang w:val="en-US"/>
        </w:rPr>
        <w:tab/>
      </w:r>
      <w:r w:rsidRPr="009B336B">
        <w:rPr>
          <w:lang w:val="en-US"/>
        </w:rPr>
        <w:t xml:space="preserve">See </w:t>
      </w:r>
      <w:hyperlink r:id="rId3" w:history="1">
        <w:r w:rsidRPr="00CE3995">
          <w:rPr>
            <w:rStyle w:val="Hyperlink"/>
            <w:lang w:val="en-US"/>
          </w:rPr>
          <w:t>https://unfccc.int/sites/default/files/resource/A6.4-STAN-METH-005.pdf</w:t>
        </w:r>
      </w:hyperlink>
      <w:r w:rsidRPr="009B336B">
        <w:rPr>
          <w:lang w:val="en-US"/>
        </w:rPr>
        <w:t>.</w:t>
      </w:r>
    </w:p>
  </w:footnote>
  <w:footnote w:id="8">
    <w:p w14:paraId="69C90B19" w14:textId="1F224508" w:rsidR="009B336B" w:rsidRDefault="009B336B">
      <w:pPr>
        <w:pStyle w:val="FootnoteText"/>
      </w:pPr>
      <w:r>
        <w:rPr>
          <w:rStyle w:val="FootnoteReference"/>
        </w:rPr>
        <w:footnoteRef/>
      </w:r>
      <w:r>
        <w:rPr>
          <w:lang w:val="en-US"/>
        </w:rPr>
        <w:tab/>
      </w:r>
      <w:r w:rsidRPr="009B336B">
        <w:rPr>
          <w:lang w:val="en-US"/>
        </w:rPr>
        <w:t>For example, where regional cross-boundary dispatch centres are required to comply with dispatch orders of a national dispatch centre, the area controlled by the national dispatch centre shall be used to delineate the project electricity system.</w:t>
      </w:r>
    </w:p>
  </w:footnote>
  <w:footnote w:id="9">
    <w:p w14:paraId="7388DE4A" w14:textId="607F673D" w:rsidR="005637CA" w:rsidRDefault="005637CA">
      <w:pPr>
        <w:pStyle w:val="FootnoteText"/>
      </w:pPr>
      <w:r>
        <w:rPr>
          <w:rStyle w:val="FootnoteReference"/>
        </w:rPr>
        <w:footnoteRef/>
      </w:r>
      <w:r w:rsidR="004B4453">
        <w:tab/>
      </w:r>
      <w:r w:rsidR="12F45459" w:rsidRPr="005637CA">
        <w:t>For example, if two transmission lines are operated between two independent dispatch centres and each has a maximum load capacity of 100</w:t>
      </w:r>
      <w:r w:rsidR="00C178B6">
        <w:t> </w:t>
      </w:r>
      <w:r w:rsidR="12F45459" w:rsidRPr="005637CA">
        <w:t>MW</w:t>
      </w:r>
      <w:r w:rsidR="12F45459">
        <w:t>, then c</w:t>
      </w:r>
      <w:r w:rsidR="12F45459" w:rsidRPr="005637CA">
        <w:t xml:space="preserve">ount the number of hours during which the total operating capacity of these two lines is lower than 150 MW. If the number of hours </w:t>
      </w:r>
      <w:r w:rsidR="12F45459">
        <w:t>during which the total operating capacity is lower than 150</w:t>
      </w:r>
      <w:r w:rsidR="00C178B6">
        <w:t> </w:t>
      </w:r>
      <w:r w:rsidR="12F45459">
        <w:t xml:space="preserve">MW </w:t>
      </w:r>
      <w:r w:rsidR="12F45459" w:rsidRPr="005637CA">
        <w:t xml:space="preserve">exceeds 7884 </w:t>
      </w:r>
      <w:r w:rsidR="12F45459">
        <w:t>in a non-leap year</w:t>
      </w:r>
      <w:r w:rsidR="12F45459" w:rsidRPr="005637CA">
        <w:t xml:space="preserve"> and 7902</w:t>
      </w:r>
      <w:r w:rsidR="12F45459">
        <w:t xml:space="preserve"> in </w:t>
      </w:r>
      <w:r w:rsidR="12F45459" w:rsidRPr="005637CA">
        <w:t xml:space="preserve">a leap year, it shall be considered that </w:t>
      </w:r>
      <w:r w:rsidR="12F45459" w:rsidRPr="005637CA" w:rsidDel="00493FC8">
        <w:t xml:space="preserve">no </w:t>
      </w:r>
      <w:r w:rsidR="12F45459" w:rsidRPr="005637CA">
        <w:t>transmission constraints exist between the two independent dispatch centres in that year</w:t>
      </w:r>
      <w:r w:rsidR="12F45459">
        <w:t>.</w:t>
      </w:r>
    </w:p>
  </w:footnote>
  <w:footnote w:id="10">
    <w:p w14:paraId="643F5A4B" w14:textId="4D9E769E" w:rsidR="00B80A98" w:rsidRDefault="00B80A98">
      <w:pPr>
        <w:pStyle w:val="FootnoteText"/>
      </w:pPr>
      <w:r>
        <w:rPr>
          <w:rStyle w:val="FootnoteReference"/>
        </w:rPr>
        <w:footnoteRef/>
      </w:r>
      <w:r w:rsidR="00EB78E5">
        <w:tab/>
      </w:r>
      <w:r w:rsidRPr="1BC29F8F">
        <w:rPr>
          <w:rFonts w:eastAsia="Arial"/>
        </w:rPr>
        <w:t xml:space="preserve">For </w:t>
      </w:r>
      <w:r>
        <w:rPr>
          <w:rFonts w:eastAsia="Arial"/>
        </w:rPr>
        <w:t>example, in the case of</w:t>
      </w:r>
      <w:r w:rsidRPr="1BC29F8F">
        <w:rPr>
          <w:rFonts w:eastAsia="Arial"/>
        </w:rPr>
        <w:t xml:space="preserve"> a grid-connected landfill gas recovery project activity participant</w:t>
      </w:r>
      <w:r>
        <w:rPr>
          <w:rFonts w:eastAsia="Arial"/>
        </w:rPr>
        <w:t>s</w:t>
      </w:r>
      <w:r w:rsidRPr="1BC29F8F">
        <w:rPr>
          <w:rFonts w:eastAsia="Arial"/>
        </w:rPr>
        <w:t xml:space="preserve"> may choose between two approaches to determine the applicable case</w:t>
      </w:r>
      <w:r>
        <w:rPr>
          <w:rFonts w:eastAsia="Arial"/>
        </w:rPr>
        <w:t>:</w:t>
      </w:r>
      <w:r w:rsidRPr="1BC29F8F">
        <w:rPr>
          <w:rFonts w:eastAsia="Arial"/>
        </w:rPr>
        <w:t xml:space="preserve"> (1) </w:t>
      </w:r>
      <w:r>
        <w:rPr>
          <w:rFonts w:eastAsia="Arial"/>
        </w:rPr>
        <w:t>Activity</w:t>
      </w:r>
      <w:r w:rsidRPr="1BC29F8F">
        <w:rPr>
          <w:rFonts w:eastAsia="Arial"/>
        </w:rPr>
        <w:t xml:space="preserve"> participant</w:t>
      </w:r>
      <w:r>
        <w:rPr>
          <w:rFonts w:eastAsia="Arial"/>
        </w:rPr>
        <w:t>s</w:t>
      </w:r>
      <w:r w:rsidRPr="1BC29F8F">
        <w:rPr>
          <w:rFonts w:eastAsia="Arial"/>
        </w:rPr>
        <w:t xml:space="preserve"> may calculate the hourly net electricity </w:t>
      </w:r>
      <w:r>
        <w:rPr>
          <w:rFonts w:eastAsia="Arial"/>
        </w:rPr>
        <w:t>supplied to or consumed from</w:t>
      </w:r>
      <w:r w:rsidRPr="1BC29F8F">
        <w:rPr>
          <w:rFonts w:eastAsia="Arial"/>
        </w:rPr>
        <w:t xml:space="preserve"> the </w:t>
      </w:r>
      <w:r>
        <w:rPr>
          <w:rFonts w:eastAsia="Arial"/>
        </w:rPr>
        <w:t>electricity system</w:t>
      </w:r>
      <w:r w:rsidRPr="1BC29F8F">
        <w:rPr>
          <w:rFonts w:eastAsia="Arial"/>
        </w:rPr>
        <w:t xml:space="preserve">. If there is net consumption of electricity from the </w:t>
      </w:r>
      <w:r>
        <w:rPr>
          <w:rFonts w:eastAsia="Arial"/>
        </w:rPr>
        <w:t>electricity system</w:t>
      </w:r>
      <w:r w:rsidRPr="1BC29F8F">
        <w:rPr>
          <w:rFonts w:eastAsia="Arial"/>
        </w:rPr>
        <w:t xml:space="preserve"> during </w:t>
      </w:r>
      <w:r>
        <w:t>a given</w:t>
      </w:r>
      <w:r w:rsidRPr="1BC29F8F">
        <w:rPr>
          <w:rFonts w:eastAsia="Arial"/>
        </w:rPr>
        <w:t xml:space="preserve"> hour, c</w:t>
      </w:r>
      <w:r w:rsidRPr="00046BAC">
        <w:t>ase</w:t>
      </w:r>
      <w:r w:rsidR="00C178B6">
        <w:t> </w:t>
      </w:r>
      <w:r w:rsidRPr="00046BAC">
        <w:t>1</w:t>
      </w:r>
      <w:r>
        <w:t xml:space="preserve"> applies. The emission factor for c</w:t>
      </w:r>
      <w:r w:rsidRPr="1BC29F8F">
        <w:t>ase</w:t>
      </w:r>
      <w:r w:rsidR="0024266E">
        <w:t> </w:t>
      </w:r>
      <w:r w:rsidRPr="1BC29F8F">
        <w:t>1 shall be applied to the net consumption for that hour to calculate</w:t>
      </w:r>
      <w:r w:rsidRPr="1BC29F8F">
        <w:rPr>
          <w:rFonts w:eastAsia="Arial"/>
        </w:rPr>
        <w:t xml:space="preserve"> PE</w:t>
      </w:r>
      <w:r w:rsidRPr="1BC29F8F">
        <w:rPr>
          <w:rFonts w:eastAsia="Arial"/>
          <w:vertAlign w:val="subscript"/>
        </w:rPr>
        <w:t>EC,y</w:t>
      </w:r>
      <w:r w:rsidRPr="1BC29F8F">
        <w:rPr>
          <w:rFonts w:eastAsia="Arial"/>
        </w:rPr>
        <w:t xml:space="preserve">. If there is a net </w:t>
      </w:r>
      <w:r>
        <w:rPr>
          <w:rFonts w:eastAsia="Arial"/>
        </w:rPr>
        <w:t>supply</w:t>
      </w:r>
      <w:r w:rsidRPr="1BC29F8F">
        <w:rPr>
          <w:rFonts w:eastAsia="Arial"/>
        </w:rPr>
        <w:t xml:space="preserve"> of electricity </w:t>
      </w:r>
      <w:r>
        <w:rPr>
          <w:rFonts w:eastAsia="Arial"/>
        </w:rPr>
        <w:t>to</w:t>
      </w:r>
      <w:r w:rsidRPr="1BC29F8F">
        <w:rPr>
          <w:rFonts w:eastAsia="Arial"/>
        </w:rPr>
        <w:t xml:space="preserve"> the </w:t>
      </w:r>
      <w:r w:rsidR="006454F8">
        <w:rPr>
          <w:rFonts w:eastAsia="Arial"/>
        </w:rPr>
        <w:t>electricity</w:t>
      </w:r>
      <w:r>
        <w:rPr>
          <w:rFonts w:eastAsia="Arial"/>
        </w:rPr>
        <w:t xml:space="preserve"> system</w:t>
      </w:r>
      <w:r w:rsidRPr="1BC29F8F">
        <w:rPr>
          <w:rFonts w:eastAsia="Arial"/>
        </w:rPr>
        <w:t xml:space="preserve"> during a given hour, </w:t>
      </w:r>
      <w:r>
        <w:t>c</w:t>
      </w:r>
      <w:r w:rsidRPr="1BC29F8F">
        <w:rPr>
          <w:rFonts w:eastAsia="Arial"/>
        </w:rPr>
        <w:t>ase</w:t>
      </w:r>
      <w:r w:rsidR="00511431">
        <w:rPr>
          <w:rFonts w:eastAsia="Arial"/>
        </w:rPr>
        <w:t> </w:t>
      </w:r>
      <w:r w:rsidRPr="1BC29F8F">
        <w:rPr>
          <w:rFonts w:eastAsia="Arial"/>
        </w:rPr>
        <w:t xml:space="preserve">2 applies. The emission factor for </w:t>
      </w:r>
      <w:r w:rsidRPr="6AE44C3C">
        <w:rPr>
          <w:rFonts w:eastAsia="Arial"/>
        </w:rPr>
        <w:t>case</w:t>
      </w:r>
      <w:r w:rsidR="00511431">
        <w:rPr>
          <w:rFonts w:eastAsia="Arial"/>
        </w:rPr>
        <w:t> </w:t>
      </w:r>
      <w:r w:rsidRPr="1BC29F8F">
        <w:rPr>
          <w:rFonts w:eastAsia="Arial"/>
        </w:rPr>
        <w:t>2 shall be applied to the net generation for that hour to calculate BE</w:t>
      </w:r>
      <w:r w:rsidRPr="1BC29F8F">
        <w:rPr>
          <w:rFonts w:eastAsia="Arial"/>
          <w:vertAlign w:val="subscript"/>
        </w:rPr>
        <w:t>EG,y</w:t>
      </w:r>
      <w:r w:rsidRPr="1BC29F8F">
        <w:rPr>
          <w:rFonts w:eastAsia="Arial"/>
        </w:rPr>
        <w:t xml:space="preserve">. (2) Alternatively, </w:t>
      </w:r>
      <w:r>
        <w:rPr>
          <w:rFonts w:eastAsia="Arial"/>
        </w:rPr>
        <w:t>activity</w:t>
      </w:r>
      <w:r w:rsidRPr="1BC29F8F">
        <w:rPr>
          <w:rFonts w:eastAsia="Arial"/>
        </w:rPr>
        <w:t xml:space="preserve"> participant</w:t>
      </w:r>
      <w:r>
        <w:rPr>
          <w:rFonts w:eastAsia="Arial"/>
        </w:rPr>
        <w:t>s</w:t>
      </w:r>
      <w:r w:rsidRPr="1BC29F8F">
        <w:rPr>
          <w:rFonts w:eastAsia="Arial"/>
        </w:rPr>
        <w:t xml:space="preserve"> may </w:t>
      </w:r>
      <w:r>
        <w:rPr>
          <w:rFonts w:eastAsia="Arial"/>
        </w:rPr>
        <w:t xml:space="preserve">calculate the emissions separately for </w:t>
      </w:r>
      <w:r w:rsidRPr="1BC29F8F">
        <w:rPr>
          <w:rFonts w:eastAsia="Arial"/>
        </w:rPr>
        <w:t xml:space="preserve">all electricity generation sources (e.g., the landfill gas generator) and </w:t>
      </w:r>
      <w:r>
        <w:rPr>
          <w:rFonts w:eastAsia="Arial"/>
        </w:rPr>
        <w:t xml:space="preserve">for </w:t>
      </w:r>
      <w:r w:rsidRPr="1BC29F8F">
        <w:rPr>
          <w:rFonts w:eastAsia="Arial"/>
        </w:rPr>
        <w:t>all electricity consumption sources (e.g., auxiliary consumption of the generator, flare, and lighting). The emission factor for case</w:t>
      </w:r>
      <w:r w:rsidR="00511431">
        <w:rPr>
          <w:rFonts w:eastAsia="Arial"/>
        </w:rPr>
        <w:t> </w:t>
      </w:r>
      <w:r w:rsidRPr="1BC29F8F">
        <w:rPr>
          <w:rFonts w:eastAsia="Arial"/>
        </w:rPr>
        <w:t>1 shall be applied exclusively to the total electricity consumption to calculate PE</w:t>
      </w:r>
      <w:r w:rsidRPr="1BC29F8F">
        <w:rPr>
          <w:rFonts w:eastAsia="Arial"/>
          <w:vertAlign w:val="subscript"/>
        </w:rPr>
        <w:t>EC,y</w:t>
      </w:r>
      <w:r w:rsidRPr="1BC29F8F">
        <w:rPr>
          <w:rFonts w:eastAsia="Arial"/>
        </w:rPr>
        <w:t>. The emission factor for case</w:t>
      </w:r>
      <w:r w:rsidR="00511431">
        <w:rPr>
          <w:rFonts w:eastAsia="Arial"/>
        </w:rPr>
        <w:t> </w:t>
      </w:r>
      <w:r w:rsidRPr="1BC29F8F">
        <w:rPr>
          <w:rFonts w:eastAsia="Arial"/>
        </w:rPr>
        <w:t>2 shall be applied exclusively to the total electricity generation to calculate BE</w:t>
      </w:r>
      <w:r w:rsidRPr="1BC29F8F">
        <w:rPr>
          <w:rFonts w:eastAsia="Arial"/>
          <w:vertAlign w:val="subscript"/>
        </w:rPr>
        <w:t>EG,y</w:t>
      </w:r>
      <w:r w:rsidRPr="1BC29F8F">
        <w:rPr>
          <w:rFonts w:eastAsia="Arial"/>
        </w:rPr>
        <w:t>.</w:t>
      </w:r>
    </w:p>
  </w:footnote>
  <w:footnote w:id="11">
    <w:p w14:paraId="5E57FF7F" w14:textId="22F3AF78" w:rsidR="00451CA7" w:rsidRDefault="00451CA7">
      <w:pPr>
        <w:pStyle w:val="FootnoteText"/>
      </w:pPr>
      <w:r>
        <w:rPr>
          <w:rStyle w:val="FootnoteReference"/>
        </w:rPr>
        <w:footnoteRef/>
      </w:r>
      <w:r w:rsidR="00F74E46">
        <w:tab/>
      </w:r>
      <w:r w:rsidRPr="00451CA7">
        <w:t xml:space="preserve">The values in the table were calculated based on the higher and the lower estimates of power plant </w:t>
      </w:r>
      <w:r w:rsidR="00C146F7">
        <w:t xml:space="preserve">efficiencies </w:t>
      </w:r>
      <w:r w:rsidRPr="00451CA7">
        <w:t>and CO</w:t>
      </w:r>
      <w:r w:rsidRPr="006720D6">
        <w:rPr>
          <w:vertAlign w:val="subscript"/>
        </w:rPr>
        <w:t>2</w:t>
      </w:r>
      <w:r w:rsidRPr="00451CA7">
        <w:t xml:space="preserve"> emission factors </w:t>
      </w:r>
      <w:r w:rsidR="00C146F7">
        <w:t>for</w:t>
      </w:r>
      <w:r w:rsidR="00C146F7" w:rsidRPr="00451CA7">
        <w:t xml:space="preserve"> </w:t>
      </w:r>
      <w:r w:rsidRPr="00451CA7">
        <w:t>the relevant fuel types. The CO</w:t>
      </w:r>
      <w:r w:rsidRPr="006720D6">
        <w:rPr>
          <w:vertAlign w:val="subscript"/>
        </w:rPr>
        <w:t>2</w:t>
      </w:r>
      <w:r w:rsidRPr="00451CA7">
        <w:t xml:space="preserve"> emission factors were taken from the 2006 IPCC Guidelines for </w:t>
      </w:r>
      <w:r w:rsidR="006C1A86">
        <w:t>N</w:t>
      </w:r>
      <w:r w:rsidR="006C1A86" w:rsidRPr="00451CA7">
        <w:t xml:space="preserve">ational </w:t>
      </w:r>
      <w:r w:rsidR="006C1A86">
        <w:t xml:space="preserve">Greenhouse </w:t>
      </w:r>
      <w:r w:rsidR="00950BB8">
        <w:t>I</w:t>
      </w:r>
      <w:r w:rsidRPr="00451CA7">
        <w:t xml:space="preserve">nventories. </w:t>
      </w:r>
      <w:r w:rsidR="00950BB8">
        <w:t>P</w:t>
      </w:r>
      <w:r w:rsidRPr="00451CA7">
        <w:t xml:space="preserve">ower plant </w:t>
      </w:r>
      <w:r w:rsidR="00950BB8">
        <w:t xml:space="preserve">efficiencies </w:t>
      </w:r>
      <w:r w:rsidRPr="00451CA7">
        <w:t>were collected from various sources, including manufacturer information for the upper end of the efficiency</w:t>
      </w:r>
      <w:r w:rsidR="00BE2F90">
        <w:t xml:space="preserve"> range</w:t>
      </w:r>
      <w:r w:rsidRPr="00451CA7">
        <w:t>.</w:t>
      </w:r>
    </w:p>
  </w:footnote>
  <w:footnote w:id="12">
    <w:p w14:paraId="3FA3AD75" w14:textId="34EEEF94" w:rsidR="00E94667" w:rsidRPr="00CB0025" w:rsidRDefault="00E94667">
      <w:pPr>
        <w:pStyle w:val="FootnoteText"/>
        <w:rPr>
          <w:highlight w:val="yellow"/>
        </w:rPr>
      </w:pPr>
      <w:r w:rsidRPr="008D686D">
        <w:rPr>
          <w:rStyle w:val="FootnoteReference"/>
        </w:rPr>
        <w:footnoteRef/>
      </w:r>
      <w:r w:rsidRPr="008D686D">
        <w:tab/>
        <w:t>T</w:t>
      </w:r>
      <w:r w:rsidR="00856005" w:rsidRPr="008D686D">
        <w:t xml:space="preserve">he </w:t>
      </w:r>
      <w:r w:rsidR="00D248BC" w:rsidRPr="008D686D">
        <w:t xml:space="preserve">MEP is currently working on the development of a methodological tool </w:t>
      </w:r>
      <w:r w:rsidR="008C1307" w:rsidRPr="008D686D">
        <w:t>for project and leakage emissions from biomass</w:t>
      </w:r>
      <w:r w:rsidR="00E07DBC" w:rsidRPr="008D686D">
        <w:t xml:space="preserve">. This tool </w:t>
      </w:r>
      <w:r w:rsidR="00761633" w:rsidRPr="008D686D">
        <w:t>may</w:t>
      </w:r>
      <w:r w:rsidR="00E07DBC" w:rsidRPr="008D686D">
        <w:t xml:space="preserve"> be applied </w:t>
      </w:r>
      <w:r w:rsidR="00761633" w:rsidRPr="008D686D">
        <w:t xml:space="preserve">to determine these emissions </w:t>
      </w:r>
      <w:r w:rsidR="00E07DBC" w:rsidRPr="008D686D">
        <w:t>once it is adopted by the Supervisory Body.</w:t>
      </w:r>
    </w:p>
  </w:footnote>
  <w:footnote w:id="13">
    <w:p w14:paraId="101DA550" w14:textId="5C25434F" w:rsidR="00511431" w:rsidRDefault="00511431">
      <w:pPr>
        <w:pStyle w:val="FootnoteText"/>
      </w:pPr>
      <w:r>
        <w:rPr>
          <w:rStyle w:val="FootnoteReference"/>
        </w:rPr>
        <w:footnoteRef/>
      </w:r>
      <w:r>
        <w:rPr>
          <w:lang w:val="en-US"/>
        </w:rPr>
        <w:tab/>
      </w:r>
      <w:r w:rsidRPr="00511431">
        <w:rPr>
          <w:lang w:val="en-US"/>
        </w:rPr>
        <w:t>The MEP may consider further methods in the future. In addition, activity participants may also submit proposals for a revision of this tool to include other methods. For example, in some instances an electricity consumption source that depends on intermittent generation may only depend on one form of intermittent generation (e.g. only wind power). The effect of such an instance on the electricity system could be reflected through a more refined method in the future.</w:t>
      </w:r>
    </w:p>
  </w:footnote>
  <w:footnote w:id="14">
    <w:p w14:paraId="39EF83FB" w14:textId="62291CAD" w:rsidR="00511431" w:rsidRDefault="00511431">
      <w:pPr>
        <w:pStyle w:val="FootnoteText"/>
      </w:pPr>
      <w:r>
        <w:rPr>
          <w:rStyle w:val="FootnoteReference"/>
        </w:rPr>
        <w:footnoteRef/>
      </w:r>
      <w:r>
        <w:rPr>
          <w:lang w:val="en-US"/>
        </w:rPr>
        <w:tab/>
      </w:r>
      <w:r w:rsidRPr="00511431">
        <w:rPr>
          <w:lang w:val="en-US"/>
        </w:rPr>
        <w:t>The uncertainties in this table are based on expert judgements by the MEP. The uncertainty estimates for the simple OM and simple adjustment OM are informed by a comparison between the dispatch data OM emission factor and the simple OM emission factor for a limited set of data. The MEP aims to gather additional data and may update these values in a future revision of the tool. Under the conditions in which the average OM emission factor may be applied, its use is conservative. Therefore, the value for the uncertainty is set to zero.</w:t>
      </w:r>
    </w:p>
  </w:footnote>
  <w:footnote w:id="15">
    <w:p w14:paraId="6733D2C7" w14:textId="7CEE3C5F" w:rsidR="00511431" w:rsidRDefault="00511431">
      <w:pPr>
        <w:pStyle w:val="FootnoteText"/>
      </w:pPr>
      <w:r>
        <w:rPr>
          <w:rStyle w:val="FootnoteReference"/>
        </w:rPr>
        <w:footnoteRef/>
      </w:r>
      <w:r>
        <w:rPr>
          <w:lang w:val="en-US"/>
        </w:rPr>
        <w:tab/>
      </w:r>
      <w:r w:rsidRPr="00511431">
        <w:rPr>
          <w:lang w:val="en-US"/>
        </w:rPr>
        <w:t>For example, in some instances, data on the dispatch data OM emission factor may be available but the activity participants may not wish to use it since it would require them to account for electricity generation or consumption on an hourly basis.</w:t>
      </w:r>
    </w:p>
  </w:footnote>
  <w:footnote w:id="16">
    <w:p w14:paraId="3F2FF659" w14:textId="6A17AC21" w:rsidR="00EE5896" w:rsidRPr="005A4836" w:rsidRDefault="00EE5896">
      <w:pPr>
        <w:pStyle w:val="FootnoteText"/>
      </w:pPr>
      <w:r w:rsidRPr="005A4836">
        <w:rPr>
          <w:rStyle w:val="FootnoteReference"/>
        </w:rPr>
        <w:footnoteRef/>
      </w:r>
      <w:r w:rsidRPr="005A4836">
        <w:tab/>
        <w:t xml:space="preserve">The order is usually based on increasing marginal costs of electricity generation; however, other considerations may also play a role, such as the </w:t>
      </w:r>
      <w:r w:rsidR="007E5AD5" w:rsidRPr="005A4836">
        <w:t>availab</w:t>
      </w:r>
      <w:r w:rsidR="007E5AD5">
        <w:t>ility</w:t>
      </w:r>
      <w:r w:rsidR="007E5AD5" w:rsidRPr="005A4836">
        <w:t xml:space="preserve"> </w:t>
      </w:r>
      <w:r w:rsidRPr="005A4836">
        <w:t>of water for irrigation purposes in the case of hydro power plants.</w:t>
      </w:r>
    </w:p>
  </w:footnote>
  <w:footnote w:id="17">
    <w:p w14:paraId="6A2F1059" w14:textId="19F40FCB" w:rsidR="00511431" w:rsidRDefault="00511431">
      <w:pPr>
        <w:pStyle w:val="FootnoteText"/>
      </w:pPr>
      <w:r>
        <w:rPr>
          <w:rStyle w:val="FootnoteReference"/>
        </w:rPr>
        <w:footnoteRef/>
      </w:r>
      <w:r>
        <w:rPr>
          <w:lang w:val="en-US"/>
        </w:rPr>
        <w:tab/>
      </w:r>
      <w:r w:rsidRPr="00511431">
        <w:rPr>
          <w:lang w:val="en-US"/>
        </w:rPr>
        <w:t>Such curtailment may occur, for example, due to interventions by the operator of the electricity system to ensure a safe operation of the system or due to renewable electricity producers limiting generation in response to market signals, such as negative electricity prices. In some countries, data on hours with negative electricity prices is available and may be used as a proxy for the hours in which renewable electricity generation is curtailed.</w:t>
      </w:r>
    </w:p>
  </w:footnote>
  <w:footnote w:id="18">
    <w:p w14:paraId="2FA6F3FB" w14:textId="11A09284" w:rsidR="00511431" w:rsidRDefault="00511431">
      <w:pPr>
        <w:pStyle w:val="FootnoteText"/>
      </w:pPr>
      <w:r>
        <w:rPr>
          <w:rStyle w:val="FootnoteReference"/>
        </w:rPr>
        <w:footnoteRef/>
      </w:r>
      <w:r>
        <w:rPr>
          <w:lang w:val="en-US"/>
        </w:rPr>
        <w:tab/>
      </w:r>
      <w:r w:rsidRPr="00511431">
        <w:rPr>
          <w:lang w:val="en-US"/>
        </w:rPr>
        <w:t>The value of 30% was derived from an analysis of the share of renewable electricity generation and the number of hours in which electricity prices were negative or close to zero for several countries. It was found that with a share of renewable electricity generation of up to 30%, the number of hours with negative or close to zero electricity prices are commonly less than 100 in a calendar year.</w:t>
      </w:r>
    </w:p>
  </w:footnote>
  <w:footnote w:id="19">
    <w:p w14:paraId="2E0A942B" w14:textId="417ACD5A" w:rsidR="005A6D07" w:rsidRDefault="005A6D07">
      <w:pPr>
        <w:pStyle w:val="FootnoteText"/>
      </w:pPr>
      <w:r>
        <w:rPr>
          <w:rStyle w:val="FootnoteReference"/>
        </w:rPr>
        <w:footnoteRef/>
      </w:r>
      <w:r w:rsidR="00F74E46">
        <w:tab/>
      </w:r>
      <w:r w:rsidRPr="005A6D07">
        <w:t>For instance, this may include power generation curves or operational statistics for the project electricity system released by regulatory agencies or system operators.</w:t>
      </w:r>
    </w:p>
  </w:footnote>
  <w:footnote w:id="20">
    <w:p w14:paraId="66E2F54F" w14:textId="1F24DADA" w:rsidR="00604E4A" w:rsidRPr="00431B80" w:rsidRDefault="00604E4A">
      <w:pPr>
        <w:pStyle w:val="FootnoteText"/>
      </w:pPr>
      <w:r w:rsidRPr="00431B80">
        <w:rPr>
          <w:rStyle w:val="FootnoteReference"/>
        </w:rPr>
        <w:footnoteRef/>
      </w:r>
      <w:r w:rsidR="00F74E46">
        <w:tab/>
      </w:r>
      <w:r w:rsidRPr="00431B80">
        <w:t>For example, the emission factor for 2025 may be calculated based on data from 2023, the emission factor for 2026 based on data from 2024, and so on.</w:t>
      </w:r>
    </w:p>
  </w:footnote>
  <w:footnote w:id="21">
    <w:p w14:paraId="2BE9C0AD" w14:textId="12BF533D" w:rsidR="00921CE1" w:rsidRPr="00D75619" w:rsidRDefault="00921CE1">
      <w:pPr>
        <w:pStyle w:val="FootnoteText"/>
      </w:pPr>
      <w:r w:rsidRPr="00D75619">
        <w:rPr>
          <w:rStyle w:val="FootnoteReference"/>
        </w:rPr>
        <w:footnoteRef/>
      </w:r>
      <w:r w:rsidR="00F74E46">
        <w:tab/>
      </w:r>
      <w:r w:rsidRPr="00D75619">
        <w:t xml:space="preserve">For example, </w:t>
      </w:r>
      <w:r w:rsidR="00306C1A" w:rsidRPr="00D75619">
        <w:t>if</w:t>
      </w:r>
      <w:r w:rsidRPr="00D75619">
        <w:t xml:space="preserve"> the annual data required to calculate the emission factor for year</w:t>
      </w:r>
      <w:r w:rsidR="009C0775">
        <w:t> </w:t>
      </w:r>
      <w:r w:rsidRPr="00D75619">
        <w:t xml:space="preserve">y </w:t>
      </w:r>
      <w:r w:rsidR="001C47C3">
        <w:t>are</w:t>
      </w:r>
      <w:r w:rsidR="001C47C3" w:rsidRPr="00D75619">
        <w:t xml:space="preserve"> </w:t>
      </w:r>
      <w:r w:rsidRPr="00D75619">
        <w:t xml:space="preserve">usually available </w:t>
      </w:r>
      <w:r w:rsidR="00351326">
        <w:t>only more</w:t>
      </w:r>
      <w:r w:rsidR="00351326" w:rsidRPr="00D75619">
        <w:t xml:space="preserve"> </w:t>
      </w:r>
      <w:r w:rsidRPr="00D75619">
        <w:t>than six months after the end of year</w:t>
      </w:r>
      <w:r w:rsidR="00B97751">
        <w:t> </w:t>
      </w:r>
      <w:r w:rsidRPr="00583214">
        <w:rPr>
          <w:i/>
        </w:rPr>
        <w:t>y</w:t>
      </w:r>
      <w:r w:rsidRPr="00D75619">
        <w:t>, the historical year </w:t>
      </w:r>
      <w:r w:rsidRPr="00583214">
        <w:rPr>
          <w:i/>
        </w:rPr>
        <w:t xml:space="preserve">v </w:t>
      </w:r>
      <w:r w:rsidRPr="00D75619">
        <w:t xml:space="preserve">may correspond to </w:t>
      </w:r>
      <w:r w:rsidR="00306C1A" w:rsidRPr="00D75619">
        <w:t>year</w:t>
      </w:r>
      <w:r w:rsidR="00C178B6">
        <w:t> </w:t>
      </w:r>
      <w:r w:rsidR="00306C1A" w:rsidRPr="00583214">
        <w:rPr>
          <w:i/>
        </w:rPr>
        <w:t>y</w:t>
      </w:r>
      <w:r w:rsidR="00306C1A" w:rsidRPr="00D75619">
        <w:t xml:space="preserve">-1. </w:t>
      </w:r>
      <w:r w:rsidRPr="00D75619">
        <w:t xml:space="preserve">If the data </w:t>
      </w:r>
      <w:r w:rsidR="001E2EA1">
        <w:t>are</w:t>
      </w:r>
      <w:r w:rsidR="001E2EA1" w:rsidRPr="00D75619">
        <w:t xml:space="preserve"> </w:t>
      </w:r>
      <w:r w:rsidRPr="00D75619">
        <w:t xml:space="preserve">usually available </w:t>
      </w:r>
      <w:r w:rsidR="001E2EA1">
        <w:t>only</w:t>
      </w:r>
      <w:r w:rsidR="002F577C">
        <w:t xml:space="preserve"> </w:t>
      </w:r>
      <w:r w:rsidRPr="00D75619">
        <w:t>18 months after the end of year</w:t>
      </w:r>
      <w:r w:rsidR="00B97751">
        <w:t> </w:t>
      </w:r>
      <w:r w:rsidRPr="00583214">
        <w:rPr>
          <w:i/>
        </w:rPr>
        <w:t>y</w:t>
      </w:r>
      <w:r w:rsidRPr="00D75619">
        <w:t xml:space="preserve">, </w:t>
      </w:r>
      <w:r w:rsidR="00D75619" w:rsidRPr="00D75619">
        <w:t>the historical year </w:t>
      </w:r>
      <w:r w:rsidR="00D75619" w:rsidRPr="00D75619">
        <w:rPr>
          <w:i/>
          <w:iCs/>
        </w:rPr>
        <w:t>v</w:t>
      </w:r>
      <w:r w:rsidR="00D75619" w:rsidRPr="00D75619">
        <w:t xml:space="preserve"> may correspond to year</w:t>
      </w:r>
      <w:r w:rsidR="000F7CED">
        <w:t> </w:t>
      </w:r>
      <w:r w:rsidR="00D75619" w:rsidRPr="00D75619">
        <w:rPr>
          <w:i/>
          <w:iCs/>
        </w:rPr>
        <w:t>y</w:t>
      </w:r>
      <w:r w:rsidR="00D75619" w:rsidRPr="00D75619">
        <w:t>-2.</w:t>
      </w:r>
    </w:p>
  </w:footnote>
  <w:footnote w:id="22">
    <w:p w14:paraId="419172AE" w14:textId="23F7B4BF" w:rsidR="00BA1E18" w:rsidRPr="001A0905" w:rsidRDefault="00BA1E18">
      <w:pPr>
        <w:pStyle w:val="FootnoteText"/>
      </w:pPr>
      <w:r w:rsidRPr="001A0905">
        <w:rPr>
          <w:rStyle w:val="FootnoteReference"/>
        </w:rPr>
        <w:footnoteRef/>
      </w:r>
      <w:r w:rsidR="00F74E46">
        <w:tab/>
      </w:r>
      <w:r w:rsidR="00925BED" w:rsidRPr="001A0905">
        <w:t xml:space="preserve">This differentiation is </w:t>
      </w:r>
      <w:r w:rsidR="00A31CE6" w:rsidRPr="001A0905">
        <w:t>preliminary</w:t>
      </w:r>
      <w:r w:rsidR="00FA7551" w:rsidRPr="001A0905">
        <w:t xml:space="preserve">. Further work may be </w:t>
      </w:r>
      <w:r w:rsidR="000C751A">
        <w:t>undertaken</w:t>
      </w:r>
      <w:r w:rsidR="000C751A" w:rsidRPr="001A0905">
        <w:t xml:space="preserve"> </w:t>
      </w:r>
      <w:r w:rsidR="00925BED" w:rsidRPr="001A0905">
        <w:t xml:space="preserve">on this matter, pending the development of other </w:t>
      </w:r>
      <w:r w:rsidR="00990233">
        <w:t xml:space="preserve">methodological </w:t>
      </w:r>
      <w:r w:rsidR="00925BED" w:rsidRPr="001A0905">
        <w:t>tools</w:t>
      </w:r>
      <w:r w:rsidR="00342111" w:rsidRPr="001A0905">
        <w:t xml:space="preserve"> under the Article 6.4 mechanism.</w:t>
      </w:r>
      <w:r w:rsidR="001658D2" w:rsidRPr="001A0905">
        <w:t xml:space="preserve"> Biomass may </w:t>
      </w:r>
      <w:r w:rsidR="00C17593">
        <w:t>originate</w:t>
      </w:r>
      <w:r w:rsidR="00C17593" w:rsidRPr="001A0905">
        <w:t xml:space="preserve"> </w:t>
      </w:r>
      <w:r w:rsidR="001658D2" w:rsidRPr="001A0905">
        <w:t xml:space="preserve">from renewable or non-renewable resources. As a conservative </w:t>
      </w:r>
      <w:r w:rsidR="00A31CE6" w:rsidRPr="001A0905">
        <w:t xml:space="preserve">and simplified </w:t>
      </w:r>
      <w:r w:rsidR="001658D2" w:rsidRPr="001A0905">
        <w:t xml:space="preserve">approach, in this version of the </w:t>
      </w:r>
      <w:r w:rsidR="00F923A0">
        <w:t xml:space="preserve">methodological </w:t>
      </w:r>
      <w:r w:rsidR="001658D2" w:rsidRPr="001A0905">
        <w:t xml:space="preserve">tool biomass is considered </w:t>
      </w:r>
      <w:r w:rsidR="00FC0A43">
        <w:t>non-</w:t>
      </w:r>
      <w:r w:rsidR="001658D2" w:rsidRPr="001A0905">
        <w:t xml:space="preserve">renewable under </w:t>
      </w:r>
      <w:r w:rsidR="00F923A0" w:rsidRPr="00AC147D">
        <w:rPr>
          <w:b/>
        </w:rPr>
        <w:t>case </w:t>
      </w:r>
      <w:r w:rsidR="00FC0A43" w:rsidRPr="00AC147D">
        <w:rPr>
          <w:b/>
        </w:rPr>
        <w:t>1</w:t>
      </w:r>
      <w:r w:rsidR="00FC0A43">
        <w:t xml:space="preserve"> and </w:t>
      </w:r>
      <w:r w:rsidR="001658D2" w:rsidRPr="001A0905">
        <w:t xml:space="preserve">renewable under </w:t>
      </w:r>
      <w:r w:rsidR="005728BE" w:rsidRPr="00AC147D">
        <w:rPr>
          <w:b/>
        </w:rPr>
        <w:t>case </w:t>
      </w:r>
      <w:r w:rsidR="001658D2" w:rsidRPr="00AC147D">
        <w:rPr>
          <w:b/>
        </w:rPr>
        <w:t>2</w:t>
      </w:r>
      <w:r w:rsidR="001658D2" w:rsidRPr="001A0905">
        <w:t xml:space="preserve">. </w:t>
      </w:r>
      <w:r w:rsidR="00A31CE6" w:rsidRPr="001A0905">
        <w:t xml:space="preserve">Similarly, the emissions impact of power generation based on hydrogen depends on how the hydrogen is produced. As a conservative and simplified approach, hydrogen is treated as a </w:t>
      </w:r>
      <w:r w:rsidR="0018238D" w:rsidRPr="001A0905">
        <w:t xml:space="preserve">fuel associated with emissions under </w:t>
      </w:r>
      <w:r w:rsidR="00AE0E20" w:rsidRPr="00AC147D">
        <w:rPr>
          <w:b/>
        </w:rPr>
        <w:t>case </w:t>
      </w:r>
      <w:r w:rsidR="0018238D" w:rsidRPr="00AC147D">
        <w:rPr>
          <w:b/>
        </w:rPr>
        <w:t>1</w:t>
      </w:r>
      <w:r w:rsidR="0018238D">
        <w:t xml:space="preserve"> and </w:t>
      </w:r>
      <w:r w:rsidR="00A31CE6" w:rsidRPr="001A0905">
        <w:t xml:space="preserve">as a zero-emission fuel under </w:t>
      </w:r>
      <w:r w:rsidR="00AE0E20" w:rsidRPr="00AC147D">
        <w:rPr>
          <w:b/>
        </w:rPr>
        <w:t>case </w:t>
      </w:r>
      <w:r w:rsidR="00A31CE6" w:rsidRPr="00AC147D">
        <w:rPr>
          <w:b/>
        </w:rPr>
        <w:t>2.</w:t>
      </w:r>
    </w:p>
  </w:footnote>
  <w:footnote w:id="23">
    <w:p w14:paraId="03E96225" w14:textId="732F5D8C" w:rsidR="00A66961" w:rsidRPr="00C86097" w:rsidRDefault="00A66961">
      <w:pPr>
        <w:pStyle w:val="FootnoteText"/>
      </w:pPr>
      <w:r w:rsidRPr="00C86097">
        <w:rPr>
          <w:rStyle w:val="FootnoteReference"/>
        </w:rPr>
        <w:footnoteRef/>
      </w:r>
      <w:r w:rsidR="00F74E46">
        <w:tab/>
      </w:r>
      <w:r w:rsidRPr="00C86097">
        <w:t xml:space="preserve">For example, the reference period may </w:t>
      </w:r>
      <w:r w:rsidR="00C038B7" w:rsidRPr="00C86097">
        <w:t>start on 1 January 2022</w:t>
      </w:r>
      <w:r w:rsidR="00282CC5" w:rsidRPr="00C86097">
        <w:t>. If a project determines the emission factor for the year 2029, the most recent available data may be available for 2027. In this case,</w:t>
      </w:r>
      <w:r w:rsidR="00282CC5" w:rsidRPr="00C86097" w:rsidDel="008D13B6">
        <w:t xml:space="preserve"> </w:t>
      </w:r>
      <w:r w:rsidR="00282CC5" w:rsidRPr="00C86097">
        <w:t>period </w:t>
      </w:r>
      <w:r w:rsidR="00282CC5" w:rsidRPr="00D50C52">
        <w:rPr>
          <w:i/>
        </w:rPr>
        <w:t>t</w:t>
      </w:r>
      <w:r w:rsidR="00282CC5" w:rsidRPr="00C86097">
        <w:t xml:space="preserve"> corresponds to the </w:t>
      </w:r>
      <w:r w:rsidR="00C86097" w:rsidRPr="00C86097">
        <w:t>six-year period from 1 January 2022 to 31 December 20</w:t>
      </w:r>
      <w:r w:rsidR="00434C2D">
        <w:t>2</w:t>
      </w:r>
      <w:r w:rsidR="00C86097" w:rsidRPr="00C86097">
        <w:t>7. If a power unit </w:t>
      </w:r>
      <w:r w:rsidR="00C86097" w:rsidRPr="00D50C52">
        <w:rPr>
          <w:i/>
        </w:rPr>
        <w:t>p</w:t>
      </w:r>
      <w:r w:rsidR="00C86097" w:rsidRPr="00C86097">
        <w:t xml:space="preserve"> included in the BM calculation started operation on 1 July 2023, the electricity generation data </w:t>
      </w:r>
      <w:r w:rsidR="00A0331B">
        <w:t>for</w:t>
      </w:r>
      <w:r w:rsidR="00A0331B" w:rsidRPr="00C86097">
        <w:t xml:space="preserve"> </w:t>
      </w:r>
      <w:r w:rsidR="00C86097" w:rsidRPr="00C86097">
        <w:t>that power units shall cover the period from 1 July 2023 until 31 December 2027. If another power unit </w:t>
      </w:r>
      <w:r w:rsidR="00C86097" w:rsidRPr="00D50C52">
        <w:rPr>
          <w:i/>
        </w:rPr>
        <w:t>p</w:t>
      </w:r>
      <w:r w:rsidR="00C86097" w:rsidRPr="00C86097">
        <w:t xml:space="preserve"> included in </w:t>
      </w:r>
      <w:r w:rsidR="005B3348">
        <w:t xml:space="preserve">the </w:t>
      </w:r>
      <w:r w:rsidR="00C86097" w:rsidRPr="00C86097">
        <w:t>calculation started operation on 15 November 2024, the electricity generation data for</w:t>
      </w:r>
      <w:r w:rsidR="00AA71F3">
        <w:t xml:space="preserve"> </w:t>
      </w:r>
      <w:r w:rsidR="00C86097" w:rsidRPr="00C86097">
        <w:t>that power unit shall cover</w:t>
      </w:r>
      <w:r w:rsidR="00AA71F3">
        <w:t xml:space="preserve"> </w:t>
      </w:r>
      <w:r w:rsidR="00C86097" w:rsidRPr="00C86097">
        <w:t>the period from 15 November 2024 until 31 December 2027.</w:t>
      </w:r>
    </w:p>
  </w:footnote>
  <w:footnote w:id="24">
    <w:p w14:paraId="2B66CC41" w14:textId="28BB9ED9" w:rsidR="00D60CDA" w:rsidRPr="00D60CDA" w:rsidRDefault="00D60CDA">
      <w:pPr>
        <w:pStyle w:val="FootnoteText"/>
      </w:pPr>
      <w:r w:rsidRPr="00D60CDA">
        <w:rPr>
          <w:rStyle w:val="FootnoteReference"/>
        </w:rPr>
        <w:footnoteRef/>
      </w:r>
      <w:r w:rsidR="00F74E46">
        <w:tab/>
      </w:r>
      <w:r w:rsidRPr="00D60CDA">
        <w:t>Note that the BM emission factor is always calculated for a calendar year </w:t>
      </w:r>
      <w:r w:rsidRPr="0059556B">
        <w:rPr>
          <w:i/>
        </w:rPr>
        <w:t>y</w:t>
      </w:r>
      <w:r w:rsidRPr="00D60CDA">
        <w:t xml:space="preserve"> of the crediting period. </w:t>
      </w:r>
      <w:r w:rsidR="00A82AE3">
        <w:t>Where the OM emission factor is determined on an hourly basis, the annual value of the BM emission factor may be applied to each hour </w:t>
      </w:r>
      <w:r w:rsidR="00A82AE3" w:rsidRPr="0059556B">
        <w:rPr>
          <w:i/>
        </w:rPr>
        <w:t>h</w:t>
      </w:r>
      <w:r w:rsidR="00A82AE3">
        <w:t>.</w:t>
      </w:r>
    </w:p>
  </w:footnote>
  <w:footnote w:id="25">
    <w:p w14:paraId="7BC7730A" w14:textId="3C1F2669" w:rsidR="00511431" w:rsidRDefault="00511431">
      <w:pPr>
        <w:pStyle w:val="FootnoteText"/>
      </w:pPr>
      <w:r>
        <w:rPr>
          <w:rStyle w:val="FootnoteReference"/>
        </w:rPr>
        <w:footnoteRef/>
      </w:r>
      <w:r>
        <w:rPr>
          <w:lang w:val="en-US"/>
        </w:rPr>
        <w:tab/>
      </w:r>
      <w:r w:rsidRPr="00511431">
        <w:rPr>
          <w:lang w:val="en-US"/>
        </w:rPr>
        <w:t>Mechanism methodologies may, for example, specify more narrow ranges of the values for specific technologies or circumstances, such as different ranges for different types of renewable power generation technologies (e.g. wind power, solar PV, wind power, reflecting their likely) or different circumstances (e.g. availability of solar radiation or the share of renewable electricity generation).</w:t>
      </w:r>
    </w:p>
  </w:footnote>
  <w:footnote w:id="26">
    <w:p w14:paraId="12057059" w14:textId="65231107" w:rsidR="00511431" w:rsidRDefault="00511431">
      <w:pPr>
        <w:pStyle w:val="FootnoteText"/>
      </w:pPr>
      <w:r>
        <w:rPr>
          <w:rStyle w:val="FootnoteReference"/>
        </w:rPr>
        <w:footnoteRef/>
      </w:r>
      <w:r>
        <w:rPr>
          <w:lang w:val="en-US"/>
        </w:rPr>
        <w:tab/>
      </w:r>
      <w:r w:rsidR="006B2C4A" w:rsidRPr="006B2C4A">
        <w:rPr>
          <w:lang w:val="en-US"/>
        </w:rPr>
        <w:t>These values are based on an expert judgment by the MEP which is informed by an assessment of the ‘capacity value’ of different types of power units based on the literature. The ‘capacity value’ reflects contribution a generation resource makes to grid reliability. It is here assumed that non-intermittent power units have a higher capacity value and therefore affect the BM emission factor more strongly.</w:t>
      </w:r>
    </w:p>
  </w:footnote>
  <w:footnote w:id="27">
    <w:p w14:paraId="7034BF1F" w14:textId="79C1DB93" w:rsidR="00DD734D" w:rsidRDefault="00DD734D">
      <w:pPr>
        <w:pStyle w:val="FootnoteText"/>
      </w:pPr>
      <w:r>
        <w:rPr>
          <w:rStyle w:val="FootnoteReference"/>
        </w:rPr>
        <w:footnoteRef/>
      </w:r>
      <w:r>
        <w:tab/>
      </w:r>
      <w:r w:rsidRPr="00042B20">
        <w:t>Calculated as 1.3 t</w:t>
      </w:r>
      <w:r w:rsidR="0045644E">
        <w:t> </w:t>
      </w:r>
      <w:r w:rsidRPr="00042B20">
        <w:t>CO</w:t>
      </w:r>
      <w:r w:rsidRPr="00042B20">
        <w:rPr>
          <w:vertAlign w:val="subscript"/>
        </w:rPr>
        <w:t>2</w:t>
      </w:r>
      <w:r w:rsidRPr="00042B20">
        <w:t>/MWh</w:t>
      </w:r>
      <w:r>
        <w:t xml:space="preserve"> x 1</w:t>
      </w:r>
      <w:r w:rsidRPr="00042B20">
        <w:t>/3</w:t>
      </w:r>
      <w:r>
        <w:t>.</w:t>
      </w:r>
    </w:p>
  </w:footnote>
  <w:footnote w:id="28">
    <w:p w14:paraId="21B6B6E7" w14:textId="43842FD2" w:rsidR="00042B20" w:rsidRDefault="00042B20">
      <w:pPr>
        <w:pStyle w:val="FootnoteText"/>
      </w:pPr>
      <w:r>
        <w:rPr>
          <w:rStyle w:val="FootnoteReference"/>
        </w:rPr>
        <w:footnoteRef/>
      </w:r>
      <w:r w:rsidR="00F74E46">
        <w:tab/>
      </w:r>
      <w:r w:rsidRPr="00042B20">
        <w:t>Calculated as 1.3 t</w:t>
      </w:r>
      <w:r w:rsidR="0045644E">
        <w:t> </w:t>
      </w:r>
      <w:r w:rsidRPr="00042B20">
        <w:t>CO</w:t>
      </w:r>
      <w:r w:rsidRPr="00042B20">
        <w:rPr>
          <w:vertAlign w:val="subscript"/>
        </w:rPr>
        <w:t>2</w:t>
      </w:r>
      <w:r w:rsidRPr="00042B20">
        <w:t>/MWh</w:t>
      </w:r>
      <w:r>
        <w:t xml:space="preserve"> x </w:t>
      </w:r>
      <w:r w:rsidRPr="00042B20">
        <w:t>2/3</w:t>
      </w:r>
      <w:r w:rsidR="00DE20B4">
        <w:t>.</w:t>
      </w:r>
    </w:p>
  </w:footnote>
  <w:footnote w:id="29">
    <w:p w14:paraId="28F71DED" w14:textId="287C1D2B" w:rsidR="00042B20" w:rsidRDefault="00042B20">
      <w:pPr>
        <w:pStyle w:val="FootnoteText"/>
      </w:pPr>
      <w:r>
        <w:rPr>
          <w:rStyle w:val="FootnoteReference"/>
        </w:rPr>
        <w:footnoteRef/>
      </w:r>
      <w:r w:rsidR="00F74E46">
        <w:tab/>
      </w:r>
      <w:r w:rsidR="00E209AA">
        <w:t xml:space="preserve">This value represents a </w:t>
      </w:r>
      <w:r w:rsidRPr="00042B20">
        <w:t xml:space="preserve">conservative </w:t>
      </w:r>
      <w:r w:rsidR="001F1283">
        <w:t xml:space="preserve">(i.e. </w:t>
      </w:r>
      <w:r w:rsidRPr="00042B20">
        <w:t xml:space="preserve">higher </w:t>
      </w:r>
      <w:r w:rsidR="005E11F9">
        <w:t>end</w:t>
      </w:r>
      <w:r w:rsidR="00610865">
        <w:t>)</w:t>
      </w:r>
      <w:r w:rsidRPr="00042B20">
        <w:t xml:space="preserve"> value </w:t>
      </w:r>
      <w:r w:rsidR="00E209AA">
        <w:t>for</w:t>
      </w:r>
      <w:r w:rsidR="00E209AA" w:rsidRPr="00042B20">
        <w:t xml:space="preserve"> </w:t>
      </w:r>
      <w:r w:rsidRPr="00042B20">
        <w:t xml:space="preserve">the emission intensity of </w:t>
      </w:r>
      <w:r w:rsidR="001F1283">
        <w:t>coal</w:t>
      </w:r>
      <w:r w:rsidRPr="00042B20">
        <w:t xml:space="preserve"> power </w:t>
      </w:r>
      <w:r w:rsidR="001F1283">
        <w:t>generation</w:t>
      </w:r>
      <w:r w:rsidR="0021793D">
        <w:t xml:space="preserve"> (see </w:t>
      </w:r>
      <w:r w:rsidR="003C1CC0">
        <w:fldChar w:fldCharType="begin"/>
      </w:r>
      <w:r w:rsidR="003C1CC0">
        <w:instrText xml:space="preserve"> REF _Ref220950638 \h </w:instrText>
      </w:r>
      <w:r w:rsidR="003C1CC0">
        <w:fldChar w:fldCharType="separate"/>
      </w:r>
      <w:r w:rsidR="00D811A8">
        <w:t>Table </w:t>
      </w:r>
      <w:r w:rsidR="00D811A8">
        <w:rPr>
          <w:noProof/>
        </w:rPr>
        <w:t>3</w:t>
      </w:r>
      <w:r w:rsidR="003C1CC0">
        <w:fldChar w:fldCharType="end"/>
      </w:r>
      <w:r w:rsidR="0021793D" w:rsidRPr="004D2236">
        <w:t>)</w:t>
      </w:r>
      <w:r w:rsidRPr="004D2236">
        <w:t>.</w:t>
      </w:r>
    </w:p>
  </w:footnote>
  <w:footnote w:id="30">
    <w:p w14:paraId="21ED8CD0" w14:textId="410021EC" w:rsidR="006B2C4A" w:rsidRDefault="006B2C4A">
      <w:pPr>
        <w:pStyle w:val="FootnoteText"/>
      </w:pPr>
      <w:r>
        <w:rPr>
          <w:rStyle w:val="FootnoteReference"/>
        </w:rPr>
        <w:footnoteRef/>
      </w:r>
      <w:r>
        <w:rPr>
          <w:lang w:val="en-US"/>
        </w:rPr>
        <w:tab/>
      </w:r>
      <w:r w:rsidRPr="006B2C4A">
        <w:rPr>
          <w:lang w:val="en-US"/>
        </w:rPr>
        <w:t>Where case</w:t>
      </w:r>
      <w:r w:rsidR="0024266E">
        <w:rPr>
          <w:lang w:val="en-US"/>
        </w:rPr>
        <w:t> </w:t>
      </w:r>
      <w:r w:rsidRPr="006B2C4A">
        <w:rPr>
          <w:lang w:val="en-US"/>
        </w:rPr>
        <w:t>1 applies and the electricity generation source is intermittent, or the electricity consumption source depends on intermittent generation, the default values in paragraph</w:t>
      </w:r>
      <w:r w:rsidR="00371E1E">
        <w:rPr>
          <w:lang w:val="en-US"/>
        </w:rPr>
        <w:t> </w:t>
      </w:r>
      <w:r w:rsidRPr="006B2C4A">
        <w:rPr>
          <w:cs/>
          <w:lang w:val="en-US"/>
        </w:rPr>
        <w:t>‎</w:t>
      </w:r>
      <w:r w:rsidRPr="006B2C4A">
        <w:rPr>
          <w:lang w:val="en-US"/>
        </w:rPr>
        <w:t>106 are not necessarily conservative. This is illustrated through the following example: an electricity system consists of 40% hydro power, 10% wind power, and 50% coal power generation. A hydrogen production plant mainly uses electricity from a dedicated wind power plant and complements this by electricity generation from the electricity system when wind power is not available. In this configuration it is likely that the electricity consumed mostly stems from coal power generation. However, the applicable emission factor of 0.87 t</w:t>
      </w:r>
      <w:r w:rsidR="0033417D">
        <w:rPr>
          <w:lang w:val="en-US"/>
        </w:rPr>
        <w:t> </w:t>
      </w:r>
      <w:r w:rsidRPr="006B2C4A">
        <w:rPr>
          <w:lang w:val="en-US"/>
        </w:rPr>
        <w:t>CO2e/MWh is calculated based on the assumption that at least one third of the electricity consumed is from renewable or nuclear power plants and may not be conservative if all electricity is consumed from coal power plants. Therefore, a conservative value of 1.3 t</w:t>
      </w:r>
      <w:r w:rsidR="0033417D">
        <w:rPr>
          <w:lang w:val="en-US"/>
        </w:rPr>
        <w:t> </w:t>
      </w:r>
      <w:r w:rsidRPr="006B2C4A">
        <w:rPr>
          <w:lang w:val="en-US"/>
        </w:rPr>
        <w:t>CO2e/MWh is used in this case under Option</w:t>
      </w:r>
      <w:r w:rsidR="00FE0895">
        <w:rPr>
          <w:lang w:val="en-US"/>
        </w:rPr>
        <w:t> </w:t>
      </w:r>
      <w:r w:rsidRPr="006B2C4A">
        <w:rPr>
          <w:lang w:val="en-US"/>
        </w:rPr>
        <w:t>B.</w:t>
      </w:r>
    </w:p>
  </w:footnote>
  <w:footnote w:id="31">
    <w:p w14:paraId="2B43C645" w14:textId="55EBB21D" w:rsidR="00FF1471" w:rsidRDefault="00FF1471">
      <w:pPr>
        <w:pStyle w:val="FootnoteText"/>
      </w:pPr>
      <w:r>
        <w:rPr>
          <w:rStyle w:val="FootnoteReference"/>
        </w:rPr>
        <w:footnoteRef/>
      </w:r>
      <w:r w:rsidR="00F74E46">
        <w:tab/>
      </w:r>
      <w:r>
        <w:t>Calculated as 0.3 t</w:t>
      </w:r>
      <w:r w:rsidR="00B23B70">
        <w:t> </w:t>
      </w:r>
      <w:r>
        <w:t>CO</w:t>
      </w:r>
      <w:r w:rsidRPr="00393D05">
        <w:rPr>
          <w:vertAlign w:val="subscript"/>
        </w:rPr>
        <w:t>2</w:t>
      </w:r>
      <w:r>
        <w:t>/MWh</w:t>
      </w:r>
      <w:r w:rsidR="00393D05">
        <w:t xml:space="preserve"> x </w:t>
      </w:r>
      <w:r>
        <w:t>2/3</w:t>
      </w:r>
      <w:r w:rsidR="00EA115B">
        <w:t>.</w:t>
      </w:r>
      <w:r w:rsidR="002101C3">
        <w:t xml:space="preserve"> </w:t>
      </w:r>
      <w:r w:rsidR="0021793D">
        <w:t>The value of 0.3 t CO</w:t>
      </w:r>
      <w:r w:rsidR="0021793D" w:rsidRPr="00393D05">
        <w:rPr>
          <w:vertAlign w:val="subscript"/>
        </w:rPr>
        <w:t>2</w:t>
      </w:r>
      <w:r w:rsidR="0021793D">
        <w:t xml:space="preserve">/MWh represents a conservative (i.e. lower end) value for the </w:t>
      </w:r>
      <w:r w:rsidR="0021793D" w:rsidRPr="000E02F0">
        <w:rPr>
          <w:lang w:val="en-US"/>
        </w:rPr>
        <w:t>CO</w:t>
      </w:r>
      <w:r w:rsidR="0021793D" w:rsidRPr="000E02F0">
        <w:rPr>
          <w:vertAlign w:val="subscript"/>
          <w:lang w:val="en-US"/>
        </w:rPr>
        <w:t>2</w:t>
      </w:r>
      <w:r w:rsidR="0021793D">
        <w:t xml:space="preserve"> emissions intensity of a natural gas power plant (see </w:t>
      </w:r>
      <w:r w:rsidR="005A4E54">
        <w:fldChar w:fldCharType="begin"/>
      </w:r>
      <w:r w:rsidR="005A4E54">
        <w:instrText xml:space="preserve"> REF _Ref220950638 \h </w:instrText>
      </w:r>
      <w:r w:rsidR="005A4E54">
        <w:fldChar w:fldCharType="separate"/>
      </w:r>
      <w:r w:rsidR="00D811A8">
        <w:t>Table </w:t>
      </w:r>
      <w:r w:rsidR="00D811A8">
        <w:rPr>
          <w:noProof/>
        </w:rPr>
        <w:t>3</w:t>
      </w:r>
      <w:r w:rsidR="005A4E54">
        <w:fldChar w:fldCharType="end"/>
      </w:r>
      <w:r w:rsidR="0021793D">
        <w:t>).</w:t>
      </w:r>
    </w:p>
  </w:footnote>
  <w:footnote w:id="32">
    <w:p w14:paraId="621A0F3E" w14:textId="06E1B3E6" w:rsidR="00393D05" w:rsidRDefault="00393D05">
      <w:pPr>
        <w:pStyle w:val="FootnoteText"/>
      </w:pPr>
      <w:r>
        <w:rPr>
          <w:rStyle w:val="FootnoteReference"/>
        </w:rPr>
        <w:footnoteRef/>
      </w:r>
      <w:r w:rsidR="00F74E46">
        <w:tab/>
      </w:r>
      <w:r w:rsidRPr="00393D05">
        <w:t>Calculated as 0.3 t</w:t>
      </w:r>
      <w:r w:rsidR="00B23B70">
        <w:t> </w:t>
      </w:r>
      <w:r w:rsidRPr="00393D05">
        <w:t>CO</w:t>
      </w:r>
      <w:r w:rsidRPr="00393D05">
        <w:rPr>
          <w:vertAlign w:val="subscript"/>
        </w:rPr>
        <w:t>2</w:t>
      </w:r>
      <w:r w:rsidRPr="00393D05">
        <w:t>/MWh</w:t>
      </w:r>
      <w:r>
        <w:t xml:space="preserve"> x </w:t>
      </w:r>
      <w:r w:rsidRPr="00393D05">
        <w:t>1/3</w:t>
      </w:r>
      <w:r w:rsidR="00EA115B">
        <w:t>.</w:t>
      </w:r>
    </w:p>
  </w:footnote>
  <w:footnote w:id="33">
    <w:p w14:paraId="1CC7B6FC" w14:textId="494D382A" w:rsidR="0028439B" w:rsidRDefault="0028439B">
      <w:pPr>
        <w:pStyle w:val="FootnoteText"/>
      </w:pPr>
      <w:r>
        <w:rPr>
          <w:rStyle w:val="FootnoteReference"/>
        </w:rPr>
        <w:footnoteRef/>
      </w:r>
      <w:r w:rsidR="00F74E46">
        <w:tab/>
      </w:r>
      <w:r w:rsidR="00AD4422">
        <w:t xml:space="preserve">This value is based on </w:t>
      </w:r>
      <w:r w:rsidRPr="0028439B">
        <w:t>upstream emissions from solar PV power plant</w:t>
      </w:r>
      <w:r w:rsidR="00F57037">
        <w:t>s as reported in</w:t>
      </w:r>
      <w:r w:rsidRPr="0028439B" w:rsidDel="00F57037">
        <w:t xml:space="preserve"> </w:t>
      </w:r>
      <w:r w:rsidRPr="0028439B">
        <w:rPr>
          <w:i/>
          <w:iCs/>
        </w:rPr>
        <w:t>Life Cycle Greenhouse Gas Emissions from Concentrating Solar Power</w:t>
      </w:r>
      <w:r>
        <w:rPr>
          <w:i/>
          <w:iCs/>
        </w:rPr>
        <w:t>,</w:t>
      </w:r>
      <w:r w:rsidRPr="0028439B">
        <w:t xml:space="preserve"> </w:t>
      </w:r>
      <w:r w:rsidR="00F57037">
        <w:t>published</w:t>
      </w:r>
      <w:r w:rsidRPr="0028439B">
        <w:t xml:space="preserve"> by </w:t>
      </w:r>
      <w:r w:rsidR="00810A60">
        <w:t>the National Renewable Energy Laboratory (</w:t>
      </w:r>
      <w:r w:rsidRPr="0028439B">
        <w:t>NREL</w:t>
      </w:r>
      <w:r w:rsidR="00810A60">
        <w:t>)</w:t>
      </w:r>
      <w:r w:rsidR="00EA115B">
        <w:t>.</w:t>
      </w:r>
    </w:p>
  </w:footnote>
  <w:footnote w:id="34">
    <w:p w14:paraId="207771D0" w14:textId="679BE036" w:rsidR="00B16C25" w:rsidRDefault="00B16C25">
      <w:pPr>
        <w:pStyle w:val="FootnoteText"/>
      </w:pPr>
      <w:r>
        <w:rPr>
          <w:rStyle w:val="FootnoteReference"/>
        </w:rPr>
        <w:footnoteRef/>
      </w:r>
      <w:r>
        <w:rPr>
          <w:lang w:val="en-US"/>
        </w:rPr>
        <w:tab/>
      </w:r>
      <w:r w:rsidRPr="00B16C25">
        <w:rPr>
          <w:lang w:val="en-US"/>
        </w:rPr>
        <w:t>Source: IEC 60038:2009 - IEC standard voltages</w:t>
      </w:r>
      <w:r>
        <w:rPr>
          <w:lang w:val="en-US"/>
        </w:rPr>
        <w:t>.</w:t>
      </w:r>
    </w:p>
  </w:footnote>
  <w:footnote w:id="35">
    <w:p w14:paraId="34C3A5E2" w14:textId="77777777" w:rsidR="00D9066E" w:rsidRDefault="00D9066E">
      <w:pPr>
        <w:pStyle w:val="FootnoteText"/>
      </w:pPr>
      <w:r>
        <w:rPr>
          <w:rStyle w:val="FootnoteReference"/>
        </w:rPr>
        <w:footnoteRef/>
      </w:r>
      <w:r>
        <w:tab/>
        <w:t>Conditions defined as 0ºC (273.15 K, 32ºF) and 1 atm (101.325 kN/m2, 101.325 kPa, 14.69 psia, 29.92 in Hg, 760 torr).</w:t>
      </w:r>
    </w:p>
  </w:footnote>
  <w:footnote w:id="36">
    <w:p w14:paraId="2AA499F9" w14:textId="27896877" w:rsidR="00BB5C1D" w:rsidRDefault="00EC2B1A">
      <w:pPr>
        <w:pStyle w:val="FootnoteText"/>
      </w:pPr>
      <w:r>
        <w:rPr>
          <w:rStyle w:val="FootnoteReference"/>
        </w:rPr>
        <w:footnoteRef/>
      </w:r>
      <w:r w:rsidRPr="00BB5C1D">
        <w:rPr>
          <w:lang w:val="en-US"/>
        </w:rPr>
        <w:tab/>
        <w:t>In the case of electricity systems involving more than one country, an average value, weighted by electricity generation, from the relevant countries shall be used instead of a country-specific value.</w:t>
      </w:r>
    </w:p>
  </w:footnote>
  <w:footnote w:id="37">
    <w:p w14:paraId="081245BE" w14:textId="676D4255" w:rsidR="00EC2B1A" w:rsidRPr="00C178B6" w:rsidRDefault="00EC2B1A">
      <w:pPr>
        <w:pStyle w:val="FootnoteText"/>
        <w:rPr>
          <w:rFonts w:eastAsia="MS Mincho"/>
          <w:lang w:val="en-US" w:eastAsia="ja-JP"/>
        </w:rPr>
      </w:pPr>
      <w:r>
        <w:rPr>
          <w:rStyle w:val="FootnoteReference"/>
        </w:rPr>
        <w:footnoteRef/>
      </w:r>
      <w:r w:rsidRPr="00F9319A">
        <w:rPr>
          <w:lang w:val="en-US"/>
        </w:rPr>
        <w:tab/>
      </w:r>
      <w:r w:rsidR="0090424D" w:rsidRPr="00CB3FB8">
        <w:rPr>
          <w:rFonts w:eastAsia="MS Mincho"/>
          <w:lang w:eastAsia="ja-JP"/>
        </w:rPr>
        <w:t>Ember’s country-level electricity dataset</w:t>
      </w:r>
      <w:r w:rsidR="00E82F00" w:rsidRPr="00F9319A">
        <w:rPr>
          <w:rFonts w:eastAsia="MS Mincho" w:hint="eastAsia"/>
          <w:lang w:eastAsia="ja-JP"/>
        </w:rPr>
        <w:t xml:space="preserve"> </w:t>
      </w:r>
      <w:r w:rsidR="00E82F00" w:rsidRPr="00F1546D">
        <w:rPr>
          <w:rFonts w:eastAsia="MS Mincho" w:hint="eastAsia"/>
          <w:lang w:eastAsia="ja-JP"/>
        </w:rPr>
        <w:t>(</w:t>
      </w:r>
      <w:r w:rsidR="00F9319A" w:rsidRPr="00F1546D">
        <w:rPr>
          <w:rFonts w:eastAsia="MS Mincho" w:hint="eastAsia"/>
          <w:lang w:eastAsia="ja-JP"/>
        </w:rPr>
        <w:t>a</w:t>
      </w:r>
      <w:r w:rsidR="00E82F00" w:rsidRPr="00F1546D">
        <w:rPr>
          <w:rFonts w:eastAsia="MS Mincho"/>
          <w:lang w:val="en-US" w:eastAsia="ja-JP"/>
        </w:rPr>
        <w:t>nnual power sector CO</w:t>
      </w:r>
      <w:r w:rsidR="00E82F00" w:rsidRPr="00F1546D">
        <w:rPr>
          <w:rFonts w:ascii="Cambria Math" w:eastAsia="MS Mincho" w:hAnsi="Cambria Math" w:cs="Cambria Math"/>
          <w:lang w:val="en-US" w:eastAsia="ja-JP"/>
        </w:rPr>
        <w:t>₂</w:t>
      </w:r>
      <w:r w:rsidR="00E82F00" w:rsidRPr="00F1546D">
        <w:rPr>
          <w:rFonts w:eastAsia="MS Mincho"/>
          <w:lang w:val="en-US" w:eastAsia="ja-JP"/>
        </w:rPr>
        <w:t xml:space="preserve"> emissions</w:t>
      </w:r>
      <w:r w:rsidR="00F9319A" w:rsidRPr="00F1546D">
        <w:rPr>
          <w:rFonts w:eastAsia="MS Mincho" w:hint="eastAsia"/>
          <w:lang w:val="en-US" w:eastAsia="ja-JP"/>
        </w:rPr>
        <w:t xml:space="preserve">, </w:t>
      </w:r>
      <w:r w:rsidR="00CB3FB8" w:rsidRPr="00F1546D">
        <w:rPr>
          <w:rFonts w:eastAsia="MS Mincho" w:hint="eastAsia"/>
          <w:lang w:val="en-US" w:eastAsia="ja-JP"/>
        </w:rPr>
        <w:t>a</w:t>
      </w:r>
      <w:r w:rsidR="00E82F00" w:rsidRPr="00F1546D">
        <w:rPr>
          <w:rFonts w:eastAsia="MS Mincho"/>
          <w:lang w:val="en-US" w:eastAsia="ja-JP"/>
        </w:rPr>
        <w:t>nnual electricity generation by source</w:t>
      </w:r>
      <w:r w:rsidR="00F9319A" w:rsidRPr="00F1546D">
        <w:rPr>
          <w:rFonts w:eastAsia="MS Mincho" w:hint="eastAsia"/>
          <w:lang w:val="en-US" w:eastAsia="ja-JP"/>
        </w:rPr>
        <w:t>, and a</w:t>
      </w:r>
      <w:r w:rsidR="00E82F00" w:rsidRPr="00F1546D">
        <w:rPr>
          <w:rFonts w:eastAsia="MS Mincho"/>
          <w:lang w:val="en-US" w:eastAsia="ja-JP"/>
        </w:rPr>
        <w:t>nnual capacity additions by technology</w:t>
      </w:r>
      <w:r w:rsidR="00E82F00" w:rsidRPr="00F1546D">
        <w:rPr>
          <w:rFonts w:eastAsia="MS Mincho" w:hint="eastAsia"/>
          <w:lang w:eastAsia="ja-JP"/>
        </w:rPr>
        <w:t>)</w:t>
      </w:r>
      <w:r w:rsidR="0090424D" w:rsidRPr="00F1546D">
        <w:rPr>
          <w:rFonts w:eastAsia="MS Mincho"/>
          <w:lang w:eastAsia="ja-JP"/>
        </w:rPr>
        <w:t>,</w:t>
      </w:r>
      <w:r w:rsidR="0090424D" w:rsidRPr="00F9319A">
        <w:rPr>
          <w:rFonts w:eastAsia="MS Mincho"/>
          <w:lang w:eastAsia="ja-JP"/>
        </w:rPr>
        <w:t xml:space="preserve"> downloaded directly from the Ember data visualizer (2024 release)</w:t>
      </w:r>
      <w:r w:rsidR="0090424D" w:rsidRPr="00F9319A">
        <w:rPr>
          <w:rFonts w:eastAsia="MS Mincho" w:hint="eastAsia"/>
          <w:lang w:eastAsia="ja-JP"/>
        </w:rPr>
        <w:t xml:space="preserve"> was used for the analysis. </w:t>
      </w:r>
      <w:r w:rsidR="002F4AAA" w:rsidRPr="00F9319A">
        <w:rPr>
          <w:lang w:val="en-US"/>
        </w:rPr>
        <w:t xml:space="preserve">See </w:t>
      </w:r>
      <w:hyperlink r:id="rId4" w:history="1">
        <w:r w:rsidR="00C704CD" w:rsidRPr="00F9319A">
          <w:rPr>
            <w:rStyle w:val="Hyperlink"/>
            <w:lang w:val="en-US"/>
          </w:rPr>
          <w:t>https://ember-energy.org/data/</w:t>
        </w:r>
      </w:hyperlink>
      <w:r w:rsidRPr="00F9319A">
        <w:rPr>
          <w:lang w:val="en-US"/>
        </w:rPr>
        <w:t>.</w:t>
      </w:r>
    </w:p>
  </w:footnote>
  <w:footnote w:id="38">
    <w:p w14:paraId="3ED8E910" w14:textId="53EDBD2B" w:rsidR="00FE7104" w:rsidRDefault="00FE7104">
      <w:pPr>
        <w:pStyle w:val="FootnoteText"/>
      </w:pPr>
      <w:r>
        <w:rPr>
          <w:rStyle w:val="FootnoteReference"/>
        </w:rPr>
        <w:footnoteRef/>
      </w:r>
      <w:r w:rsidR="005E746A">
        <w:tab/>
      </w:r>
      <w:r w:rsidRPr="00BB5C1D">
        <w:t>The values contained in this table are calculated using a specific data set and methodological approach applicable only within the context of this tool. They do not constitute official factors, benchmarks, or standardized reference values and shall not be used or cited beyond the implementation of this methodological tool unless explicitly adopted through a separate decision of the Supervisory Body. Where permitted under this tool, proponents retain the option to apply the prescribed global default values instead of the country-specific values listed herein.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5CC6D" w14:textId="77777777" w:rsidR="00342FAF" w:rsidRDefault="00342FAF">
    <w:pPr>
      <w:pStyle w:val="Header"/>
    </w:pPr>
  </w:p>
  <w:p w14:paraId="66475837" w14:textId="77777777" w:rsidR="00342FAF" w:rsidRDefault="00342F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EE031" w14:textId="2173FF34" w:rsidR="00D70C47" w:rsidRPr="00042BCD" w:rsidRDefault="00F42D86" w:rsidP="00F74E46">
    <w:pPr>
      <w:pStyle w:val="SDMTiHead"/>
      <w:pBdr>
        <w:bottom w:val="single" w:sz="24" w:space="10" w:color="auto"/>
      </w:pBdr>
      <w:tabs>
        <w:tab w:val="clear" w:pos="4320"/>
        <w:tab w:val="clear" w:pos="8640"/>
      </w:tabs>
      <w:spacing w:after="240"/>
      <w:ind w:left="0" w:firstLine="0"/>
      <w:rPr>
        <w:szCs w:val="22"/>
      </w:rPr>
    </w:pPr>
    <w:r>
      <w:rPr>
        <w:lang w:val="de-DE"/>
      </w:rPr>
      <w:t>ARTICLE 6.4 MECHANISM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2251A" w14:textId="438839BA" w:rsidR="00C74D24" w:rsidRPr="005A3A16" w:rsidRDefault="00732581" w:rsidP="00C74D24">
    <w:pPr>
      <w:pBdr>
        <w:bottom w:val="single" w:sz="4" w:space="10" w:color="auto"/>
      </w:pBdr>
      <w:tabs>
        <w:tab w:val="right" w:pos="9356"/>
        <w:tab w:val="right" w:pos="14288"/>
      </w:tabs>
      <w:rPr>
        <w:rFonts w:eastAsia="MS Mincho" w:cs="Arial"/>
        <w:sz w:val="20"/>
        <w:szCs w:val="16"/>
      </w:rPr>
    </w:pPr>
    <w:r>
      <w:rPr>
        <w:rFonts w:eastAsia="MS Mincho" w:cs="Arial"/>
        <w:sz w:val="20"/>
        <w:szCs w:val="16"/>
      </w:rPr>
      <w:t>A6.4-</w:t>
    </w:r>
    <w:r w:rsidR="001B3DB5">
      <w:rPr>
        <w:rFonts w:eastAsia="MS Mincho" w:cs="Arial"/>
        <w:sz w:val="20"/>
        <w:szCs w:val="16"/>
      </w:rPr>
      <w:t>AMT</w:t>
    </w:r>
    <w:r>
      <w:rPr>
        <w:rFonts w:eastAsia="MS Mincho" w:cs="Arial"/>
        <w:sz w:val="20"/>
        <w:szCs w:val="16"/>
      </w:rPr>
      <w:t>-</w:t>
    </w:r>
    <w:r w:rsidR="001B3DB5">
      <w:rPr>
        <w:rFonts w:eastAsia="MS Mincho" w:cs="Arial"/>
        <w:sz w:val="20"/>
        <w:szCs w:val="16"/>
      </w:rPr>
      <w:t>0</w:t>
    </w:r>
    <w:r>
      <w:rPr>
        <w:rFonts w:eastAsia="MS Mincho" w:cs="Arial"/>
        <w:sz w:val="20"/>
        <w:szCs w:val="16"/>
      </w:rPr>
      <w:t>07</w:t>
    </w:r>
    <w:r w:rsidR="00C74D24" w:rsidRPr="005A3A16">
      <w:rPr>
        <w:rFonts w:eastAsia="MS Mincho" w:cs="Arial"/>
        <w:sz w:val="20"/>
        <w:szCs w:val="16"/>
      </w:rPr>
      <w:fldChar w:fldCharType="begin"/>
    </w:r>
    <w:r w:rsidR="00C74D24" w:rsidRPr="005A3A16">
      <w:rPr>
        <w:rFonts w:eastAsia="MS Mincho" w:cs="Arial"/>
        <w:sz w:val="20"/>
        <w:szCs w:val="16"/>
      </w:rPr>
      <w:instrText xml:space="preserve"> REF  SDMDocRef \* Upper \h  \* MERGEFORMAT </w:instrText>
    </w:r>
    <w:r w:rsidR="00C74D24" w:rsidRPr="005A3A16">
      <w:rPr>
        <w:rFonts w:eastAsia="MS Mincho" w:cs="Arial"/>
        <w:sz w:val="20"/>
        <w:szCs w:val="16"/>
      </w:rPr>
    </w:r>
    <w:r w:rsidR="00C74D24" w:rsidRPr="005A3A16">
      <w:rPr>
        <w:rFonts w:eastAsia="MS Mincho" w:cs="Arial"/>
        <w:sz w:val="20"/>
        <w:szCs w:val="16"/>
      </w:rPr>
      <w:fldChar w:fldCharType="end"/>
    </w:r>
    <w:r w:rsidR="00C74D24" w:rsidRPr="005A3A16">
      <w:rPr>
        <w:rFonts w:eastAsia="MS Mincho" w:cs="Arial"/>
        <w:sz w:val="20"/>
        <w:szCs w:val="16"/>
      </w:rPr>
      <w:tab/>
    </w:r>
    <w:r w:rsidR="00C74D24" w:rsidRPr="005A3A16">
      <w:rPr>
        <w:rFonts w:eastAsia="MS Mincho" w:cs="Arial"/>
        <w:sz w:val="20"/>
        <w:szCs w:val="16"/>
      </w:rPr>
      <w:fldChar w:fldCharType="begin"/>
    </w:r>
    <w:r w:rsidR="00C74D24" w:rsidRPr="005A3A16">
      <w:rPr>
        <w:rFonts w:eastAsia="MS Mincho" w:cs="Arial"/>
        <w:sz w:val="20"/>
        <w:szCs w:val="16"/>
      </w:rPr>
      <w:instrText xml:space="preserve"> REF  SDMConfidentialMark \* Upper \h  \* MERGEFORMAT </w:instrText>
    </w:r>
    <w:r w:rsidR="00C74D24" w:rsidRPr="005A3A16">
      <w:rPr>
        <w:rFonts w:eastAsia="MS Mincho" w:cs="Arial"/>
        <w:sz w:val="20"/>
        <w:szCs w:val="16"/>
      </w:rPr>
    </w:r>
    <w:r w:rsidR="00C74D24" w:rsidRPr="005A3A16">
      <w:rPr>
        <w:rFonts w:eastAsia="MS Mincho" w:cs="Arial"/>
        <w:sz w:val="20"/>
        <w:szCs w:val="16"/>
      </w:rPr>
      <w:fldChar w:fldCharType="separate"/>
    </w:r>
    <w:sdt>
      <w:sdtPr>
        <w:rPr>
          <w:rFonts w:eastAsia="MS Mincho" w:cs="Arial"/>
          <w:sz w:val="20"/>
          <w:szCs w:val="16"/>
        </w:rPr>
        <w:alias w:val="SDMConfidentialMark"/>
        <w:tag w:val="SDMConfidentialMark"/>
        <w:id w:val="-88462405"/>
        <w:lock w:val="sdtLocked"/>
        <w:placeholder>
          <w:docPart w:val="624987881C1B4EB5945831160BC36DD2"/>
        </w:placeholder>
        <w:dropDownList>
          <w:listItem w:displayText="Confidential" w:value="Confidential"/>
          <w:listItem w:displayText=" " w:value="  "/>
        </w:dropDownList>
      </w:sdtPr>
      <w:sdtContent>
        <w:r w:rsidR="00D811A8" w:rsidRPr="00D811A8">
          <w:rPr>
            <w:rFonts w:eastAsia="MS Mincho" w:cs="Arial"/>
            <w:sz w:val="20"/>
            <w:szCs w:val="16"/>
          </w:rPr>
          <w:t>.</w:t>
        </w:r>
      </w:sdtContent>
    </w:sdt>
    <w:r w:rsidR="00C74D24" w:rsidRPr="005A3A16">
      <w:rPr>
        <w:rFonts w:eastAsia="MS Mincho" w:cs="Arial"/>
        <w:sz w:val="20"/>
        <w:szCs w:val="16"/>
      </w:rPr>
      <w:fldChar w:fldCharType="end"/>
    </w:r>
  </w:p>
  <w:p w14:paraId="43CE70FF" w14:textId="77777777" w:rsidR="00D811A8" w:rsidRPr="00D9066E" w:rsidRDefault="0071171A" w:rsidP="00D811A8">
    <w:pPr>
      <w:pBdr>
        <w:bottom w:val="single" w:sz="4" w:space="10" w:color="auto"/>
      </w:pBdr>
      <w:tabs>
        <w:tab w:val="right" w:pos="9356"/>
        <w:tab w:val="right" w:pos="14288"/>
      </w:tabs>
      <w:rPr>
        <w:szCs w:val="22"/>
        <w:lang w:val="en-US"/>
      </w:rPr>
    </w:pPr>
    <w:r w:rsidRPr="002F3B54">
      <w:rPr>
        <w:rFonts w:eastAsia="MS Mincho" w:cs="Arial"/>
        <w:sz w:val="20"/>
        <w:szCs w:val="16"/>
      </w:rPr>
      <w:fldChar w:fldCharType="begin"/>
    </w:r>
    <w:r w:rsidRPr="002F3B54">
      <w:rPr>
        <w:rFonts w:eastAsia="MS Mincho" w:cs="Arial"/>
        <w:sz w:val="20"/>
        <w:szCs w:val="16"/>
      </w:rPr>
      <w:instrText xml:space="preserve"> REF  SDMTitle1 \h  \* MERGEFORMAT </w:instrText>
    </w:r>
    <w:r w:rsidRPr="002F3B54">
      <w:rPr>
        <w:rFonts w:eastAsia="MS Mincho" w:cs="Arial"/>
        <w:sz w:val="20"/>
        <w:szCs w:val="16"/>
      </w:rPr>
    </w:r>
    <w:r w:rsidRPr="002F3B54">
      <w:rPr>
        <w:rFonts w:eastAsia="MS Mincho" w:cs="Arial"/>
        <w:sz w:val="20"/>
        <w:szCs w:val="16"/>
      </w:rPr>
      <w:fldChar w:fldCharType="separate"/>
    </w:r>
    <w:sdt>
      <w:sdtPr>
        <w:rPr>
          <w:rFonts w:eastAsia="MS Mincho" w:cs="Arial"/>
          <w:sz w:val="20"/>
          <w:szCs w:val="16"/>
        </w:rPr>
        <w:alias w:val="SDMTitle1"/>
        <w:tag w:val="SDMTitle1"/>
        <w:id w:val="1102387779"/>
        <w:lock w:val="sdtLocked"/>
        <w:placeholder>
          <w:docPart w:val="D744ED04CA524B09ADB50B039148C09A"/>
        </w:placeholder>
      </w:sdtPr>
      <w:sdtContent>
        <w:sdt>
          <w:sdtPr>
            <w:rPr>
              <w:rFonts w:eastAsia="MS Mincho" w:cs="Arial"/>
              <w:sz w:val="20"/>
              <w:szCs w:val="16"/>
            </w:rPr>
            <w:alias w:val="SDMDocType"/>
            <w:tag w:val="SDMDocType"/>
            <w:id w:val="-1102878934"/>
            <w:lock w:val="sdtContentLocked"/>
            <w:placeholder>
              <w:docPart w:val="AEE7D05D55004FE98C94F02828902EE9"/>
            </w:placeholder>
            <w:dropDownList>
              <w:listItem w:displayText="Standard" w:value="Standard"/>
              <w:listItem w:displayText="Guideline" w:value="Guideline"/>
              <w:listItem w:displayText="Procedure" w:value="Procedure"/>
              <w:listItem w:displayText="Information note" w:value="Information note"/>
              <w:listItem w:displayText="Methodology" w:value="Methodology"/>
              <w:listItem w:displayText="Methodological tool" w:value="Methodological tool"/>
              <w:listItem w:displayText="Meeting report" w:value="Meeting report"/>
            </w:dropDownList>
          </w:sdtPr>
          <w:sdtContent>
            <w:r w:rsidR="00D811A8" w:rsidRPr="00D811A8">
              <w:rPr>
                <w:rFonts w:eastAsia="MS Mincho" w:cs="Arial"/>
                <w:sz w:val="20"/>
                <w:szCs w:val="16"/>
              </w:rPr>
              <w:t>Methodological tool</w:t>
            </w:r>
          </w:sdtContent>
        </w:sdt>
      </w:sdtContent>
    </w:sdt>
    <w:r w:rsidRPr="002F3B54">
      <w:rPr>
        <w:rFonts w:eastAsia="MS Mincho" w:cs="Arial"/>
        <w:sz w:val="20"/>
        <w:szCs w:val="16"/>
      </w:rPr>
      <w:fldChar w:fldCharType="end"/>
    </w:r>
    <w:r w:rsidRPr="002F3B54">
      <w:rPr>
        <w:rFonts w:eastAsia="MS Mincho" w:cs="Arial"/>
        <w:sz w:val="20"/>
        <w:szCs w:val="16"/>
      </w:rPr>
      <w:t xml:space="preserve">: </w:t>
    </w:r>
    <w:r w:rsidRPr="002F3B54">
      <w:rPr>
        <w:rFonts w:eastAsia="MS Mincho" w:cs="Arial"/>
        <w:sz w:val="20"/>
        <w:szCs w:val="16"/>
      </w:rPr>
      <w:fldChar w:fldCharType="begin"/>
    </w:r>
    <w:r w:rsidRPr="002F3B54">
      <w:rPr>
        <w:rFonts w:eastAsia="MS Mincho" w:cs="Arial"/>
        <w:sz w:val="20"/>
        <w:szCs w:val="16"/>
      </w:rPr>
      <w:instrText xml:space="preserve"> REF  SDMTitle2 \h  \* MERGEFORMAT </w:instrText>
    </w:r>
    <w:r w:rsidRPr="002F3B54">
      <w:rPr>
        <w:rFonts w:eastAsia="MS Mincho" w:cs="Arial"/>
        <w:sz w:val="20"/>
        <w:szCs w:val="16"/>
      </w:rPr>
    </w:r>
    <w:r w:rsidRPr="002F3B54">
      <w:rPr>
        <w:rFonts w:eastAsia="MS Mincho" w:cs="Arial"/>
        <w:sz w:val="20"/>
        <w:szCs w:val="16"/>
      </w:rPr>
      <w:fldChar w:fldCharType="separate"/>
    </w:r>
    <w:sdt>
      <w:sdtPr>
        <w:rPr>
          <w:rFonts w:eastAsia="MS Mincho" w:cs="Arial"/>
          <w:sz w:val="20"/>
          <w:szCs w:val="16"/>
        </w:rPr>
        <w:alias w:val="SDMTitle2"/>
        <w:tag w:val="SDMTitle2"/>
        <w:id w:val="-289516092"/>
        <w:lock w:val="sdtLocked"/>
        <w:placeholder>
          <w:docPart w:val="72A1D69C109749F2A162B61764C7D1A7"/>
        </w:placeholder>
      </w:sdtPr>
      <w:sdtEndPr>
        <w:rPr>
          <w:rFonts w:eastAsia="Times New Roman" w:cs="Times New Roman"/>
          <w:sz w:val="22"/>
          <w:szCs w:val="20"/>
          <w:lang w:val="de-DE"/>
        </w:rPr>
      </w:sdtEndPr>
      <w:sdtContent>
        <w:sdt>
          <w:sdtPr>
            <w:rPr>
              <w:rFonts w:eastAsia="MS Mincho" w:cs="Arial"/>
              <w:sz w:val="20"/>
              <w:szCs w:val="16"/>
            </w:rPr>
            <w:alias w:val="SDMTitle2"/>
            <w:tag w:val="SDMTitle2"/>
            <w:id w:val="-2005743293"/>
            <w:lock w:val="sdtLocked"/>
            <w:placeholder>
              <w:docPart w:val="AF406C90C15D431B9FC7653BB96D8862"/>
            </w:placeholder>
          </w:sdtPr>
          <w:sdtEndPr>
            <w:rPr>
              <w:rFonts w:eastAsia="Times New Roman" w:cs="Times New Roman"/>
              <w:sz w:val="22"/>
              <w:szCs w:val="20"/>
              <w:lang w:val="de-DE"/>
            </w:rPr>
          </w:sdtEndPr>
          <w:sdtContent>
            <w:r w:rsidR="00D811A8" w:rsidRPr="00D811A8">
              <w:rPr>
                <w:rFonts w:eastAsia="MS Mincho" w:cs="Arial"/>
                <w:sz w:val="20"/>
                <w:szCs w:val="16"/>
              </w:rPr>
              <w:t xml:space="preserve">Emissions from electricity generation </w:t>
            </w:r>
            <w:r w:rsidR="00D811A8" w:rsidRPr="00D811A8">
              <w:rPr>
                <w:rFonts w:eastAsia="MS Mincho" w:cs="Arial"/>
                <w:sz w:val="20"/>
                <w:szCs w:val="16"/>
                <w:lang w:val="en-US"/>
              </w:rPr>
              <w:t>and</w:t>
            </w:r>
            <w:r w:rsidR="00D811A8" w:rsidRPr="00335746">
              <w:rPr>
                <w:lang w:val="en-US"/>
              </w:rPr>
              <w:t xml:space="preserve"> consumption</w:t>
            </w:r>
          </w:sdtContent>
        </w:sdt>
      </w:sdtContent>
    </w:sdt>
  </w:p>
  <w:p w14:paraId="7B643760" w14:textId="100CA589" w:rsidR="004E7C82" w:rsidRPr="0071171A" w:rsidRDefault="0071171A" w:rsidP="00C21F06">
    <w:pPr>
      <w:pBdr>
        <w:bottom w:val="single" w:sz="4" w:space="10" w:color="auto"/>
      </w:pBdr>
      <w:tabs>
        <w:tab w:val="right" w:pos="9356"/>
        <w:tab w:val="right" w:pos="14288"/>
      </w:tabs>
    </w:pPr>
    <w:r w:rsidRPr="002F3B54">
      <w:rPr>
        <w:rFonts w:eastAsia="MS Mincho" w:cs="Arial"/>
        <w:sz w:val="20"/>
        <w:szCs w:val="16"/>
      </w:rPr>
      <w:fldChar w:fldCharType="end"/>
    </w:r>
    <w:r w:rsidRPr="002F3B54">
      <w:rPr>
        <w:rFonts w:eastAsia="MS Mincho" w:cs="Arial"/>
        <w:sz w:val="20"/>
        <w:szCs w:val="16"/>
      </w:rPr>
      <w:fldChar w:fldCharType="begin"/>
    </w:r>
    <w:r w:rsidRPr="002F3B54">
      <w:rPr>
        <w:rFonts w:eastAsia="MS Mincho" w:cs="Arial"/>
        <w:sz w:val="20"/>
        <w:szCs w:val="16"/>
        <w:lang w:val="en-US"/>
      </w:rPr>
      <w:instrText xml:space="preserve"> REF  SDMDocVerLab \h  \* MERGEFORMAT </w:instrText>
    </w:r>
    <w:r w:rsidRPr="002F3B54">
      <w:rPr>
        <w:rFonts w:eastAsia="MS Mincho" w:cs="Arial"/>
        <w:sz w:val="20"/>
        <w:szCs w:val="16"/>
      </w:rPr>
    </w:r>
    <w:r w:rsidRPr="002F3B54">
      <w:rPr>
        <w:rFonts w:eastAsia="MS Mincho" w:cs="Arial"/>
        <w:sz w:val="20"/>
        <w:szCs w:val="16"/>
      </w:rPr>
      <w:fldChar w:fldCharType="separate"/>
    </w:r>
    <w:sdt>
      <w:sdtPr>
        <w:rPr>
          <w:rFonts w:eastAsia="MS Mincho" w:cs="Arial"/>
          <w:sz w:val="20"/>
          <w:szCs w:val="16"/>
        </w:rPr>
        <w:alias w:val="SDMDocVersionLabel"/>
        <w:tag w:val="SDMDocVersionLabel"/>
        <w:id w:val="-358586488"/>
        <w:lock w:val="sdtLocked"/>
        <w:placeholder>
          <w:docPart w:val="57DACF30BAF140CAA44038001240D051"/>
        </w:placeholder>
      </w:sdtPr>
      <w:sdtContent>
        <w:r w:rsidR="00D811A8" w:rsidRPr="00D811A8">
          <w:rPr>
            <w:rFonts w:eastAsia="MS Mincho" w:cs="Arial"/>
            <w:sz w:val="20"/>
            <w:szCs w:val="16"/>
            <w:lang w:val="en-US"/>
          </w:rPr>
          <w:t xml:space="preserve">Version </w:t>
        </w:r>
      </w:sdtContent>
    </w:sdt>
    <w:r w:rsidRPr="002F3B54">
      <w:rPr>
        <w:rFonts w:eastAsia="MS Mincho" w:cs="Arial"/>
        <w:sz w:val="20"/>
        <w:szCs w:val="16"/>
      </w:rPr>
      <w:fldChar w:fldCharType="end"/>
    </w:r>
    <w:r w:rsidRPr="002F3B54">
      <w:rPr>
        <w:rFonts w:eastAsia="MS Mincho" w:cs="Arial"/>
        <w:sz w:val="20"/>
        <w:szCs w:val="16"/>
      </w:rPr>
      <w:fldChar w:fldCharType="begin"/>
    </w:r>
    <w:r w:rsidRPr="002F3B54">
      <w:rPr>
        <w:rFonts w:eastAsia="MS Mincho" w:cs="Arial"/>
        <w:sz w:val="20"/>
        <w:szCs w:val="16"/>
        <w:lang w:val="en-US"/>
      </w:rPr>
      <w:instrText xml:space="preserve"> REF  SDMDocVer \h  \* MERGEFORMAT </w:instrText>
    </w:r>
    <w:r w:rsidRPr="002F3B54">
      <w:rPr>
        <w:rFonts w:eastAsia="MS Mincho" w:cs="Arial"/>
        <w:sz w:val="20"/>
        <w:szCs w:val="16"/>
      </w:rPr>
    </w:r>
    <w:r w:rsidRPr="002F3B54">
      <w:rPr>
        <w:rFonts w:eastAsia="MS Mincho" w:cs="Arial"/>
        <w:sz w:val="20"/>
        <w:szCs w:val="16"/>
      </w:rPr>
      <w:fldChar w:fldCharType="separate"/>
    </w:r>
    <w:sdt>
      <w:sdtPr>
        <w:rPr>
          <w:rFonts w:eastAsia="MS Mincho" w:cs="Arial"/>
          <w:sz w:val="20"/>
          <w:szCs w:val="16"/>
        </w:rPr>
        <w:alias w:val="SDMDocVer"/>
        <w:tag w:val="SDMDocVer"/>
        <w:id w:val="-924337309"/>
        <w:lock w:val="sdtLocked"/>
        <w:placeholder>
          <w:docPart w:val="E5F752E4661E4A9CBFB46958883D22F9"/>
        </w:placeholder>
      </w:sdtPr>
      <w:sdtContent>
        <w:r w:rsidR="00D811A8" w:rsidRPr="00D811A8">
          <w:rPr>
            <w:rFonts w:eastAsia="MS Mincho" w:cs="Arial"/>
            <w:sz w:val="20"/>
            <w:szCs w:val="16"/>
          </w:rPr>
          <w:t>01.0</w:t>
        </w:r>
      </w:sdtContent>
    </w:sdt>
    <w:r w:rsidRPr="002F3B54">
      <w:rPr>
        <w:rFonts w:eastAsia="MS Mincho" w:cs="Arial"/>
        <w:sz w:val="20"/>
        <w:szCs w:val="16"/>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5D16B" w14:textId="592C3216" w:rsidR="000D1E11" w:rsidRDefault="00CB1F27">
    <w:pPr>
      <w:numPr>
        <w:ilvl w:val="5"/>
        <w:numId w:val="0"/>
      </w:numPr>
    </w:pPr>
    <w:r>
      <w:cr/>
    </w:r>
    <w:r>
      <w:cr/>
    </w:r>
    <w:r>
      <w:cr/>
    </w:r>
    <w:r>
      <w:cr/>
    </w:r>
    <w:r>
      <w:cr/>
    </w:r>
    <w:r>
      <w:cr/>
    </w:r>
    <w:r>
      <w:cr/>
    </w:r>
    <w:r>
      <w:cr/>
    </w:r>
    <w:r>
      <w:cr/>
    </w:r>
    <w:r>
      <w:cr/>
    </w:r>
    <w:r>
      <w:cr/>
    </w:r>
    <w:r>
      <w:cr/>
    </w:r>
    <w:r>
      <w:cr/>
    </w:r>
    <w:r>
      <w:cr/>
    </w:r>
    <w:r>
      <w:c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821E9" w14:textId="5FDD9F63" w:rsidR="00C74D24" w:rsidRPr="005A3A16" w:rsidRDefault="00732581" w:rsidP="00C74D24">
    <w:pPr>
      <w:pBdr>
        <w:bottom w:val="single" w:sz="4" w:space="10" w:color="auto"/>
      </w:pBdr>
      <w:tabs>
        <w:tab w:val="right" w:pos="9356"/>
        <w:tab w:val="right" w:pos="14288"/>
      </w:tabs>
      <w:rPr>
        <w:rFonts w:eastAsia="MS Mincho" w:cs="Arial"/>
        <w:sz w:val="20"/>
        <w:szCs w:val="16"/>
      </w:rPr>
    </w:pPr>
    <w:r>
      <w:rPr>
        <w:rFonts w:eastAsia="MS Mincho" w:cs="Arial"/>
        <w:sz w:val="20"/>
        <w:szCs w:val="16"/>
      </w:rPr>
      <w:t>A6.4-</w:t>
    </w:r>
    <w:r w:rsidR="009D06B1">
      <w:rPr>
        <w:rFonts w:eastAsia="MS Mincho" w:cs="Arial"/>
        <w:sz w:val="20"/>
        <w:szCs w:val="16"/>
      </w:rPr>
      <w:t>AMT</w:t>
    </w:r>
    <w:r>
      <w:rPr>
        <w:rFonts w:eastAsia="MS Mincho" w:cs="Arial"/>
        <w:sz w:val="20"/>
        <w:szCs w:val="16"/>
      </w:rPr>
      <w:t>-</w:t>
    </w:r>
    <w:r w:rsidR="009D06B1">
      <w:rPr>
        <w:rFonts w:eastAsia="MS Mincho" w:cs="Arial"/>
        <w:sz w:val="20"/>
        <w:szCs w:val="16"/>
      </w:rPr>
      <w:t>0</w:t>
    </w:r>
    <w:r>
      <w:rPr>
        <w:rFonts w:eastAsia="MS Mincho" w:cs="Arial"/>
        <w:sz w:val="20"/>
        <w:szCs w:val="16"/>
      </w:rPr>
      <w:t>07</w:t>
    </w:r>
    <w:r w:rsidR="00C74D24" w:rsidRPr="005A3A16">
      <w:rPr>
        <w:rFonts w:eastAsia="MS Mincho" w:cs="Arial"/>
        <w:sz w:val="20"/>
        <w:szCs w:val="16"/>
      </w:rPr>
      <w:fldChar w:fldCharType="begin"/>
    </w:r>
    <w:r w:rsidR="00C74D24" w:rsidRPr="005A3A16">
      <w:rPr>
        <w:rFonts w:eastAsia="MS Mincho" w:cs="Arial"/>
        <w:sz w:val="20"/>
        <w:szCs w:val="16"/>
      </w:rPr>
      <w:instrText xml:space="preserve"> REF  SDMDocRef \* Upper \h  \* MERGEFORMAT </w:instrText>
    </w:r>
    <w:r w:rsidR="00C74D24" w:rsidRPr="005A3A16">
      <w:rPr>
        <w:rFonts w:eastAsia="MS Mincho" w:cs="Arial"/>
        <w:sz w:val="20"/>
        <w:szCs w:val="16"/>
      </w:rPr>
    </w:r>
    <w:r w:rsidR="00C74D24" w:rsidRPr="005A3A16">
      <w:rPr>
        <w:rFonts w:eastAsia="MS Mincho" w:cs="Arial"/>
        <w:sz w:val="20"/>
        <w:szCs w:val="16"/>
      </w:rPr>
      <w:fldChar w:fldCharType="end"/>
    </w:r>
    <w:r w:rsidR="00C74D24" w:rsidRPr="005A3A16">
      <w:rPr>
        <w:rFonts w:eastAsia="MS Mincho" w:cs="Arial"/>
        <w:sz w:val="20"/>
        <w:szCs w:val="16"/>
      </w:rPr>
      <w:tab/>
    </w:r>
    <w:r w:rsidR="00C74D24" w:rsidRPr="005A3A16">
      <w:rPr>
        <w:rFonts w:eastAsia="MS Mincho" w:cs="Arial"/>
        <w:sz w:val="20"/>
        <w:szCs w:val="16"/>
      </w:rPr>
      <w:fldChar w:fldCharType="begin"/>
    </w:r>
    <w:r w:rsidR="00C74D24" w:rsidRPr="005A3A16">
      <w:rPr>
        <w:rFonts w:eastAsia="MS Mincho" w:cs="Arial"/>
        <w:sz w:val="20"/>
        <w:szCs w:val="16"/>
      </w:rPr>
      <w:instrText xml:space="preserve"> REF  SDMConfidentialMark \* Upper \h  \* MERGEFORMAT </w:instrText>
    </w:r>
    <w:r w:rsidR="00C74D24" w:rsidRPr="005A3A16">
      <w:rPr>
        <w:rFonts w:eastAsia="MS Mincho" w:cs="Arial"/>
        <w:sz w:val="20"/>
        <w:szCs w:val="16"/>
      </w:rPr>
    </w:r>
    <w:r w:rsidR="00C74D24" w:rsidRPr="005A3A16">
      <w:rPr>
        <w:rFonts w:eastAsia="MS Mincho" w:cs="Arial"/>
        <w:sz w:val="20"/>
        <w:szCs w:val="16"/>
      </w:rPr>
      <w:fldChar w:fldCharType="separate"/>
    </w:r>
    <w:sdt>
      <w:sdtPr>
        <w:rPr>
          <w:rFonts w:eastAsia="MS Mincho" w:cs="Arial"/>
          <w:sz w:val="20"/>
          <w:szCs w:val="16"/>
        </w:rPr>
        <w:alias w:val="SDMConfidentialMark"/>
        <w:tag w:val="SDMConfidentialMark"/>
        <w:id w:val="-128406581"/>
        <w:lock w:val="sdtLocked"/>
        <w:placeholder>
          <w:docPart w:val="0F00C090044B40869841FC82524925DF"/>
        </w:placeholder>
        <w:dropDownList>
          <w:listItem w:displayText="Confidential" w:value="Confidential"/>
          <w:listItem w:displayText=" " w:value="  "/>
        </w:dropDownList>
      </w:sdtPr>
      <w:sdtContent>
        <w:r w:rsidR="00D811A8" w:rsidRPr="00D811A8">
          <w:rPr>
            <w:rFonts w:eastAsia="MS Mincho" w:cs="Arial"/>
            <w:sz w:val="20"/>
            <w:szCs w:val="16"/>
          </w:rPr>
          <w:t>.</w:t>
        </w:r>
      </w:sdtContent>
    </w:sdt>
    <w:r w:rsidR="00C74D24" w:rsidRPr="005A3A16">
      <w:rPr>
        <w:rFonts w:eastAsia="MS Mincho" w:cs="Arial"/>
        <w:sz w:val="20"/>
        <w:szCs w:val="16"/>
      </w:rPr>
      <w:fldChar w:fldCharType="end"/>
    </w:r>
  </w:p>
  <w:p w14:paraId="2AE6E360" w14:textId="77777777" w:rsidR="00D811A8" w:rsidRPr="00D9066E" w:rsidRDefault="0071171A" w:rsidP="00D811A8">
    <w:pPr>
      <w:pBdr>
        <w:bottom w:val="single" w:sz="4" w:space="10" w:color="auto"/>
      </w:pBdr>
      <w:tabs>
        <w:tab w:val="right" w:pos="9356"/>
        <w:tab w:val="right" w:pos="14288"/>
      </w:tabs>
      <w:rPr>
        <w:szCs w:val="22"/>
        <w:lang w:val="en-US"/>
      </w:rPr>
    </w:pPr>
    <w:r w:rsidRPr="002F3B54">
      <w:rPr>
        <w:rFonts w:eastAsia="MS Mincho" w:cs="Arial"/>
        <w:sz w:val="20"/>
        <w:szCs w:val="16"/>
      </w:rPr>
      <w:fldChar w:fldCharType="begin"/>
    </w:r>
    <w:r w:rsidRPr="002F3B54">
      <w:rPr>
        <w:rFonts w:eastAsia="MS Mincho" w:cs="Arial"/>
        <w:sz w:val="20"/>
        <w:szCs w:val="16"/>
      </w:rPr>
      <w:instrText xml:space="preserve"> REF  SDMTitle1 \h  \* MERGEFORMAT </w:instrText>
    </w:r>
    <w:r w:rsidRPr="002F3B54">
      <w:rPr>
        <w:rFonts w:eastAsia="MS Mincho" w:cs="Arial"/>
        <w:sz w:val="20"/>
        <w:szCs w:val="16"/>
      </w:rPr>
    </w:r>
    <w:r w:rsidRPr="002F3B54">
      <w:rPr>
        <w:rFonts w:eastAsia="MS Mincho" w:cs="Arial"/>
        <w:sz w:val="20"/>
        <w:szCs w:val="16"/>
      </w:rPr>
      <w:fldChar w:fldCharType="separate"/>
    </w:r>
    <w:sdt>
      <w:sdtPr>
        <w:rPr>
          <w:rFonts w:eastAsia="MS Mincho" w:cs="Arial"/>
          <w:sz w:val="20"/>
          <w:szCs w:val="16"/>
        </w:rPr>
        <w:alias w:val="SDMTitle1"/>
        <w:tag w:val="SDMTitle1"/>
        <w:id w:val="-145363855"/>
        <w:lock w:val="sdtLocked"/>
        <w:placeholder>
          <w:docPart w:val="4449919201ED4F8897A8AF08186249F6"/>
        </w:placeholder>
      </w:sdtPr>
      <w:sdtContent>
        <w:sdt>
          <w:sdtPr>
            <w:rPr>
              <w:rFonts w:eastAsia="MS Mincho" w:cs="Arial"/>
              <w:sz w:val="20"/>
              <w:szCs w:val="16"/>
            </w:rPr>
            <w:alias w:val="SDMDocType"/>
            <w:tag w:val="SDMDocType"/>
            <w:id w:val="162830941"/>
            <w:lock w:val="sdtContentLocked"/>
            <w:placeholder>
              <w:docPart w:val="DED1E4A641C6446688F5FAA1A4052755"/>
            </w:placeholder>
            <w:dropDownList>
              <w:listItem w:displayText="Standard" w:value="Standard"/>
              <w:listItem w:displayText="Guideline" w:value="Guideline"/>
              <w:listItem w:displayText="Procedure" w:value="Procedure"/>
              <w:listItem w:displayText="Information note" w:value="Information note"/>
              <w:listItem w:displayText="Methodology" w:value="Methodology"/>
              <w:listItem w:displayText="Methodological tool" w:value="Methodological tool"/>
              <w:listItem w:displayText="Meeting report" w:value="Meeting report"/>
            </w:dropDownList>
          </w:sdtPr>
          <w:sdtContent>
            <w:r w:rsidR="00D811A8" w:rsidRPr="00D811A8">
              <w:rPr>
                <w:rFonts w:eastAsia="MS Mincho" w:cs="Arial"/>
                <w:sz w:val="20"/>
                <w:szCs w:val="16"/>
              </w:rPr>
              <w:t>Methodological tool</w:t>
            </w:r>
          </w:sdtContent>
        </w:sdt>
      </w:sdtContent>
    </w:sdt>
    <w:r w:rsidRPr="002F3B54">
      <w:rPr>
        <w:rFonts w:eastAsia="MS Mincho" w:cs="Arial"/>
        <w:sz w:val="20"/>
        <w:szCs w:val="16"/>
      </w:rPr>
      <w:fldChar w:fldCharType="end"/>
    </w:r>
    <w:r w:rsidRPr="002F3B54">
      <w:rPr>
        <w:rFonts w:eastAsia="MS Mincho" w:cs="Arial"/>
        <w:sz w:val="20"/>
        <w:szCs w:val="16"/>
      </w:rPr>
      <w:t xml:space="preserve">: </w:t>
    </w:r>
    <w:r w:rsidRPr="002F3B54">
      <w:rPr>
        <w:rFonts w:eastAsia="MS Mincho" w:cs="Arial"/>
        <w:sz w:val="20"/>
        <w:szCs w:val="16"/>
      </w:rPr>
      <w:fldChar w:fldCharType="begin"/>
    </w:r>
    <w:r w:rsidRPr="002F3B54">
      <w:rPr>
        <w:rFonts w:eastAsia="MS Mincho" w:cs="Arial"/>
        <w:sz w:val="20"/>
        <w:szCs w:val="16"/>
      </w:rPr>
      <w:instrText xml:space="preserve"> REF  SDMTitle2 \h  \* MERGEFORMAT </w:instrText>
    </w:r>
    <w:r w:rsidRPr="002F3B54">
      <w:rPr>
        <w:rFonts w:eastAsia="MS Mincho" w:cs="Arial"/>
        <w:sz w:val="20"/>
        <w:szCs w:val="16"/>
      </w:rPr>
    </w:r>
    <w:r w:rsidRPr="002F3B54">
      <w:rPr>
        <w:rFonts w:eastAsia="MS Mincho" w:cs="Arial"/>
        <w:sz w:val="20"/>
        <w:szCs w:val="16"/>
      </w:rPr>
      <w:fldChar w:fldCharType="separate"/>
    </w:r>
    <w:sdt>
      <w:sdtPr>
        <w:rPr>
          <w:rFonts w:eastAsia="MS Mincho" w:cs="Arial"/>
          <w:sz w:val="20"/>
          <w:szCs w:val="16"/>
        </w:rPr>
        <w:alias w:val="SDMTitle2"/>
        <w:tag w:val="SDMTitle2"/>
        <w:id w:val="-1047834312"/>
        <w:lock w:val="sdtLocked"/>
        <w:placeholder>
          <w:docPart w:val="D93157DC036E4E759D6F5202550CB10C"/>
        </w:placeholder>
      </w:sdtPr>
      <w:sdtEndPr>
        <w:rPr>
          <w:rFonts w:eastAsia="Times New Roman" w:cs="Times New Roman"/>
          <w:sz w:val="22"/>
          <w:szCs w:val="20"/>
          <w:lang w:val="de-DE"/>
        </w:rPr>
      </w:sdtEndPr>
      <w:sdtContent>
        <w:sdt>
          <w:sdtPr>
            <w:rPr>
              <w:rFonts w:eastAsia="MS Mincho" w:cs="Arial"/>
              <w:sz w:val="20"/>
              <w:szCs w:val="16"/>
            </w:rPr>
            <w:alias w:val="SDMTitle2"/>
            <w:tag w:val="SDMTitle2"/>
            <w:id w:val="722181476"/>
            <w:lock w:val="sdtLocked"/>
            <w:placeholder>
              <w:docPart w:val="A21E202F7C9546D18FFFFBB05BD74A07"/>
            </w:placeholder>
          </w:sdtPr>
          <w:sdtEndPr>
            <w:rPr>
              <w:rFonts w:eastAsia="Times New Roman" w:cs="Times New Roman"/>
              <w:sz w:val="22"/>
              <w:szCs w:val="20"/>
              <w:lang w:val="de-DE"/>
            </w:rPr>
          </w:sdtEndPr>
          <w:sdtContent>
            <w:r w:rsidR="00D811A8" w:rsidRPr="00D811A8">
              <w:rPr>
                <w:rFonts w:eastAsia="MS Mincho" w:cs="Arial"/>
                <w:sz w:val="20"/>
                <w:szCs w:val="16"/>
              </w:rPr>
              <w:t xml:space="preserve">Emissions from electricity generation </w:t>
            </w:r>
            <w:r w:rsidR="00D811A8" w:rsidRPr="00D811A8">
              <w:rPr>
                <w:rFonts w:eastAsia="MS Mincho" w:cs="Arial"/>
                <w:sz w:val="20"/>
                <w:szCs w:val="16"/>
                <w:lang w:val="en-US"/>
              </w:rPr>
              <w:t>and</w:t>
            </w:r>
            <w:r w:rsidR="00D811A8" w:rsidRPr="00335746">
              <w:rPr>
                <w:lang w:val="en-US"/>
              </w:rPr>
              <w:t xml:space="preserve"> consumption</w:t>
            </w:r>
          </w:sdtContent>
        </w:sdt>
      </w:sdtContent>
    </w:sdt>
  </w:p>
  <w:p w14:paraId="18FFC66C" w14:textId="580EC213" w:rsidR="000D1E11" w:rsidRPr="0071171A" w:rsidRDefault="0071171A" w:rsidP="00732581">
    <w:pPr>
      <w:pBdr>
        <w:bottom w:val="single" w:sz="4" w:space="10" w:color="auto"/>
      </w:pBdr>
      <w:tabs>
        <w:tab w:val="right" w:pos="9356"/>
        <w:tab w:val="right" w:pos="14288"/>
      </w:tabs>
    </w:pPr>
    <w:r w:rsidRPr="002F3B54">
      <w:rPr>
        <w:rFonts w:eastAsia="MS Mincho" w:cs="Arial"/>
        <w:sz w:val="20"/>
        <w:szCs w:val="16"/>
      </w:rPr>
      <w:fldChar w:fldCharType="end"/>
    </w:r>
    <w:r w:rsidRPr="002F3B54">
      <w:rPr>
        <w:rFonts w:eastAsia="MS Mincho" w:cs="Arial"/>
        <w:sz w:val="20"/>
        <w:szCs w:val="16"/>
      </w:rPr>
      <w:fldChar w:fldCharType="begin"/>
    </w:r>
    <w:r w:rsidRPr="002F3B54">
      <w:rPr>
        <w:rFonts w:eastAsia="MS Mincho" w:cs="Arial"/>
        <w:sz w:val="20"/>
        <w:szCs w:val="16"/>
        <w:lang w:val="en-US"/>
      </w:rPr>
      <w:instrText xml:space="preserve"> REF  SDMDocVerLab \h  \* MERGEFORMAT </w:instrText>
    </w:r>
    <w:r w:rsidRPr="002F3B54">
      <w:rPr>
        <w:rFonts w:eastAsia="MS Mincho" w:cs="Arial"/>
        <w:sz w:val="20"/>
        <w:szCs w:val="16"/>
      </w:rPr>
    </w:r>
    <w:r w:rsidRPr="002F3B54">
      <w:rPr>
        <w:rFonts w:eastAsia="MS Mincho" w:cs="Arial"/>
        <w:sz w:val="20"/>
        <w:szCs w:val="16"/>
      </w:rPr>
      <w:fldChar w:fldCharType="separate"/>
    </w:r>
    <w:sdt>
      <w:sdtPr>
        <w:rPr>
          <w:rFonts w:eastAsia="MS Mincho" w:cs="Arial"/>
          <w:sz w:val="20"/>
          <w:szCs w:val="16"/>
        </w:rPr>
        <w:alias w:val="SDMDocVersionLabel"/>
        <w:tag w:val="SDMDocVersionLabel"/>
        <w:id w:val="1162285783"/>
        <w:lock w:val="sdtLocked"/>
        <w:placeholder>
          <w:docPart w:val="359003EAE20B43AEBE62F530F0662D6E"/>
        </w:placeholder>
      </w:sdtPr>
      <w:sdtContent>
        <w:r w:rsidR="00D811A8" w:rsidRPr="00D811A8">
          <w:rPr>
            <w:rFonts w:eastAsia="MS Mincho" w:cs="Arial"/>
            <w:sz w:val="20"/>
            <w:szCs w:val="16"/>
            <w:lang w:val="en-US"/>
          </w:rPr>
          <w:t xml:space="preserve">Version </w:t>
        </w:r>
      </w:sdtContent>
    </w:sdt>
    <w:r w:rsidRPr="002F3B54">
      <w:rPr>
        <w:rFonts w:eastAsia="MS Mincho" w:cs="Arial"/>
        <w:sz w:val="20"/>
        <w:szCs w:val="16"/>
      </w:rPr>
      <w:fldChar w:fldCharType="end"/>
    </w:r>
    <w:r w:rsidRPr="002F3B54">
      <w:rPr>
        <w:rFonts w:eastAsia="MS Mincho" w:cs="Arial"/>
        <w:sz w:val="20"/>
        <w:szCs w:val="16"/>
      </w:rPr>
      <w:fldChar w:fldCharType="begin"/>
    </w:r>
    <w:r w:rsidRPr="002F3B54">
      <w:rPr>
        <w:rFonts w:eastAsia="MS Mincho" w:cs="Arial"/>
        <w:sz w:val="20"/>
        <w:szCs w:val="16"/>
        <w:lang w:val="en-US"/>
      </w:rPr>
      <w:instrText xml:space="preserve"> REF  SDMDocVer \h  \* MERGEFORMAT </w:instrText>
    </w:r>
    <w:r w:rsidRPr="002F3B54">
      <w:rPr>
        <w:rFonts w:eastAsia="MS Mincho" w:cs="Arial"/>
        <w:sz w:val="20"/>
        <w:szCs w:val="16"/>
      </w:rPr>
    </w:r>
    <w:r w:rsidRPr="002F3B54">
      <w:rPr>
        <w:rFonts w:eastAsia="MS Mincho" w:cs="Arial"/>
        <w:sz w:val="20"/>
        <w:szCs w:val="16"/>
      </w:rPr>
      <w:fldChar w:fldCharType="separate"/>
    </w:r>
    <w:sdt>
      <w:sdtPr>
        <w:rPr>
          <w:rFonts w:eastAsia="MS Mincho" w:cs="Arial"/>
          <w:sz w:val="20"/>
          <w:szCs w:val="16"/>
        </w:rPr>
        <w:alias w:val="SDMDocVer"/>
        <w:tag w:val="SDMDocVer"/>
        <w:id w:val="-959947334"/>
        <w:lock w:val="sdtLocked"/>
        <w:placeholder>
          <w:docPart w:val="5C57B714CCA042418236F550CC921C90"/>
        </w:placeholder>
      </w:sdtPr>
      <w:sdtContent>
        <w:r w:rsidR="00D811A8" w:rsidRPr="00D811A8">
          <w:rPr>
            <w:rFonts w:eastAsia="MS Mincho" w:cs="Arial"/>
            <w:sz w:val="20"/>
            <w:szCs w:val="16"/>
          </w:rPr>
          <w:t>01.0</w:t>
        </w:r>
      </w:sdtContent>
    </w:sdt>
    <w:r w:rsidRPr="002F3B54">
      <w:rPr>
        <w:rFonts w:eastAsia="MS Mincho" w:cs="Arial"/>
        <w:sz w:val="20"/>
        <w:szCs w:val="16"/>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6B654" w14:textId="56B40300" w:rsidR="000D1E11" w:rsidRPr="00B5677C" w:rsidRDefault="00CB1F27">
    <w:pPr>
      <w:numPr>
        <w:ilvl w:val="5"/>
        <w:numId w:val="0"/>
      </w:numPr>
    </w:pPr>
    <w:r>
      <w:cr/>
    </w:r>
    <w:r>
      <w:cr/>
    </w:r>
    <w:r>
      <w:cr/>
    </w:r>
    <w:r>
      <w:cr/>
    </w:r>
    <w:r>
      <w:cr/>
    </w:r>
    <w:r>
      <w:cr/>
    </w:r>
    <w:r>
      <w:cr/>
    </w:r>
    <w:r>
      <w:cr/>
    </w:r>
    <w:r>
      <w:cr/>
    </w:r>
    <w:r>
      <w:cr/>
    </w:r>
    <w:r>
      <w:cr/>
    </w:r>
    <w:r>
      <w:cr/>
    </w:r>
    <w:r>
      <w:cr/>
    </w:r>
    <w:r>
      <w:cr/>
    </w:r>
    <w:r>
      <w:c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F2411" w14:textId="058215CA" w:rsidR="00C74D24" w:rsidRPr="005A3A16" w:rsidRDefault="00732581" w:rsidP="00C74D24">
    <w:pPr>
      <w:pBdr>
        <w:bottom w:val="single" w:sz="4" w:space="10" w:color="auto"/>
      </w:pBdr>
      <w:tabs>
        <w:tab w:val="right" w:pos="9356"/>
        <w:tab w:val="right" w:pos="14288"/>
      </w:tabs>
      <w:rPr>
        <w:rFonts w:eastAsia="MS Mincho" w:cs="Arial"/>
        <w:sz w:val="20"/>
        <w:szCs w:val="16"/>
      </w:rPr>
    </w:pPr>
    <w:r>
      <w:rPr>
        <w:rFonts w:eastAsia="MS Mincho" w:cs="Arial"/>
        <w:sz w:val="20"/>
        <w:szCs w:val="16"/>
      </w:rPr>
      <w:t>A6.4-</w:t>
    </w:r>
    <w:r w:rsidR="009D06B1">
      <w:rPr>
        <w:rFonts w:eastAsia="MS Mincho" w:cs="Arial"/>
        <w:sz w:val="20"/>
        <w:szCs w:val="16"/>
      </w:rPr>
      <w:t>AMT</w:t>
    </w:r>
    <w:r>
      <w:rPr>
        <w:rFonts w:eastAsia="MS Mincho" w:cs="Arial"/>
        <w:sz w:val="20"/>
        <w:szCs w:val="16"/>
      </w:rPr>
      <w:t>-</w:t>
    </w:r>
    <w:r w:rsidR="009D06B1">
      <w:rPr>
        <w:rFonts w:eastAsia="MS Mincho" w:cs="Arial"/>
        <w:sz w:val="20"/>
        <w:szCs w:val="16"/>
      </w:rPr>
      <w:t>0</w:t>
    </w:r>
    <w:r>
      <w:rPr>
        <w:rFonts w:eastAsia="MS Mincho" w:cs="Arial"/>
        <w:sz w:val="20"/>
        <w:szCs w:val="16"/>
      </w:rPr>
      <w:t>07</w:t>
    </w:r>
    <w:r w:rsidR="00C74D24" w:rsidRPr="005A3A16">
      <w:rPr>
        <w:rFonts w:eastAsia="MS Mincho" w:cs="Arial"/>
        <w:sz w:val="20"/>
        <w:szCs w:val="16"/>
      </w:rPr>
      <w:fldChar w:fldCharType="begin"/>
    </w:r>
    <w:r w:rsidR="00C74D24" w:rsidRPr="005A3A16">
      <w:rPr>
        <w:rFonts w:eastAsia="MS Mincho" w:cs="Arial"/>
        <w:sz w:val="20"/>
        <w:szCs w:val="16"/>
      </w:rPr>
      <w:instrText xml:space="preserve"> REF  SDMDocRef \* Upper \h  \* MERGEFORMAT </w:instrText>
    </w:r>
    <w:r w:rsidR="00C74D24" w:rsidRPr="005A3A16">
      <w:rPr>
        <w:rFonts w:eastAsia="MS Mincho" w:cs="Arial"/>
        <w:sz w:val="20"/>
        <w:szCs w:val="16"/>
      </w:rPr>
    </w:r>
    <w:r w:rsidR="00C74D24" w:rsidRPr="005A3A16">
      <w:rPr>
        <w:rFonts w:eastAsia="MS Mincho" w:cs="Arial"/>
        <w:sz w:val="20"/>
        <w:szCs w:val="16"/>
      </w:rPr>
      <w:fldChar w:fldCharType="end"/>
    </w:r>
    <w:r w:rsidR="00C74D24" w:rsidRPr="005A3A16">
      <w:rPr>
        <w:rFonts w:eastAsia="MS Mincho" w:cs="Arial"/>
        <w:sz w:val="20"/>
        <w:szCs w:val="16"/>
      </w:rPr>
      <w:tab/>
    </w:r>
    <w:r w:rsidR="00C74D24" w:rsidRPr="005A3A16">
      <w:rPr>
        <w:rFonts w:eastAsia="MS Mincho" w:cs="Arial"/>
        <w:sz w:val="20"/>
        <w:szCs w:val="16"/>
      </w:rPr>
      <w:fldChar w:fldCharType="begin"/>
    </w:r>
    <w:r w:rsidR="00C74D24" w:rsidRPr="005A3A16">
      <w:rPr>
        <w:rFonts w:eastAsia="MS Mincho" w:cs="Arial"/>
        <w:sz w:val="20"/>
        <w:szCs w:val="16"/>
      </w:rPr>
      <w:instrText xml:space="preserve"> REF  SDMConfidentialMark \* Upper \h  \* MERGEFORMAT </w:instrText>
    </w:r>
    <w:r w:rsidR="00C74D24" w:rsidRPr="005A3A16">
      <w:rPr>
        <w:rFonts w:eastAsia="MS Mincho" w:cs="Arial"/>
        <w:sz w:val="20"/>
        <w:szCs w:val="16"/>
      </w:rPr>
    </w:r>
    <w:r w:rsidR="00C74D24" w:rsidRPr="005A3A16">
      <w:rPr>
        <w:rFonts w:eastAsia="MS Mincho" w:cs="Arial"/>
        <w:sz w:val="20"/>
        <w:szCs w:val="16"/>
      </w:rPr>
      <w:fldChar w:fldCharType="separate"/>
    </w:r>
    <w:sdt>
      <w:sdtPr>
        <w:rPr>
          <w:rFonts w:eastAsia="MS Mincho" w:cs="Arial"/>
          <w:sz w:val="20"/>
          <w:szCs w:val="16"/>
        </w:rPr>
        <w:alias w:val="SDMConfidentialMark"/>
        <w:tag w:val="SDMConfidentialMark"/>
        <w:id w:val="1208687235"/>
        <w:lock w:val="sdtLocked"/>
        <w:placeholder>
          <w:docPart w:val="4ED8012558294810B7CBBDC6107701EA"/>
        </w:placeholder>
        <w:dropDownList>
          <w:listItem w:displayText="Confidential" w:value="Confidential"/>
          <w:listItem w:displayText=" " w:value="  "/>
        </w:dropDownList>
      </w:sdtPr>
      <w:sdtContent>
        <w:r w:rsidR="00D811A8" w:rsidRPr="00D811A8">
          <w:rPr>
            <w:rFonts w:eastAsia="MS Mincho" w:cs="Arial"/>
            <w:sz w:val="20"/>
            <w:szCs w:val="16"/>
          </w:rPr>
          <w:t>.</w:t>
        </w:r>
      </w:sdtContent>
    </w:sdt>
    <w:r w:rsidR="00C74D24" w:rsidRPr="005A3A16">
      <w:rPr>
        <w:rFonts w:eastAsia="MS Mincho" w:cs="Arial"/>
        <w:sz w:val="20"/>
        <w:szCs w:val="16"/>
      </w:rPr>
      <w:fldChar w:fldCharType="end"/>
    </w:r>
  </w:p>
  <w:p w14:paraId="7AF4290A" w14:textId="77777777" w:rsidR="00D811A8" w:rsidRPr="00D9066E" w:rsidRDefault="0071171A" w:rsidP="00D811A8">
    <w:pPr>
      <w:pBdr>
        <w:bottom w:val="single" w:sz="4" w:space="10" w:color="auto"/>
      </w:pBdr>
      <w:tabs>
        <w:tab w:val="right" w:pos="9356"/>
        <w:tab w:val="right" w:pos="14288"/>
      </w:tabs>
      <w:rPr>
        <w:szCs w:val="22"/>
        <w:lang w:val="en-US"/>
      </w:rPr>
    </w:pPr>
    <w:r w:rsidRPr="002F3B54">
      <w:rPr>
        <w:rFonts w:eastAsia="MS Mincho" w:cs="Arial"/>
        <w:sz w:val="20"/>
        <w:szCs w:val="16"/>
      </w:rPr>
      <w:fldChar w:fldCharType="begin"/>
    </w:r>
    <w:r w:rsidRPr="002F3B54">
      <w:rPr>
        <w:rFonts w:eastAsia="MS Mincho" w:cs="Arial"/>
        <w:sz w:val="20"/>
        <w:szCs w:val="16"/>
      </w:rPr>
      <w:instrText xml:space="preserve"> REF  SDMTitle1 \h  \* MERGEFORMAT </w:instrText>
    </w:r>
    <w:r w:rsidRPr="002F3B54">
      <w:rPr>
        <w:rFonts w:eastAsia="MS Mincho" w:cs="Arial"/>
        <w:sz w:val="20"/>
        <w:szCs w:val="16"/>
      </w:rPr>
    </w:r>
    <w:r w:rsidRPr="002F3B54">
      <w:rPr>
        <w:rFonts w:eastAsia="MS Mincho" w:cs="Arial"/>
        <w:sz w:val="20"/>
        <w:szCs w:val="16"/>
      </w:rPr>
      <w:fldChar w:fldCharType="separate"/>
    </w:r>
    <w:sdt>
      <w:sdtPr>
        <w:rPr>
          <w:rFonts w:eastAsia="MS Mincho" w:cs="Arial"/>
          <w:sz w:val="20"/>
          <w:szCs w:val="16"/>
        </w:rPr>
        <w:alias w:val="SDMTitle1"/>
        <w:tag w:val="SDMTitle1"/>
        <w:id w:val="119501715"/>
        <w:lock w:val="sdtLocked"/>
        <w:placeholder>
          <w:docPart w:val="FE80DA1A50B44AABAC081BE71E843F2F"/>
        </w:placeholder>
      </w:sdtPr>
      <w:sdtContent>
        <w:sdt>
          <w:sdtPr>
            <w:rPr>
              <w:rFonts w:eastAsia="MS Mincho" w:cs="Arial"/>
              <w:sz w:val="20"/>
              <w:szCs w:val="16"/>
            </w:rPr>
            <w:alias w:val="SDMDocType"/>
            <w:tag w:val="SDMDocType"/>
            <w:id w:val="387309545"/>
            <w:lock w:val="sdtContentLocked"/>
            <w:placeholder>
              <w:docPart w:val="E099BD94A3374B65BBC035DF11F47A00"/>
            </w:placeholder>
            <w:dropDownList>
              <w:listItem w:displayText="Standard" w:value="Standard"/>
              <w:listItem w:displayText="Guideline" w:value="Guideline"/>
              <w:listItem w:displayText="Procedure" w:value="Procedure"/>
              <w:listItem w:displayText="Information note" w:value="Information note"/>
              <w:listItem w:displayText="Methodology" w:value="Methodology"/>
              <w:listItem w:displayText="Methodological tool" w:value="Methodological tool"/>
              <w:listItem w:displayText="Meeting report" w:value="Meeting report"/>
            </w:dropDownList>
          </w:sdtPr>
          <w:sdtContent>
            <w:r w:rsidR="00D811A8" w:rsidRPr="00D811A8">
              <w:rPr>
                <w:rFonts w:eastAsia="MS Mincho" w:cs="Arial"/>
                <w:sz w:val="20"/>
                <w:szCs w:val="16"/>
              </w:rPr>
              <w:t>Methodological tool</w:t>
            </w:r>
          </w:sdtContent>
        </w:sdt>
      </w:sdtContent>
    </w:sdt>
    <w:r w:rsidRPr="002F3B54">
      <w:rPr>
        <w:rFonts w:eastAsia="MS Mincho" w:cs="Arial"/>
        <w:sz w:val="20"/>
        <w:szCs w:val="16"/>
      </w:rPr>
      <w:fldChar w:fldCharType="end"/>
    </w:r>
    <w:r w:rsidRPr="002F3B54">
      <w:rPr>
        <w:rFonts w:eastAsia="MS Mincho" w:cs="Arial"/>
        <w:sz w:val="20"/>
        <w:szCs w:val="16"/>
      </w:rPr>
      <w:t xml:space="preserve">: </w:t>
    </w:r>
    <w:r w:rsidRPr="002F3B54">
      <w:rPr>
        <w:rFonts w:eastAsia="MS Mincho" w:cs="Arial"/>
        <w:sz w:val="20"/>
        <w:szCs w:val="16"/>
      </w:rPr>
      <w:fldChar w:fldCharType="begin"/>
    </w:r>
    <w:r w:rsidRPr="002F3B54">
      <w:rPr>
        <w:rFonts w:eastAsia="MS Mincho" w:cs="Arial"/>
        <w:sz w:val="20"/>
        <w:szCs w:val="16"/>
      </w:rPr>
      <w:instrText xml:space="preserve"> REF  SDMTitle2 \h  \* MERGEFORMAT </w:instrText>
    </w:r>
    <w:r w:rsidRPr="002F3B54">
      <w:rPr>
        <w:rFonts w:eastAsia="MS Mincho" w:cs="Arial"/>
        <w:sz w:val="20"/>
        <w:szCs w:val="16"/>
      </w:rPr>
    </w:r>
    <w:r w:rsidRPr="002F3B54">
      <w:rPr>
        <w:rFonts w:eastAsia="MS Mincho" w:cs="Arial"/>
        <w:sz w:val="20"/>
        <w:szCs w:val="16"/>
      </w:rPr>
      <w:fldChar w:fldCharType="separate"/>
    </w:r>
    <w:sdt>
      <w:sdtPr>
        <w:rPr>
          <w:rFonts w:eastAsia="MS Mincho" w:cs="Arial"/>
          <w:sz w:val="20"/>
          <w:szCs w:val="16"/>
        </w:rPr>
        <w:alias w:val="SDMTitle2"/>
        <w:tag w:val="SDMTitle2"/>
        <w:id w:val="1632673209"/>
        <w:lock w:val="sdtLocked"/>
        <w:placeholder>
          <w:docPart w:val="F2C6A6779A644431BB03B6E1E856E73B"/>
        </w:placeholder>
      </w:sdtPr>
      <w:sdtEndPr>
        <w:rPr>
          <w:rFonts w:eastAsia="Times New Roman" w:cs="Times New Roman"/>
          <w:sz w:val="22"/>
          <w:szCs w:val="20"/>
          <w:lang w:val="de-DE"/>
        </w:rPr>
      </w:sdtEndPr>
      <w:sdtContent>
        <w:sdt>
          <w:sdtPr>
            <w:rPr>
              <w:rFonts w:eastAsia="MS Mincho" w:cs="Arial"/>
              <w:sz w:val="20"/>
              <w:szCs w:val="16"/>
            </w:rPr>
            <w:alias w:val="SDMTitle2"/>
            <w:tag w:val="SDMTitle2"/>
            <w:id w:val="439799735"/>
            <w:lock w:val="sdtLocked"/>
            <w:placeholder>
              <w:docPart w:val="8CAFAB7B8B0146E29ED6FCA51267BA90"/>
            </w:placeholder>
          </w:sdtPr>
          <w:sdtEndPr>
            <w:rPr>
              <w:rFonts w:eastAsia="Times New Roman" w:cs="Times New Roman"/>
              <w:sz w:val="22"/>
              <w:szCs w:val="20"/>
              <w:lang w:val="de-DE"/>
            </w:rPr>
          </w:sdtEndPr>
          <w:sdtContent>
            <w:r w:rsidR="00D811A8" w:rsidRPr="00D811A8">
              <w:rPr>
                <w:rFonts w:eastAsia="MS Mincho" w:cs="Arial"/>
                <w:sz w:val="20"/>
                <w:szCs w:val="16"/>
              </w:rPr>
              <w:t xml:space="preserve">Emissions from electricity generation </w:t>
            </w:r>
            <w:r w:rsidR="00D811A8" w:rsidRPr="00D811A8">
              <w:rPr>
                <w:rFonts w:eastAsia="MS Mincho" w:cs="Arial"/>
                <w:sz w:val="20"/>
                <w:szCs w:val="16"/>
                <w:lang w:val="en-US"/>
              </w:rPr>
              <w:t>and</w:t>
            </w:r>
            <w:r w:rsidR="00D811A8" w:rsidRPr="00335746">
              <w:rPr>
                <w:lang w:val="en-US"/>
              </w:rPr>
              <w:t xml:space="preserve"> consumption</w:t>
            </w:r>
          </w:sdtContent>
        </w:sdt>
      </w:sdtContent>
    </w:sdt>
  </w:p>
  <w:p w14:paraId="676CE96E" w14:textId="508BB9D7" w:rsidR="00AB69E9" w:rsidRPr="0071171A" w:rsidRDefault="0071171A" w:rsidP="00732581">
    <w:pPr>
      <w:pBdr>
        <w:bottom w:val="single" w:sz="4" w:space="10" w:color="auto"/>
      </w:pBdr>
      <w:tabs>
        <w:tab w:val="right" w:pos="9356"/>
        <w:tab w:val="right" w:pos="14288"/>
      </w:tabs>
    </w:pPr>
    <w:r w:rsidRPr="002F3B54">
      <w:rPr>
        <w:rFonts w:eastAsia="MS Mincho" w:cs="Arial"/>
        <w:sz w:val="20"/>
        <w:szCs w:val="16"/>
      </w:rPr>
      <w:fldChar w:fldCharType="end"/>
    </w:r>
    <w:r w:rsidRPr="002F3B54">
      <w:rPr>
        <w:rFonts w:eastAsia="MS Mincho" w:cs="Arial"/>
        <w:sz w:val="20"/>
        <w:szCs w:val="16"/>
      </w:rPr>
      <w:fldChar w:fldCharType="begin"/>
    </w:r>
    <w:r w:rsidRPr="002F3B54">
      <w:rPr>
        <w:rFonts w:eastAsia="MS Mincho" w:cs="Arial"/>
        <w:sz w:val="20"/>
        <w:szCs w:val="16"/>
        <w:lang w:val="en-US"/>
      </w:rPr>
      <w:instrText xml:space="preserve"> REF  SDMDocVerLab \h  \* MERGEFORMAT </w:instrText>
    </w:r>
    <w:r w:rsidRPr="002F3B54">
      <w:rPr>
        <w:rFonts w:eastAsia="MS Mincho" w:cs="Arial"/>
        <w:sz w:val="20"/>
        <w:szCs w:val="16"/>
      </w:rPr>
    </w:r>
    <w:r w:rsidRPr="002F3B54">
      <w:rPr>
        <w:rFonts w:eastAsia="MS Mincho" w:cs="Arial"/>
        <w:sz w:val="20"/>
        <w:szCs w:val="16"/>
      </w:rPr>
      <w:fldChar w:fldCharType="separate"/>
    </w:r>
    <w:sdt>
      <w:sdtPr>
        <w:rPr>
          <w:rFonts w:eastAsia="MS Mincho" w:cs="Arial"/>
          <w:sz w:val="20"/>
          <w:szCs w:val="16"/>
        </w:rPr>
        <w:alias w:val="SDMDocVersionLabel"/>
        <w:tag w:val="SDMDocVersionLabel"/>
        <w:id w:val="-332759938"/>
        <w:lock w:val="sdtLocked"/>
        <w:placeholder>
          <w:docPart w:val="B2C5DF7BCBD344CCBF567E3D356F6811"/>
        </w:placeholder>
      </w:sdtPr>
      <w:sdtContent>
        <w:r w:rsidR="00D811A8" w:rsidRPr="00D811A8">
          <w:rPr>
            <w:rFonts w:eastAsia="MS Mincho" w:cs="Arial"/>
            <w:sz w:val="20"/>
            <w:szCs w:val="16"/>
            <w:lang w:val="en-US"/>
          </w:rPr>
          <w:t xml:space="preserve">Version </w:t>
        </w:r>
      </w:sdtContent>
    </w:sdt>
    <w:r w:rsidRPr="002F3B54">
      <w:rPr>
        <w:rFonts w:eastAsia="MS Mincho" w:cs="Arial"/>
        <w:sz w:val="20"/>
        <w:szCs w:val="16"/>
      </w:rPr>
      <w:fldChar w:fldCharType="end"/>
    </w:r>
    <w:r w:rsidRPr="002F3B54">
      <w:rPr>
        <w:rFonts w:eastAsia="MS Mincho" w:cs="Arial"/>
        <w:sz w:val="20"/>
        <w:szCs w:val="16"/>
      </w:rPr>
      <w:fldChar w:fldCharType="begin"/>
    </w:r>
    <w:r w:rsidRPr="002F3B54">
      <w:rPr>
        <w:rFonts w:eastAsia="MS Mincho" w:cs="Arial"/>
        <w:sz w:val="20"/>
        <w:szCs w:val="16"/>
        <w:lang w:val="en-US"/>
      </w:rPr>
      <w:instrText xml:space="preserve"> REF  SDMDocVer \h  \* MERGEFORMAT </w:instrText>
    </w:r>
    <w:r w:rsidRPr="002F3B54">
      <w:rPr>
        <w:rFonts w:eastAsia="MS Mincho" w:cs="Arial"/>
        <w:sz w:val="20"/>
        <w:szCs w:val="16"/>
      </w:rPr>
    </w:r>
    <w:r w:rsidRPr="002F3B54">
      <w:rPr>
        <w:rFonts w:eastAsia="MS Mincho" w:cs="Arial"/>
        <w:sz w:val="20"/>
        <w:szCs w:val="16"/>
      </w:rPr>
      <w:fldChar w:fldCharType="separate"/>
    </w:r>
    <w:sdt>
      <w:sdtPr>
        <w:rPr>
          <w:rFonts w:eastAsia="MS Mincho" w:cs="Arial"/>
          <w:sz w:val="20"/>
          <w:szCs w:val="16"/>
        </w:rPr>
        <w:alias w:val="SDMDocVer"/>
        <w:tag w:val="SDMDocVer"/>
        <w:id w:val="-1835053355"/>
        <w:lock w:val="sdtLocked"/>
        <w:placeholder>
          <w:docPart w:val="6A8103AD95C348EF9B6706A0C84FF83E"/>
        </w:placeholder>
      </w:sdtPr>
      <w:sdtContent>
        <w:r w:rsidR="00D811A8" w:rsidRPr="00D811A8">
          <w:rPr>
            <w:rFonts w:eastAsia="MS Mincho" w:cs="Arial"/>
            <w:sz w:val="20"/>
            <w:szCs w:val="16"/>
          </w:rPr>
          <w:t>01.0</w:t>
        </w:r>
      </w:sdtContent>
    </w:sdt>
    <w:r w:rsidRPr="002F3B54">
      <w:rPr>
        <w:rFonts w:eastAsia="MS Mincho" w:cs="Arial"/>
        <w:sz w:val="20"/>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4B3"/>
    <w:multiLevelType w:val="multilevel"/>
    <w:tmpl w:val="F3D6E6FA"/>
    <w:name w:val="Reg2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 w15:restartNumberingAfterBreak="0">
    <w:nsid w:val="019C7245"/>
    <w:multiLevelType w:val="hybridMultilevel"/>
    <w:tmpl w:val="8A1CFD6C"/>
    <w:lvl w:ilvl="0" w:tplc="04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1DF7C84"/>
    <w:multiLevelType w:val="multilevel"/>
    <w:tmpl w:val="F64666FC"/>
    <w:name w:val="Reg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3"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4" w15:restartNumberingAfterBreak="0">
    <w:nsid w:val="0AAC1DEE"/>
    <w:multiLevelType w:val="multilevel"/>
    <w:tmpl w:val="EBF238F8"/>
    <w:name w:val="Reg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5" w15:restartNumberingAfterBreak="0">
    <w:nsid w:val="0AB21255"/>
    <w:multiLevelType w:val="multilevel"/>
    <w:tmpl w:val="A28EC812"/>
    <w:lvl w:ilvl="0">
      <w:start w:val="1"/>
      <w:numFmt w:val="decimal"/>
      <w:suff w:val="nothing"/>
      <w:lvlText w:val="Equation (%1)"/>
      <w:lvlJc w:val="left"/>
      <w:pPr>
        <w:ind w:left="0" w:firstLine="0"/>
      </w:pPr>
    </w:lvl>
    <w:lvl w:ilvl="1">
      <w:start w:val="1"/>
      <w:numFmt w:val="decimal"/>
      <w:suff w:val="nothing"/>
      <w:lvlText w:val=""/>
      <w:lvlJc w:val="left"/>
      <w:pPr>
        <w:ind w:left="0" w:firstLine="0"/>
      </w:pPr>
    </w:lvl>
    <w:lvl w:ilvl="2">
      <w:start w:val="1"/>
      <w:numFmt w:val="decimal"/>
      <w:suff w:val="nothing"/>
      <w:lvlText w:val=""/>
      <w:lvlJc w:val="left"/>
      <w:pPr>
        <w:ind w:left="0" w:firstLine="0"/>
      </w:pPr>
    </w:lvl>
    <w:lvl w:ilvl="3">
      <w:start w:val="1"/>
      <w:numFmt w:val="decimal"/>
      <w:suff w:val="nothing"/>
      <w:lvlText w:val=""/>
      <w:lvlJc w:val="left"/>
      <w:pPr>
        <w:ind w:left="0" w:firstLine="0"/>
      </w:pPr>
    </w:lvl>
    <w:lvl w:ilvl="4">
      <w:start w:val="1"/>
      <w:numFmt w:val="decimal"/>
      <w:suff w:val="nothing"/>
      <w:lvlText w:val=""/>
      <w:lvlJc w:val="left"/>
      <w:pPr>
        <w:ind w:left="0" w:firstLine="0"/>
      </w:pPr>
    </w:lvl>
    <w:lvl w:ilvl="5">
      <w:start w:val="1"/>
      <w:numFmt w:val="decimal"/>
      <w:suff w:val="nothing"/>
      <w:lvlText w:val=""/>
      <w:lvlJc w:val="left"/>
      <w:pPr>
        <w:ind w:left="0" w:firstLine="0"/>
      </w:pPr>
    </w:lvl>
    <w:lvl w:ilvl="6">
      <w:start w:val="1"/>
      <w:numFmt w:val="decimal"/>
      <w:suff w:val="nothing"/>
      <w:lvlText w:val=""/>
      <w:lvlJc w:val="left"/>
      <w:pPr>
        <w:ind w:left="0" w:firstLine="0"/>
      </w:pPr>
    </w:lvl>
    <w:lvl w:ilvl="7">
      <w:start w:val="1"/>
      <w:numFmt w:val="decimal"/>
      <w:suff w:val="nothing"/>
      <w:lvlText w:val=""/>
      <w:lvlJc w:val="left"/>
      <w:pPr>
        <w:ind w:left="0" w:firstLine="0"/>
      </w:pPr>
    </w:lvl>
    <w:lvl w:ilvl="8">
      <w:start w:val="1"/>
      <w:numFmt w:val="decimal"/>
      <w:suff w:val="nothing"/>
      <w:lvlText w:val=""/>
      <w:lvlJc w:val="left"/>
      <w:pPr>
        <w:ind w:left="0" w:firstLine="0"/>
      </w:pPr>
    </w:lvl>
  </w:abstractNum>
  <w:abstractNum w:abstractNumId="6" w15:restartNumberingAfterBreak="0">
    <w:nsid w:val="0FB12BA1"/>
    <w:multiLevelType w:val="multilevel"/>
    <w:tmpl w:val="45C27C68"/>
    <w:styleLink w:val="SDMFootnoteList"/>
    <w:lvl w:ilvl="0">
      <w:start w:val="1"/>
      <w:numFmt w:val="none"/>
      <w:pStyle w:val="FootnoteText"/>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0FD52077"/>
    <w:multiLevelType w:val="multilevel"/>
    <w:tmpl w:val="A28EC812"/>
    <w:styleLink w:val="SDMMethEquationNrList"/>
    <w:lvl w:ilvl="0">
      <w:start w:val="1"/>
      <w:numFmt w:val="decimal"/>
      <w:pStyle w:val="SDMMethEquationNr"/>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0BF2A88"/>
    <w:multiLevelType w:val="multilevel"/>
    <w:tmpl w:val="87F2B1A4"/>
    <w:name w:val="Reg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9" w15:restartNumberingAfterBreak="0">
    <w:nsid w:val="14233F79"/>
    <w:multiLevelType w:val="multilevel"/>
    <w:tmpl w:val="C60EC370"/>
    <w:name w:val="Reg2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0" w15:restartNumberingAfterBreak="0">
    <w:nsid w:val="14357087"/>
    <w:multiLevelType w:val="multilevel"/>
    <w:tmpl w:val="3CC81634"/>
    <w:styleLink w:val="SDMTableBoxFigureFootnoteFullPageList"/>
    <w:lvl w:ilvl="0">
      <w:start w:val="1"/>
      <w:numFmt w:val="lowerLetter"/>
      <w:lvlText w:val="(%1)"/>
      <w:lvlJc w:val="left"/>
      <w:pPr>
        <w:ind w:left="142" w:hanging="255"/>
      </w:pPr>
      <w:rPr>
        <w:rFonts w:hint="default"/>
        <w:vertAlign w:val="superscript"/>
      </w:rPr>
    </w:lvl>
    <w:lvl w:ilvl="1">
      <w:start w:val="1"/>
      <w:numFmt w:val="decimal"/>
      <w:lvlText w:val="%2."/>
      <w:lvlJc w:val="left"/>
      <w:pPr>
        <w:ind w:left="454" w:hanging="312"/>
      </w:pPr>
      <w:rPr>
        <w:rFonts w:hint="default"/>
      </w:rPr>
    </w:lvl>
    <w:lvl w:ilvl="2">
      <w:start w:val="1"/>
      <w:numFmt w:val="lowerLetter"/>
      <w:lvlText w:val="(%3)"/>
      <w:lvlJc w:val="left"/>
      <w:pPr>
        <w:ind w:left="851" w:hanging="397"/>
      </w:pPr>
      <w:rPr>
        <w:rFonts w:hint="default"/>
      </w:rPr>
    </w:lvl>
    <w:lvl w:ilvl="3">
      <w:start w:val="1"/>
      <w:numFmt w:val="lowerRoman"/>
      <w:lvlText w:val="(%4)"/>
      <w:lvlJc w:val="left"/>
      <w:pPr>
        <w:ind w:left="1247" w:hanging="396"/>
      </w:pPr>
      <w:rPr>
        <w:rFonts w:hint="default"/>
      </w:rPr>
    </w:lvl>
    <w:lvl w:ilvl="4">
      <w:start w:val="1"/>
      <w:numFmt w:val="lowerLetter"/>
      <w:lvlText w:val="%5."/>
      <w:lvlJc w:val="left"/>
      <w:pPr>
        <w:ind w:left="1588" w:hanging="341"/>
      </w:pPr>
      <w:rPr>
        <w:rFonts w:hint="default"/>
      </w:rPr>
    </w:lvl>
    <w:lvl w:ilvl="5">
      <w:start w:val="1"/>
      <w:numFmt w:val="lowerRoman"/>
      <w:lvlText w:val="%6."/>
      <w:lvlJc w:val="left"/>
      <w:pPr>
        <w:ind w:left="2041" w:hanging="453"/>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45420C1"/>
    <w:multiLevelType w:val="multilevel"/>
    <w:tmpl w:val="A17458AC"/>
    <w:name w:val="Reg1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2" w15:restartNumberingAfterBreak="0">
    <w:nsid w:val="155523F4"/>
    <w:multiLevelType w:val="multilevel"/>
    <w:tmpl w:val="A6C8D0E2"/>
    <w:name w:val="Reg30"/>
    <w:lvl w:ilvl="0">
      <w:start w:val="1"/>
      <w:numFmt w:val="upperRoman"/>
      <w:suff w:val="space"/>
      <w:lvlText w:val="%1. "/>
      <w:lvlJc w:val="center"/>
      <w:pPr>
        <w:ind w:left="0" w:firstLine="0"/>
      </w:pPr>
      <w:rPr>
        <w:rFonts w:ascii="Times New Roman" w:hAnsi="Times New Roman" w:hint="default"/>
        <w:b/>
        <w:i w:val="0"/>
        <w:sz w:val="22"/>
      </w:rPr>
    </w:lvl>
    <w:lvl w:ilvl="1">
      <w:start w:val="1"/>
      <w:numFmt w:val="upperLetter"/>
      <w:suff w:val="space"/>
      <w:lvlText w:val="%2. "/>
      <w:lvlJc w:val="center"/>
      <w:pPr>
        <w:ind w:left="0" w:firstLine="0"/>
      </w:pPr>
      <w:rPr>
        <w:rFonts w:hint="default"/>
        <w:b/>
        <w:sz w:val="22"/>
        <w:u w:val="none"/>
      </w:rPr>
    </w:lvl>
    <w:lvl w:ilvl="2">
      <w:start w:val="1"/>
      <w:numFmt w:val="decimal"/>
      <w:suff w:val="space"/>
      <w:lvlText w:val="%3. "/>
      <w:lvlJc w:val="center"/>
      <w:pPr>
        <w:ind w:left="0" w:firstLine="0"/>
      </w:pPr>
      <w:rPr>
        <w:rFonts w:hint="default"/>
        <w:b w:val="0"/>
        <w:sz w:val="22"/>
        <w:u w:val="none"/>
      </w:rPr>
    </w:lvl>
    <w:lvl w:ilvl="3">
      <w:start w:val="1"/>
      <w:numFmt w:val="decimal"/>
      <w:lvlRestart w:val="0"/>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13" w15:restartNumberingAfterBreak="0">
    <w:nsid w:val="15B44D7C"/>
    <w:multiLevelType w:val="multilevel"/>
    <w:tmpl w:val="3CC81634"/>
    <w:styleLink w:val="SDMTablesFiguresNoteList"/>
    <w:lvl w:ilvl="0">
      <w:start w:val="1"/>
      <w:numFmt w:val="lowerLetter"/>
      <w:lvlText w:val="(%1)"/>
      <w:lvlJc w:val="left"/>
      <w:pPr>
        <w:ind w:left="142" w:hanging="255"/>
      </w:pPr>
      <w:rPr>
        <w:vertAlign w:val="superscript"/>
      </w:rPr>
    </w:lvl>
    <w:lvl w:ilvl="1">
      <w:start w:val="1"/>
      <w:numFmt w:val="decimal"/>
      <w:lvlText w:val="%2."/>
      <w:lvlJc w:val="left"/>
      <w:pPr>
        <w:ind w:left="454" w:hanging="312"/>
      </w:pPr>
    </w:lvl>
    <w:lvl w:ilvl="2">
      <w:start w:val="1"/>
      <w:numFmt w:val="lowerLetter"/>
      <w:lvlText w:val="(%3)"/>
      <w:lvlJc w:val="left"/>
      <w:pPr>
        <w:ind w:left="851" w:hanging="397"/>
      </w:pPr>
    </w:lvl>
    <w:lvl w:ilvl="3">
      <w:start w:val="1"/>
      <w:numFmt w:val="lowerRoman"/>
      <w:lvlText w:val="(%4)"/>
      <w:lvlJc w:val="left"/>
      <w:pPr>
        <w:ind w:left="1247" w:hanging="396"/>
      </w:pPr>
    </w:lvl>
    <w:lvl w:ilvl="4">
      <w:start w:val="1"/>
      <w:numFmt w:val="lowerLetter"/>
      <w:lvlText w:val="%5."/>
      <w:lvlJc w:val="left"/>
      <w:pPr>
        <w:ind w:left="1588" w:hanging="341"/>
      </w:pPr>
    </w:lvl>
    <w:lvl w:ilvl="5">
      <w:start w:val="1"/>
      <w:numFmt w:val="lowerRoman"/>
      <w:lvlText w:val="%6."/>
      <w:lvlJc w:val="left"/>
      <w:pPr>
        <w:ind w:left="2041" w:hanging="453"/>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4" w15:restartNumberingAfterBreak="0">
    <w:nsid w:val="15EB1E20"/>
    <w:multiLevelType w:val="multilevel"/>
    <w:tmpl w:val="4F9ED6BC"/>
    <w:styleLink w:val="SDMCovNoteHeadList"/>
    <w:lvl w:ilvl="0">
      <w:start w:val="1"/>
      <w:numFmt w:val="decimal"/>
      <w:pStyle w:val="SDMCovNoteHead1"/>
      <w:lvlText w:val="%1."/>
      <w:lvlJc w:val="left"/>
      <w:pPr>
        <w:tabs>
          <w:tab w:val="num" w:pos="709"/>
        </w:tabs>
        <w:ind w:left="709" w:hanging="709"/>
      </w:pPr>
      <w:rPr>
        <w:rFonts w:hint="default"/>
      </w:rPr>
    </w:lvl>
    <w:lvl w:ilvl="1">
      <w:start w:val="1"/>
      <w:numFmt w:val="decimal"/>
      <w:pStyle w:val="SDMCovNoteHead2"/>
      <w:lvlText w:val="%1.%2."/>
      <w:lvlJc w:val="left"/>
      <w:pPr>
        <w:tabs>
          <w:tab w:val="num" w:pos="709"/>
        </w:tabs>
        <w:ind w:left="794" w:hanging="794"/>
      </w:pPr>
      <w:rPr>
        <w:rFonts w:hint="default"/>
      </w:rPr>
    </w:lvl>
    <w:lvl w:ilvl="2">
      <w:start w:val="1"/>
      <w:numFmt w:val="decimal"/>
      <w:pStyle w:val="SDMCovNoteHead3"/>
      <w:lvlText w:val="%1.%2.%3."/>
      <w:lvlJc w:val="left"/>
      <w:pPr>
        <w:tabs>
          <w:tab w:val="num" w:pos="709"/>
        </w:tabs>
        <w:ind w:left="1191" w:hanging="119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16404ED9"/>
    <w:multiLevelType w:val="multilevel"/>
    <w:tmpl w:val="3CC81634"/>
    <w:styleLink w:val="SDMMethEquationNumberingList"/>
    <w:lvl w:ilvl="0">
      <w:start w:val="1"/>
      <w:numFmt w:val="lowerLetter"/>
      <w:pStyle w:val="SDMTableBoxFigureFootnoteFullPage"/>
      <w:lvlText w:val="(%1)"/>
      <w:lvlJc w:val="left"/>
      <w:pPr>
        <w:ind w:left="142" w:hanging="255"/>
      </w:pPr>
      <w:rPr>
        <w:rFonts w:hint="default"/>
        <w:vertAlign w:val="superscript"/>
      </w:rPr>
    </w:lvl>
    <w:lvl w:ilvl="1">
      <w:start w:val="1"/>
      <w:numFmt w:val="decimal"/>
      <w:pStyle w:val="SDMTableBoxFigureFootnoteSL1FullPage"/>
      <w:lvlText w:val="%2."/>
      <w:lvlJc w:val="left"/>
      <w:pPr>
        <w:ind w:left="454" w:hanging="312"/>
      </w:pPr>
      <w:rPr>
        <w:rFonts w:hint="default"/>
      </w:rPr>
    </w:lvl>
    <w:lvl w:ilvl="2">
      <w:start w:val="1"/>
      <w:numFmt w:val="lowerLetter"/>
      <w:pStyle w:val="SDMTableBoxFigureFootnoteSL2FullPage"/>
      <w:lvlText w:val="(%3)"/>
      <w:lvlJc w:val="left"/>
      <w:pPr>
        <w:ind w:left="851" w:hanging="397"/>
      </w:pPr>
      <w:rPr>
        <w:rFonts w:hint="default"/>
      </w:rPr>
    </w:lvl>
    <w:lvl w:ilvl="3">
      <w:start w:val="1"/>
      <w:numFmt w:val="lowerRoman"/>
      <w:pStyle w:val="SDMTableBoxFigureFootnoteSL3FullPage"/>
      <w:lvlText w:val="(%4)"/>
      <w:lvlJc w:val="left"/>
      <w:pPr>
        <w:ind w:left="1247" w:hanging="396"/>
      </w:pPr>
      <w:rPr>
        <w:rFonts w:hint="default"/>
      </w:rPr>
    </w:lvl>
    <w:lvl w:ilvl="4">
      <w:start w:val="1"/>
      <w:numFmt w:val="lowerLetter"/>
      <w:pStyle w:val="SDMTableBoxFigureFootnoteSL4FullPage"/>
      <w:lvlText w:val="%5."/>
      <w:lvlJc w:val="left"/>
      <w:pPr>
        <w:ind w:left="1588" w:hanging="341"/>
      </w:pPr>
      <w:rPr>
        <w:rFonts w:hint="default"/>
      </w:rPr>
    </w:lvl>
    <w:lvl w:ilvl="5">
      <w:start w:val="1"/>
      <w:numFmt w:val="lowerRoman"/>
      <w:pStyle w:val="SDMTableBoxFigureFootnoteSL5FullPage"/>
      <w:lvlText w:val="%6."/>
      <w:lvlJc w:val="left"/>
      <w:pPr>
        <w:ind w:left="2041" w:hanging="453"/>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1728147F"/>
    <w:multiLevelType w:val="multilevel"/>
    <w:tmpl w:val="7B8621E0"/>
    <w:name w:val="Reg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17"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18" w15:restartNumberingAfterBreak="0">
    <w:nsid w:val="19D06D3A"/>
    <w:multiLevelType w:val="hybridMultilevel"/>
    <w:tmpl w:val="F9B8C8A2"/>
    <w:lvl w:ilvl="0" w:tplc="75B07132">
      <w:start w:val="1"/>
      <w:numFmt w:val="bullet"/>
      <w:lvlText w:val=""/>
      <w:lvlJc w:val="left"/>
      <w:pPr>
        <w:ind w:left="360" w:hanging="360"/>
      </w:pPr>
      <w:rPr>
        <w:rFonts w:ascii="Symbol" w:hAnsi="Symbol" w:hint="default"/>
      </w:rPr>
    </w:lvl>
    <w:lvl w:ilvl="1" w:tplc="2AC2A7A2" w:tentative="1">
      <w:start w:val="1"/>
      <w:numFmt w:val="bullet"/>
      <w:lvlText w:val="o"/>
      <w:lvlJc w:val="left"/>
      <w:pPr>
        <w:ind w:left="1080" w:hanging="360"/>
      </w:pPr>
      <w:rPr>
        <w:rFonts w:ascii="Courier New" w:hAnsi="Courier New" w:hint="default"/>
      </w:rPr>
    </w:lvl>
    <w:lvl w:ilvl="2" w:tplc="7BEA25DE" w:tentative="1">
      <w:start w:val="1"/>
      <w:numFmt w:val="bullet"/>
      <w:lvlText w:val=""/>
      <w:lvlJc w:val="left"/>
      <w:pPr>
        <w:ind w:left="1800" w:hanging="360"/>
      </w:pPr>
      <w:rPr>
        <w:rFonts w:ascii="Wingdings" w:hAnsi="Wingdings" w:hint="default"/>
      </w:rPr>
    </w:lvl>
    <w:lvl w:ilvl="3" w:tplc="0038D55C" w:tentative="1">
      <w:start w:val="1"/>
      <w:numFmt w:val="bullet"/>
      <w:lvlText w:val=""/>
      <w:lvlJc w:val="left"/>
      <w:pPr>
        <w:ind w:left="2520" w:hanging="360"/>
      </w:pPr>
      <w:rPr>
        <w:rFonts w:ascii="Symbol" w:hAnsi="Symbol" w:hint="default"/>
      </w:rPr>
    </w:lvl>
    <w:lvl w:ilvl="4" w:tplc="A7D8BE5A" w:tentative="1">
      <w:start w:val="1"/>
      <w:numFmt w:val="bullet"/>
      <w:lvlText w:val="o"/>
      <w:lvlJc w:val="left"/>
      <w:pPr>
        <w:ind w:left="3240" w:hanging="360"/>
      </w:pPr>
      <w:rPr>
        <w:rFonts w:ascii="Courier New" w:hAnsi="Courier New" w:hint="default"/>
      </w:rPr>
    </w:lvl>
    <w:lvl w:ilvl="5" w:tplc="3BA8EC5E" w:tentative="1">
      <w:start w:val="1"/>
      <w:numFmt w:val="bullet"/>
      <w:lvlText w:val=""/>
      <w:lvlJc w:val="left"/>
      <w:pPr>
        <w:ind w:left="3960" w:hanging="360"/>
      </w:pPr>
      <w:rPr>
        <w:rFonts w:ascii="Wingdings" w:hAnsi="Wingdings" w:hint="default"/>
      </w:rPr>
    </w:lvl>
    <w:lvl w:ilvl="6" w:tplc="9640B6D6" w:tentative="1">
      <w:start w:val="1"/>
      <w:numFmt w:val="bullet"/>
      <w:lvlText w:val=""/>
      <w:lvlJc w:val="left"/>
      <w:pPr>
        <w:ind w:left="4680" w:hanging="360"/>
      </w:pPr>
      <w:rPr>
        <w:rFonts w:ascii="Symbol" w:hAnsi="Symbol" w:hint="default"/>
      </w:rPr>
    </w:lvl>
    <w:lvl w:ilvl="7" w:tplc="D93EB74E" w:tentative="1">
      <w:start w:val="1"/>
      <w:numFmt w:val="bullet"/>
      <w:lvlText w:val="o"/>
      <w:lvlJc w:val="left"/>
      <w:pPr>
        <w:ind w:left="5400" w:hanging="360"/>
      </w:pPr>
      <w:rPr>
        <w:rFonts w:ascii="Courier New" w:hAnsi="Courier New" w:hint="default"/>
      </w:rPr>
    </w:lvl>
    <w:lvl w:ilvl="8" w:tplc="A3B02D30" w:tentative="1">
      <w:start w:val="1"/>
      <w:numFmt w:val="bullet"/>
      <w:lvlText w:val=""/>
      <w:lvlJc w:val="left"/>
      <w:pPr>
        <w:ind w:left="6120" w:hanging="360"/>
      </w:pPr>
      <w:rPr>
        <w:rFonts w:ascii="Wingdings" w:hAnsi="Wingdings" w:hint="default"/>
      </w:rPr>
    </w:lvl>
  </w:abstractNum>
  <w:abstractNum w:abstractNumId="19" w15:restartNumberingAfterBreak="0">
    <w:nsid w:val="1AFF55CC"/>
    <w:multiLevelType w:val="multilevel"/>
    <w:tmpl w:val="A22614FA"/>
    <w:name w:val="Reg8"/>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0" w15:restartNumberingAfterBreak="0">
    <w:nsid w:val="1B897AAA"/>
    <w:multiLevelType w:val="multilevel"/>
    <w:tmpl w:val="FD2ACF66"/>
    <w:name w:val="Reg2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1" w15:restartNumberingAfterBreak="0">
    <w:nsid w:val="1BB5186F"/>
    <w:multiLevelType w:val="multilevel"/>
    <w:tmpl w:val="C182385A"/>
    <w:styleLink w:val="SDMAppHeadList"/>
    <w:lvl w:ilvl="0">
      <w:start w:val="1"/>
      <w:numFmt w:val="decimal"/>
      <w:pStyle w:val="SDMAppTitle"/>
      <w:lvlText w:val="Appendix %1."/>
      <w:lvlJc w:val="left"/>
      <w:pPr>
        <w:ind w:left="2126" w:hanging="2126"/>
      </w:pPr>
      <w:rPr>
        <w:rFonts w:hint="default"/>
      </w:rPr>
    </w:lvl>
    <w:lvl w:ilvl="1">
      <w:start w:val="1"/>
      <w:numFmt w:val="decimal"/>
      <w:pStyle w:val="SDMApp1"/>
      <w:lvlText w:val="%2."/>
      <w:lvlJc w:val="left"/>
      <w:pPr>
        <w:tabs>
          <w:tab w:val="num" w:pos="709"/>
        </w:tabs>
        <w:ind w:left="680" w:hanging="680"/>
      </w:pPr>
      <w:rPr>
        <w:rFonts w:hint="default"/>
      </w:rPr>
    </w:lvl>
    <w:lvl w:ilvl="2">
      <w:start w:val="1"/>
      <w:numFmt w:val="decimal"/>
      <w:pStyle w:val="SDMApp2"/>
      <w:lvlText w:val="%2.%3."/>
      <w:lvlJc w:val="left"/>
      <w:pPr>
        <w:tabs>
          <w:tab w:val="num" w:pos="709"/>
        </w:tabs>
        <w:ind w:left="851" w:hanging="851"/>
      </w:pPr>
      <w:rPr>
        <w:rFonts w:hint="default"/>
      </w:rPr>
    </w:lvl>
    <w:lvl w:ilvl="3">
      <w:start w:val="1"/>
      <w:numFmt w:val="decimal"/>
      <w:pStyle w:val="SDMApp3"/>
      <w:lvlText w:val="%2.%3.%4."/>
      <w:lvlJc w:val="left"/>
      <w:pPr>
        <w:tabs>
          <w:tab w:val="num" w:pos="709"/>
        </w:tabs>
        <w:ind w:left="1191" w:hanging="1191"/>
      </w:pPr>
      <w:rPr>
        <w:rFonts w:hint="default"/>
      </w:rPr>
    </w:lvl>
    <w:lvl w:ilvl="4">
      <w:start w:val="1"/>
      <w:numFmt w:val="decimal"/>
      <w:pStyle w:val="SDMApp4"/>
      <w:lvlText w:val="%2.%3.%4.%5."/>
      <w:lvlJc w:val="left"/>
      <w:pPr>
        <w:tabs>
          <w:tab w:val="num" w:pos="1418"/>
        </w:tabs>
        <w:ind w:left="1588" w:hanging="1588"/>
      </w:pPr>
      <w:rPr>
        <w:rFonts w:hint="default"/>
      </w:rPr>
    </w:lvl>
    <w:lvl w:ilvl="5">
      <w:start w:val="1"/>
      <w:numFmt w:val="decimal"/>
      <w:pStyle w:val="SDMApp5"/>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1BC515BF"/>
    <w:multiLevelType w:val="multilevel"/>
    <w:tmpl w:val="02D64298"/>
    <w:name w:val="Reg3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3" w15:restartNumberingAfterBreak="0">
    <w:nsid w:val="21364769"/>
    <w:multiLevelType w:val="multilevel"/>
    <w:tmpl w:val="C172A2B4"/>
    <w:name w:val="Reg2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4" w15:restartNumberingAfterBreak="0">
    <w:nsid w:val="26566C45"/>
    <w:multiLevelType w:val="multilevel"/>
    <w:tmpl w:val="4858EB8E"/>
    <w:numStyleLink w:val="SDMTableBoxFigureFootnoteList"/>
  </w:abstractNum>
  <w:abstractNum w:abstractNumId="25" w15:restartNumberingAfterBreak="0">
    <w:nsid w:val="27BA34E2"/>
    <w:multiLevelType w:val="hybridMultilevel"/>
    <w:tmpl w:val="7D8254B8"/>
    <w:lvl w:ilvl="0" w:tplc="828CDD98">
      <w:start w:val="1"/>
      <w:numFmt w:val="lowerLetter"/>
      <w:pStyle w:val="Bulletedtext"/>
      <w:lvlText w:val="(%1)"/>
      <w:lvlJc w:val="left"/>
      <w:pPr>
        <w:tabs>
          <w:tab w:val="num" w:pos="568"/>
        </w:tabs>
        <w:ind w:left="568" w:hanging="284"/>
      </w:pPr>
      <w:rPr>
        <w:rFonts w:ascii="Arial" w:hAnsi="Arial" w:hint="default"/>
      </w:rPr>
    </w:lvl>
    <w:lvl w:ilvl="1" w:tplc="A35EE266">
      <w:start w:val="1"/>
      <w:numFmt w:val="bullet"/>
      <w:lvlText w:val="o"/>
      <w:lvlJc w:val="left"/>
      <w:pPr>
        <w:tabs>
          <w:tab w:val="num" w:pos="1724"/>
        </w:tabs>
        <w:ind w:left="1724" w:hanging="360"/>
      </w:pPr>
      <w:rPr>
        <w:rFonts w:ascii="Courier New" w:hAnsi="Courier New" w:hint="default"/>
      </w:rPr>
    </w:lvl>
    <w:lvl w:ilvl="2" w:tplc="1EE2307C" w:tentative="1">
      <w:start w:val="1"/>
      <w:numFmt w:val="bullet"/>
      <w:lvlText w:val=""/>
      <w:lvlJc w:val="left"/>
      <w:pPr>
        <w:tabs>
          <w:tab w:val="num" w:pos="2444"/>
        </w:tabs>
        <w:ind w:left="2444" w:hanging="360"/>
      </w:pPr>
      <w:rPr>
        <w:rFonts w:ascii="Wingdings" w:hAnsi="Wingdings" w:hint="default"/>
      </w:rPr>
    </w:lvl>
    <w:lvl w:ilvl="3" w:tplc="93CA27C8" w:tentative="1">
      <w:start w:val="1"/>
      <w:numFmt w:val="bullet"/>
      <w:lvlText w:val=""/>
      <w:lvlJc w:val="left"/>
      <w:pPr>
        <w:tabs>
          <w:tab w:val="num" w:pos="3164"/>
        </w:tabs>
        <w:ind w:left="3164" w:hanging="360"/>
      </w:pPr>
      <w:rPr>
        <w:rFonts w:ascii="Symbol" w:hAnsi="Symbol" w:hint="default"/>
      </w:rPr>
    </w:lvl>
    <w:lvl w:ilvl="4" w:tplc="A93C0BB4" w:tentative="1">
      <w:start w:val="1"/>
      <w:numFmt w:val="bullet"/>
      <w:lvlText w:val="o"/>
      <w:lvlJc w:val="left"/>
      <w:pPr>
        <w:tabs>
          <w:tab w:val="num" w:pos="3884"/>
        </w:tabs>
        <w:ind w:left="3884" w:hanging="360"/>
      </w:pPr>
      <w:rPr>
        <w:rFonts w:ascii="Courier New" w:hAnsi="Courier New" w:hint="default"/>
      </w:rPr>
    </w:lvl>
    <w:lvl w:ilvl="5" w:tplc="49B8743C" w:tentative="1">
      <w:start w:val="1"/>
      <w:numFmt w:val="bullet"/>
      <w:lvlText w:val=""/>
      <w:lvlJc w:val="left"/>
      <w:pPr>
        <w:tabs>
          <w:tab w:val="num" w:pos="4604"/>
        </w:tabs>
        <w:ind w:left="4604" w:hanging="360"/>
      </w:pPr>
      <w:rPr>
        <w:rFonts w:ascii="Wingdings" w:hAnsi="Wingdings" w:hint="default"/>
      </w:rPr>
    </w:lvl>
    <w:lvl w:ilvl="6" w:tplc="BA4EC8AE" w:tentative="1">
      <w:start w:val="1"/>
      <w:numFmt w:val="bullet"/>
      <w:lvlText w:val=""/>
      <w:lvlJc w:val="left"/>
      <w:pPr>
        <w:tabs>
          <w:tab w:val="num" w:pos="5324"/>
        </w:tabs>
        <w:ind w:left="5324" w:hanging="360"/>
      </w:pPr>
      <w:rPr>
        <w:rFonts w:ascii="Symbol" w:hAnsi="Symbol" w:hint="default"/>
      </w:rPr>
    </w:lvl>
    <w:lvl w:ilvl="7" w:tplc="67E40546" w:tentative="1">
      <w:start w:val="1"/>
      <w:numFmt w:val="bullet"/>
      <w:lvlText w:val="o"/>
      <w:lvlJc w:val="left"/>
      <w:pPr>
        <w:tabs>
          <w:tab w:val="num" w:pos="6044"/>
        </w:tabs>
        <w:ind w:left="6044" w:hanging="360"/>
      </w:pPr>
      <w:rPr>
        <w:rFonts w:ascii="Courier New" w:hAnsi="Courier New" w:hint="default"/>
      </w:rPr>
    </w:lvl>
    <w:lvl w:ilvl="8" w:tplc="9AD8FDE0"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2B2037D9"/>
    <w:multiLevelType w:val="multilevel"/>
    <w:tmpl w:val="C182385A"/>
    <w:numStyleLink w:val="SDMAppHeadList"/>
  </w:abstractNum>
  <w:abstractNum w:abstractNumId="27" w15:restartNumberingAfterBreak="0">
    <w:nsid w:val="2D6E1A00"/>
    <w:multiLevelType w:val="multilevel"/>
    <w:tmpl w:val="568476D8"/>
    <w:name w:val="Reg"/>
    <w:lvl w:ilvl="0">
      <w:start w:val="1"/>
      <w:numFmt w:val="upperRoman"/>
      <w:suff w:val="space"/>
      <w:lvlText w:val="%1. "/>
      <w:lvlJc w:val="right"/>
      <w:pPr>
        <w:ind w:left="0" w:firstLine="0"/>
      </w:pPr>
    </w:lvl>
    <w:lvl w:ilvl="1">
      <w:start w:val="1"/>
      <w:numFmt w:val="upperLetter"/>
      <w:suff w:val="space"/>
      <w:lvlText w:val="%2. "/>
      <w:lvlJc w:val="left"/>
      <w:pPr>
        <w:ind w:left="0" w:firstLine="0"/>
      </w:pPr>
      <w:rPr>
        <w:b/>
        <w:u w:val="none"/>
      </w:rPr>
    </w:lvl>
    <w:lvl w:ilvl="2">
      <w:start w:val="1"/>
      <w:numFmt w:val="decimal"/>
      <w:lvlRestart w:val="0"/>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hint="default"/>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28" w15:restartNumberingAfterBreak="0">
    <w:nsid w:val="2FA03A21"/>
    <w:multiLevelType w:val="multilevel"/>
    <w:tmpl w:val="40EAA4EC"/>
    <w:name w:val="Reg3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9" w15:restartNumberingAfterBreak="0">
    <w:nsid w:val="307B1BD9"/>
    <w:multiLevelType w:val="multilevel"/>
    <w:tmpl w:val="075A6334"/>
    <w:name w:val="Reg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30" w15:restartNumberingAfterBreak="0">
    <w:nsid w:val="318031D1"/>
    <w:multiLevelType w:val="multilevel"/>
    <w:tmpl w:val="E2A427E0"/>
    <w:name w:val="Toc13"/>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31" w15:restartNumberingAfterBreak="0">
    <w:nsid w:val="31A3680B"/>
    <w:multiLevelType w:val="multilevel"/>
    <w:tmpl w:val="DEEC8B6A"/>
    <w:name w:val="Reg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32" w15:restartNumberingAfterBreak="0">
    <w:nsid w:val="329F3314"/>
    <w:multiLevelType w:val="hybridMultilevel"/>
    <w:tmpl w:val="E71CA80C"/>
    <w:lvl w:ilvl="0" w:tplc="04090017">
      <w:start w:val="1"/>
      <w:numFmt w:val="lowerLetter"/>
      <w:lvlText w:val="%1)"/>
      <w:lvlJc w:val="left"/>
      <w:pPr>
        <w:ind w:left="360" w:hanging="360"/>
      </w:pPr>
      <w:rPr>
        <w:rFonts w:hint="default"/>
      </w:rPr>
    </w:lvl>
    <w:lvl w:ilvl="1" w:tplc="84D8EEA2" w:tentative="1">
      <w:start w:val="1"/>
      <w:numFmt w:val="bullet"/>
      <w:lvlText w:val="o"/>
      <w:lvlJc w:val="left"/>
      <w:pPr>
        <w:ind w:left="1080" w:hanging="360"/>
      </w:pPr>
      <w:rPr>
        <w:rFonts w:ascii="Courier New" w:hAnsi="Courier New" w:hint="default"/>
      </w:rPr>
    </w:lvl>
    <w:lvl w:ilvl="2" w:tplc="8196DA6A" w:tentative="1">
      <w:start w:val="1"/>
      <w:numFmt w:val="bullet"/>
      <w:lvlText w:val=""/>
      <w:lvlJc w:val="left"/>
      <w:pPr>
        <w:ind w:left="1800" w:hanging="360"/>
      </w:pPr>
      <w:rPr>
        <w:rFonts w:ascii="Wingdings" w:hAnsi="Wingdings" w:hint="default"/>
      </w:rPr>
    </w:lvl>
    <w:lvl w:ilvl="3" w:tplc="98624FAC" w:tentative="1">
      <w:start w:val="1"/>
      <w:numFmt w:val="bullet"/>
      <w:lvlText w:val=""/>
      <w:lvlJc w:val="left"/>
      <w:pPr>
        <w:ind w:left="2520" w:hanging="360"/>
      </w:pPr>
      <w:rPr>
        <w:rFonts w:ascii="Symbol" w:hAnsi="Symbol" w:hint="default"/>
      </w:rPr>
    </w:lvl>
    <w:lvl w:ilvl="4" w:tplc="C8F88114" w:tentative="1">
      <w:start w:val="1"/>
      <w:numFmt w:val="bullet"/>
      <w:lvlText w:val="o"/>
      <w:lvlJc w:val="left"/>
      <w:pPr>
        <w:ind w:left="3240" w:hanging="360"/>
      </w:pPr>
      <w:rPr>
        <w:rFonts w:ascii="Courier New" w:hAnsi="Courier New" w:hint="default"/>
      </w:rPr>
    </w:lvl>
    <w:lvl w:ilvl="5" w:tplc="4CA6EA1C" w:tentative="1">
      <w:start w:val="1"/>
      <w:numFmt w:val="bullet"/>
      <w:lvlText w:val=""/>
      <w:lvlJc w:val="left"/>
      <w:pPr>
        <w:ind w:left="3960" w:hanging="360"/>
      </w:pPr>
      <w:rPr>
        <w:rFonts w:ascii="Wingdings" w:hAnsi="Wingdings" w:hint="default"/>
      </w:rPr>
    </w:lvl>
    <w:lvl w:ilvl="6" w:tplc="F5184DE4" w:tentative="1">
      <w:start w:val="1"/>
      <w:numFmt w:val="bullet"/>
      <w:lvlText w:val=""/>
      <w:lvlJc w:val="left"/>
      <w:pPr>
        <w:ind w:left="4680" w:hanging="360"/>
      </w:pPr>
      <w:rPr>
        <w:rFonts w:ascii="Symbol" w:hAnsi="Symbol" w:hint="default"/>
      </w:rPr>
    </w:lvl>
    <w:lvl w:ilvl="7" w:tplc="8EFCDEE8" w:tentative="1">
      <w:start w:val="1"/>
      <w:numFmt w:val="bullet"/>
      <w:lvlText w:val="o"/>
      <w:lvlJc w:val="left"/>
      <w:pPr>
        <w:ind w:left="5400" w:hanging="360"/>
      </w:pPr>
      <w:rPr>
        <w:rFonts w:ascii="Courier New" w:hAnsi="Courier New" w:hint="default"/>
      </w:rPr>
    </w:lvl>
    <w:lvl w:ilvl="8" w:tplc="F46ED2B0" w:tentative="1">
      <w:start w:val="1"/>
      <w:numFmt w:val="bullet"/>
      <w:lvlText w:val=""/>
      <w:lvlJc w:val="left"/>
      <w:pPr>
        <w:ind w:left="6120" w:hanging="360"/>
      </w:pPr>
      <w:rPr>
        <w:rFonts w:ascii="Wingdings" w:hAnsi="Wingdings" w:hint="default"/>
      </w:rPr>
    </w:lvl>
  </w:abstractNum>
  <w:abstractNum w:abstractNumId="33" w15:restartNumberingAfterBreak="0">
    <w:nsid w:val="361204E8"/>
    <w:multiLevelType w:val="hybridMultilevel"/>
    <w:tmpl w:val="7D8254B8"/>
    <w:styleLink w:val="SDMMethEquationList"/>
    <w:lvl w:ilvl="0" w:tplc="828CDD98">
      <w:start w:val="1"/>
      <w:numFmt w:val="lowerLetter"/>
      <w:lvlText w:val="(%1)"/>
      <w:lvlJc w:val="left"/>
      <w:pPr>
        <w:tabs>
          <w:tab w:val="num" w:pos="568"/>
        </w:tabs>
        <w:ind w:left="568" w:hanging="284"/>
      </w:pPr>
      <w:rPr>
        <w:rFonts w:ascii="Arial" w:hAnsi="Arial" w:hint="default"/>
      </w:rPr>
    </w:lvl>
    <w:lvl w:ilvl="1" w:tplc="A35EE266">
      <w:start w:val="1"/>
      <w:numFmt w:val="bullet"/>
      <w:lvlText w:val="o"/>
      <w:lvlJc w:val="left"/>
      <w:pPr>
        <w:tabs>
          <w:tab w:val="num" w:pos="1724"/>
        </w:tabs>
        <w:ind w:left="1724" w:hanging="360"/>
      </w:pPr>
      <w:rPr>
        <w:rFonts w:ascii="Courier New" w:hAnsi="Courier New" w:hint="default"/>
      </w:rPr>
    </w:lvl>
    <w:lvl w:ilvl="2" w:tplc="1EE2307C" w:tentative="1">
      <w:start w:val="1"/>
      <w:numFmt w:val="bullet"/>
      <w:lvlText w:val=""/>
      <w:lvlJc w:val="left"/>
      <w:pPr>
        <w:tabs>
          <w:tab w:val="num" w:pos="2444"/>
        </w:tabs>
        <w:ind w:left="2444" w:hanging="360"/>
      </w:pPr>
      <w:rPr>
        <w:rFonts w:ascii="Wingdings" w:hAnsi="Wingdings" w:hint="default"/>
      </w:rPr>
    </w:lvl>
    <w:lvl w:ilvl="3" w:tplc="93CA27C8" w:tentative="1">
      <w:start w:val="1"/>
      <w:numFmt w:val="bullet"/>
      <w:lvlText w:val=""/>
      <w:lvlJc w:val="left"/>
      <w:pPr>
        <w:tabs>
          <w:tab w:val="num" w:pos="3164"/>
        </w:tabs>
        <w:ind w:left="3164" w:hanging="360"/>
      </w:pPr>
      <w:rPr>
        <w:rFonts w:ascii="Symbol" w:hAnsi="Symbol" w:hint="default"/>
      </w:rPr>
    </w:lvl>
    <w:lvl w:ilvl="4" w:tplc="A93C0BB4" w:tentative="1">
      <w:start w:val="1"/>
      <w:numFmt w:val="bullet"/>
      <w:lvlText w:val="o"/>
      <w:lvlJc w:val="left"/>
      <w:pPr>
        <w:tabs>
          <w:tab w:val="num" w:pos="3884"/>
        </w:tabs>
        <w:ind w:left="3884" w:hanging="360"/>
      </w:pPr>
      <w:rPr>
        <w:rFonts w:ascii="Courier New" w:hAnsi="Courier New" w:hint="default"/>
      </w:rPr>
    </w:lvl>
    <w:lvl w:ilvl="5" w:tplc="49B8743C" w:tentative="1">
      <w:start w:val="1"/>
      <w:numFmt w:val="bullet"/>
      <w:lvlText w:val=""/>
      <w:lvlJc w:val="left"/>
      <w:pPr>
        <w:tabs>
          <w:tab w:val="num" w:pos="4604"/>
        </w:tabs>
        <w:ind w:left="4604" w:hanging="360"/>
      </w:pPr>
      <w:rPr>
        <w:rFonts w:ascii="Wingdings" w:hAnsi="Wingdings" w:hint="default"/>
      </w:rPr>
    </w:lvl>
    <w:lvl w:ilvl="6" w:tplc="BA4EC8AE" w:tentative="1">
      <w:start w:val="1"/>
      <w:numFmt w:val="bullet"/>
      <w:lvlText w:val=""/>
      <w:lvlJc w:val="left"/>
      <w:pPr>
        <w:tabs>
          <w:tab w:val="num" w:pos="5324"/>
        </w:tabs>
        <w:ind w:left="5324" w:hanging="360"/>
      </w:pPr>
      <w:rPr>
        <w:rFonts w:ascii="Symbol" w:hAnsi="Symbol" w:hint="default"/>
      </w:rPr>
    </w:lvl>
    <w:lvl w:ilvl="7" w:tplc="67E40546" w:tentative="1">
      <w:start w:val="1"/>
      <w:numFmt w:val="bullet"/>
      <w:lvlText w:val="o"/>
      <w:lvlJc w:val="left"/>
      <w:pPr>
        <w:tabs>
          <w:tab w:val="num" w:pos="6044"/>
        </w:tabs>
        <w:ind w:left="6044" w:hanging="360"/>
      </w:pPr>
      <w:rPr>
        <w:rFonts w:ascii="Courier New" w:hAnsi="Courier New" w:hint="default"/>
      </w:rPr>
    </w:lvl>
    <w:lvl w:ilvl="8" w:tplc="9AD8FDE0" w:tentative="1">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36924865"/>
    <w:multiLevelType w:val="multilevel"/>
    <w:tmpl w:val="AE6881FE"/>
    <w:name w:val="Reg2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6" w15:restartNumberingAfterBreak="0">
    <w:nsid w:val="3C792321"/>
    <w:multiLevelType w:val="multilevel"/>
    <w:tmpl w:val="54D600CE"/>
    <w:name w:val="Reg20"/>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7" w15:restartNumberingAfterBreak="0">
    <w:nsid w:val="3CFD042E"/>
    <w:multiLevelType w:val="multilevel"/>
    <w:tmpl w:val="C694A2DA"/>
    <w:name w:val="Reg1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8" w15:restartNumberingAfterBreak="0">
    <w:nsid w:val="3DC16119"/>
    <w:multiLevelType w:val="multilevel"/>
    <w:tmpl w:val="BCBAC81C"/>
    <w:name w:val="Reg1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9" w15:restartNumberingAfterBreak="0">
    <w:nsid w:val="3FDA42F1"/>
    <w:multiLevelType w:val="multilevel"/>
    <w:tmpl w:val="AE709A9A"/>
    <w:name w:val="Reg1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0" w15:restartNumberingAfterBreak="0">
    <w:nsid w:val="428120B6"/>
    <w:multiLevelType w:val="multilevel"/>
    <w:tmpl w:val="23DC3AAA"/>
    <w:name w:val="Reg32"/>
    <w:lvl w:ilvl="0">
      <w:start w:val="1"/>
      <w:numFmt w:val="upperRoman"/>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41" w15:restartNumberingAfterBreak="0">
    <w:nsid w:val="45E052B9"/>
    <w:multiLevelType w:val="multilevel"/>
    <w:tmpl w:val="BAB8CCD8"/>
    <w:name w:val="Dec"/>
    <w:lvl w:ilvl="0">
      <w:start w:val="1"/>
      <w:numFmt w:val="upperRoman"/>
      <w:suff w:val="space"/>
      <w:lvlText w:val="%1. "/>
      <w:lvlJc w:val="right"/>
      <w:pPr>
        <w:ind w:left="0" w:firstLine="0"/>
      </w:pPr>
      <w:rPr>
        <w:rFonts w:hint="default"/>
        <w:sz w:val="24"/>
        <w:szCs w:val="24"/>
      </w:rPr>
    </w:lvl>
    <w:lvl w:ilvl="1">
      <w:start w:val="1"/>
      <w:numFmt w:val="decimal"/>
      <w:suff w:val="space"/>
      <w:lvlText w:val="%2. "/>
      <w:lvlJc w:val="left"/>
      <w:pPr>
        <w:ind w:left="0" w:firstLine="0"/>
      </w:pPr>
      <w:rPr>
        <w:rFonts w:hint="default"/>
        <w:u w:val="none"/>
      </w:rPr>
    </w:lvl>
    <w:lvl w:ilvl="2">
      <w:start w:val="1"/>
      <w:numFmt w:val="lowerLetter"/>
      <w:lvlText w:val="(%3)"/>
      <w:lvlJc w:val="left"/>
      <w:pPr>
        <w:tabs>
          <w:tab w:val="num" w:pos="360"/>
        </w:tabs>
        <w:ind w:left="0" w:firstLine="0"/>
      </w:pPr>
      <w:rPr>
        <w:rFonts w:hint="default"/>
        <w:b w:val="0"/>
        <w:i w:val="0"/>
        <w:u w:val="none"/>
      </w:rPr>
    </w:lvl>
    <w:lvl w:ilvl="3">
      <w:start w:val="1"/>
      <w:numFmt w:val="lowerRoman"/>
      <w:lvlText w:val="(%4)"/>
      <w:lvlJc w:val="right"/>
      <w:pPr>
        <w:tabs>
          <w:tab w:val="num" w:pos="1440"/>
        </w:tabs>
        <w:ind w:left="1440" w:hanging="533"/>
      </w:pPr>
      <w:rPr>
        <w:rFonts w:ascii="Times New Roman" w:hAnsi="Times New Roman" w:hint="default"/>
        <w:b w:val="0"/>
      </w:rPr>
    </w:lvl>
    <w:lvl w:ilvl="4">
      <w:start w:val="1"/>
      <w:numFmt w:val="decimal"/>
      <w:lvlRestart w:val="0"/>
      <w:lvlText w:val="%5."/>
      <w:lvlJc w:val="left"/>
      <w:pPr>
        <w:tabs>
          <w:tab w:val="num" w:pos="720"/>
        </w:tabs>
        <w:ind w:left="0" w:firstLine="0"/>
      </w:pPr>
      <w:rPr>
        <w:rFonts w:ascii="Times New Roman" w:hAnsi="Times New Roman" w:hint="default"/>
      </w:rPr>
    </w:lvl>
    <w:lvl w:ilvl="5">
      <w:start w:val="1"/>
      <w:numFmt w:val="lowerLetter"/>
      <w:lvlText w:val="(%6)"/>
      <w:lvlJc w:val="left"/>
      <w:pPr>
        <w:tabs>
          <w:tab w:val="num" w:pos="1440"/>
        </w:tabs>
        <w:ind w:left="0" w:firstLine="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Letter"/>
      <w:lvlText w:val=""/>
      <w:lvlJc w:val="left"/>
      <w:pPr>
        <w:tabs>
          <w:tab w:val="num" w:pos="2880"/>
        </w:tabs>
        <w:ind w:left="2880" w:hanging="720"/>
      </w:pPr>
      <w:rPr>
        <w:rFonts w:ascii="Symbol" w:hAnsi="Symbol" w:hint="default"/>
      </w:rPr>
    </w:lvl>
  </w:abstractNum>
  <w:abstractNum w:abstractNumId="42" w15:restartNumberingAfterBreak="0">
    <w:nsid w:val="46C06A9C"/>
    <w:multiLevelType w:val="hybridMultilevel"/>
    <w:tmpl w:val="FF8AE9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76B292B"/>
    <w:multiLevelType w:val="multilevel"/>
    <w:tmpl w:val="4858EB8E"/>
    <w:styleLink w:val="SDMTableBoxFigureFootnoteList"/>
    <w:lvl w:ilvl="0">
      <w:start w:val="1"/>
      <w:numFmt w:val="lowerLetter"/>
      <w:pStyle w:val="SDMTableBoxFigureFootnote"/>
      <w:lvlText w:val="(%1)"/>
      <w:lvlJc w:val="left"/>
      <w:pPr>
        <w:ind w:left="964" w:hanging="255"/>
      </w:pPr>
      <w:rPr>
        <w:rFonts w:hint="default"/>
        <w:b w:val="0"/>
        <w:i w:val="0"/>
        <w:vertAlign w:val="superscript"/>
      </w:rPr>
    </w:lvl>
    <w:lvl w:ilvl="1">
      <w:start w:val="1"/>
      <w:numFmt w:val="decimal"/>
      <w:pStyle w:val="SDMTableBoxFigureFootnoteSL1"/>
      <w:lvlText w:val="%2."/>
      <w:lvlJc w:val="left"/>
      <w:pPr>
        <w:ind w:left="1276" w:hanging="312"/>
      </w:pPr>
      <w:rPr>
        <w:rFonts w:hint="default"/>
      </w:rPr>
    </w:lvl>
    <w:lvl w:ilvl="2">
      <w:start w:val="1"/>
      <w:numFmt w:val="lowerLetter"/>
      <w:pStyle w:val="SDMTableBoxFigureFootnoteSL2"/>
      <w:lvlText w:val="(%3)"/>
      <w:lvlJc w:val="left"/>
      <w:pPr>
        <w:ind w:left="1673" w:hanging="397"/>
      </w:pPr>
      <w:rPr>
        <w:rFonts w:hint="default"/>
      </w:rPr>
    </w:lvl>
    <w:lvl w:ilvl="3">
      <w:start w:val="1"/>
      <w:numFmt w:val="lowerRoman"/>
      <w:pStyle w:val="SDMTableBoxFigureFootnoteSL3"/>
      <w:lvlText w:val="(%4)"/>
      <w:lvlJc w:val="left"/>
      <w:pPr>
        <w:ind w:left="2070" w:hanging="397"/>
      </w:pPr>
      <w:rPr>
        <w:rFonts w:hint="default"/>
      </w:rPr>
    </w:lvl>
    <w:lvl w:ilvl="4">
      <w:start w:val="1"/>
      <w:numFmt w:val="lowerLetter"/>
      <w:pStyle w:val="SDMTableBoxFigureFootnoteSL4"/>
      <w:lvlText w:val="%5."/>
      <w:lvlJc w:val="left"/>
      <w:pPr>
        <w:ind w:left="2410" w:hanging="340"/>
      </w:pPr>
      <w:rPr>
        <w:rFonts w:hint="default"/>
      </w:rPr>
    </w:lvl>
    <w:lvl w:ilvl="5">
      <w:start w:val="1"/>
      <w:numFmt w:val="lowerRoman"/>
      <w:pStyle w:val="SDMTableBoxFigureFootnoteSL5"/>
      <w:lvlText w:val="%6."/>
      <w:lvlJc w:val="left"/>
      <w:pPr>
        <w:ind w:left="2750" w:hanging="34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4" w15:restartNumberingAfterBreak="0">
    <w:nsid w:val="4AC52DB2"/>
    <w:multiLevelType w:val="multilevel"/>
    <w:tmpl w:val="C694A2DA"/>
    <w:name w:val="Reg1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45" w15:restartNumberingAfterBreak="0">
    <w:nsid w:val="4B55483B"/>
    <w:multiLevelType w:val="multilevel"/>
    <w:tmpl w:val="BBA2A6C6"/>
    <w:name w:val="Reg10"/>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6" w15:restartNumberingAfterBreak="0">
    <w:nsid w:val="4DF0353F"/>
    <w:multiLevelType w:val="multilevel"/>
    <w:tmpl w:val="7C72A55E"/>
    <w:name w:val="Reg1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7" w15:restartNumberingAfterBreak="0">
    <w:nsid w:val="524561C4"/>
    <w:multiLevelType w:val="multilevel"/>
    <w:tmpl w:val="A26A24AE"/>
    <w:name w:val="Reg18"/>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8" w15:restartNumberingAfterBreak="0">
    <w:nsid w:val="59DF782D"/>
    <w:multiLevelType w:val="hybridMultilevel"/>
    <w:tmpl w:val="BF220D26"/>
    <w:lvl w:ilvl="0" w:tplc="FBE8AB02">
      <w:start w:val="1"/>
      <w:numFmt w:val="bullet"/>
      <w:lvlText w:val=""/>
      <w:lvlJc w:val="left"/>
      <w:pPr>
        <w:ind w:left="360" w:hanging="360"/>
      </w:pPr>
      <w:rPr>
        <w:rFonts w:ascii="Symbol" w:hAnsi="Symbol" w:hint="default"/>
      </w:rPr>
    </w:lvl>
    <w:lvl w:ilvl="1" w:tplc="FBF45EF2" w:tentative="1">
      <w:start w:val="1"/>
      <w:numFmt w:val="bullet"/>
      <w:lvlText w:val="o"/>
      <w:lvlJc w:val="left"/>
      <w:pPr>
        <w:ind w:left="1080" w:hanging="360"/>
      </w:pPr>
      <w:rPr>
        <w:rFonts w:ascii="Courier New" w:hAnsi="Courier New" w:hint="default"/>
      </w:rPr>
    </w:lvl>
    <w:lvl w:ilvl="2" w:tplc="F9548C84" w:tentative="1">
      <w:start w:val="1"/>
      <w:numFmt w:val="bullet"/>
      <w:lvlText w:val=""/>
      <w:lvlJc w:val="left"/>
      <w:pPr>
        <w:ind w:left="1800" w:hanging="360"/>
      </w:pPr>
      <w:rPr>
        <w:rFonts w:ascii="Wingdings" w:hAnsi="Wingdings" w:hint="default"/>
      </w:rPr>
    </w:lvl>
    <w:lvl w:ilvl="3" w:tplc="1B3AC214" w:tentative="1">
      <w:start w:val="1"/>
      <w:numFmt w:val="bullet"/>
      <w:lvlText w:val=""/>
      <w:lvlJc w:val="left"/>
      <w:pPr>
        <w:ind w:left="2520" w:hanging="360"/>
      </w:pPr>
      <w:rPr>
        <w:rFonts w:ascii="Symbol" w:hAnsi="Symbol" w:hint="default"/>
      </w:rPr>
    </w:lvl>
    <w:lvl w:ilvl="4" w:tplc="0324FA02" w:tentative="1">
      <w:start w:val="1"/>
      <w:numFmt w:val="bullet"/>
      <w:lvlText w:val="o"/>
      <w:lvlJc w:val="left"/>
      <w:pPr>
        <w:ind w:left="3240" w:hanging="360"/>
      </w:pPr>
      <w:rPr>
        <w:rFonts w:ascii="Courier New" w:hAnsi="Courier New" w:hint="default"/>
      </w:rPr>
    </w:lvl>
    <w:lvl w:ilvl="5" w:tplc="E6861E8C" w:tentative="1">
      <w:start w:val="1"/>
      <w:numFmt w:val="bullet"/>
      <w:lvlText w:val=""/>
      <w:lvlJc w:val="left"/>
      <w:pPr>
        <w:ind w:left="3960" w:hanging="360"/>
      </w:pPr>
      <w:rPr>
        <w:rFonts w:ascii="Wingdings" w:hAnsi="Wingdings" w:hint="default"/>
      </w:rPr>
    </w:lvl>
    <w:lvl w:ilvl="6" w:tplc="3D7C0FA4" w:tentative="1">
      <w:start w:val="1"/>
      <w:numFmt w:val="bullet"/>
      <w:lvlText w:val=""/>
      <w:lvlJc w:val="left"/>
      <w:pPr>
        <w:ind w:left="4680" w:hanging="360"/>
      </w:pPr>
      <w:rPr>
        <w:rFonts w:ascii="Symbol" w:hAnsi="Symbol" w:hint="default"/>
      </w:rPr>
    </w:lvl>
    <w:lvl w:ilvl="7" w:tplc="5868173E" w:tentative="1">
      <w:start w:val="1"/>
      <w:numFmt w:val="bullet"/>
      <w:lvlText w:val="o"/>
      <w:lvlJc w:val="left"/>
      <w:pPr>
        <w:ind w:left="5400" w:hanging="360"/>
      </w:pPr>
      <w:rPr>
        <w:rFonts w:ascii="Courier New" w:hAnsi="Courier New" w:hint="default"/>
      </w:rPr>
    </w:lvl>
    <w:lvl w:ilvl="8" w:tplc="E97267F2" w:tentative="1">
      <w:start w:val="1"/>
      <w:numFmt w:val="bullet"/>
      <w:lvlText w:val=""/>
      <w:lvlJc w:val="left"/>
      <w:pPr>
        <w:ind w:left="6120" w:hanging="360"/>
      </w:pPr>
      <w:rPr>
        <w:rFonts w:ascii="Wingdings" w:hAnsi="Wingdings" w:hint="default"/>
      </w:rPr>
    </w:lvl>
  </w:abstractNum>
  <w:abstractNum w:abstractNumId="49" w15:restartNumberingAfterBreak="0">
    <w:nsid w:val="5AB17E88"/>
    <w:multiLevelType w:val="multilevel"/>
    <w:tmpl w:val="A28EC812"/>
    <w:styleLink w:val="SDMTableBoxParaList"/>
    <w:lvl w:ilvl="0">
      <w:start w:val="1"/>
      <w:numFmt w:val="decimal"/>
      <w:suff w:val="nothing"/>
      <w:lvlText w:val="Equation (%1)"/>
      <w:lvlJc w:val="left"/>
      <w:pPr>
        <w:ind w:left="0" w:firstLine="0"/>
      </w:pPr>
    </w:lvl>
    <w:lvl w:ilvl="1">
      <w:start w:val="1"/>
      <w:numFmt w:val="decimal"/>
      <w:suff w:val="nothing"/>
      <w:lvlText w:val=""/>
      <w:lvlJc w:val="left"/>
      <w:pPr>
        <w:ind w:left="0" w:firstLine="0"/>
      </w:pPr>
    </w:lvl>
    <w:lvl w:ilvl="2">
      <w:start w:val="1"/>
      <w:numFmt w:val="decimal"/>
      <w:suff w:val="nothing"/>
      <w:lvlText w:val=""/>
      <w:lvlJc w:val="left"/>
      <w:pPr>
        <w:ind w:left="0" w:firstLine="0"/>
      </w:pPr>
    </w:lvl>
    <w:lvl w:ilvl="3">
      <w:start w:val="1"/>
      <w:numFmt w:val="decimal"/>
      <w:suff w:val="nothing"/>
      <w:lvlText w:val=""/>
      <w:lvlJc w:val="left"/>
      <w:pPr>
        <w:ind w:left="0" w:firstLine="0"/>
      </w:pPr>
    </w:lvl>
    <w:lvl w:ilvl="4">
      <w:start w:val="1"/>
      <w:numFmt w:val="decimal"/>
      <w:suff w:val="nothing"/>
      <w:lvlText w:val=""/>
      <w:lvlJc w:val="left"/>
      <w:pPr>
        <w:ind w:left="0" w:firstLine="0"/>
      </w:pPr>
    </w:lvl>
    <w:lvl w:ilvl="5">
      <w:start w:val="1"/>
      <w:numFmt w:val="decimal"/>
      <w:suff w:val="nothing"/>
      <w:lvlText w:val=""/>
      <w:lvlJc w:val="left"/>
      <w:pPr>
        <w:ind w:left="0" w:firstLine="0"/>
      </w:pPr>
    </w:lvl>
    <w:lvl w:ilvl="6">
      <w:start w:val="1"/>
      <w:numFmt w:val="decimal"/>
      <w:suff w:val="nothing"/>
      <w:lvlText w:val=""/>
      <w:lvlJc w:val="left"/>
      <w:pPr>
        <w:ind w:left="0" w:firstLine="0"/>
      </w:pPr>
    </w:lvl>
    <w:lvl w:ilvl="7">
      <w:start w:val="1"/>
      <w:numFmt w:val="decimal"/>
      <w:suff w:val="nothing"/>
      <w:lvlText w:val=""/>
      <w:lvlJc w:val="left"/>
      <w:pPr>
        <w:ind w:left="0" w:firstLine="0"/>
      </w:pPr>
    </w:lvl>
    <w:lvl w:ilvl="8">
      <w:start w:val="1"/>
      <w:numFmt w:val="decimal"/>
      <w:suff w:val="nothing"/>
      <w:lvlText w:val=""/>
      <w:lvlJc w:val="left"/>
      <w:pPr>
        <w:ind w:left="0" w:firstLine="0"/>
      </w:pPr>
    </w:lvl>
  </w:abstractNum>
  <w:abstractNum w:abstractNumId="50" w15:restartNumberingAfterBreak="0">
    <w:nsid w:val="5BA93531"/>
    <w:multiLevelType w:val="hybridMultilevel"/>
    <w:tmpl w:val="A7B2C02E"/>
    <w:lvl w:ilvl="0" w:tplc="04090017">
      <w:start w:val="1"/>
      <w:numFmt w:val="lowerLetter"/>
      <w:lvlText w:val="%1)"/>
      <w:lvlJc w:val="left"/>
      <w:pPr>
        <w:ind w:left="360" w:hanging="360"/>
      </w:pPr>
      <w:rPr>
        <w:rFonts w:hint="default"/>
      </w:rPr>
    </w:lvl>
    <w:lvl w:ilvl="1" w:tplc="0409001B">
      <w:start w:val="1"/>
      <w:numFmt w:val="lowerRoman"/>
      <w:lvlText w:val="%2."/>
      <w:lvlJc w:val="right"/>
      <w:pPr>
        <w:ind w:left="360" w:hanging="360"/>
      </w:pPr>
    </w:lvl>
    <w:lvl w:ilvl="2" w:tplc="0409001B">
      <w:start w:val="1"/>
      <w:numFmt w:val="lowerRoman"/>
      <w:lvlText w:val="%3."/>
      <w:lvlJc w:val="right"/>
      <w:pPr>
        <w:ind w:left="927" w:hanging="360"/>
      </w:pPr>
    </w:lvl>
    <w:lvl w:ilvl="3" w:tplc="E14849BA" w:tentative="1">
      <w:start w:val="1"/>
      <w:numFmt w:val="bullet"/>
      <w:lvlText w:val=""/>
      <w:lvlJc w:val="left"/>
      <w:pPr>
        <w:ind w:left="2520" w:hanging="360"/>
      </w:pPr>
      <w:rPr>
        <w:rFonts w:ascii="Symbol" w:hAnsi="Symbol" w:hint="default"/>
      </w:rPr>
    </w:lvl>
    <w:lvl w:ilvl="4" w:tplc="C728F9B4" w:tentative="1">
      <w:start w:val="1"/>
      <w:numFmt w:val="bullet"/>
      <w:lvlText w:val="o"/>
      <w:lvlJc w:val="left"/>
      <w:pPr>
        <w:ind w:left="3240" w:hanging="360"/>
      </w:pPr>
      <w:rPr>
        <w:rFonts w:ascii="Courier New" w:hAnsi="Courier New" w:hint="default"/>
      </w:rPr>
    </w:lvl>
    <w:lvl w:ilvl="5" w:tplc="1B5CEC36" w:tentative="1">
      <w:start w:val="1"/>
      <w:numFmt w:val="bullet"/>
      <w:lvlText w:val=""/>
      <w:lvlJc w:val="left"/>
      <w:pPr>
        <w:ind w:left="3960" w:hanging="360"/>
      </w:pPr>
      <w:rPr>
        <w:rFonts w:ascii="Wingdings" w:hAnsi="Wingdings" w:hint="default"/>
      </w:rPr>
    </w:lvl>
    <w:lvl w:ilvl="6" w:tplc="63FACE20" w:tentative="1">
      <w:start w:val="1"/>
      <w:numFmt w:val="bullet"/>
      <w:lvlText w:val=""/>
      <w:lvlJc w:val="left"/>
      <w:pPr>
        <w:ind w:left="4680" w:hanging="360"/>
      </w:pPr>
      <w:rPr>
        <w:rFonts w:ascii="Symbol" w:hAnsi="Symbol" w:hint="default"/>
      </w:rPr>
    </w:lvl>
    <w:lvl w:ilvl="7" w:tplc="5396FDEE" w:tentative="1">
      <w:start w:val="1"/>
      <w:numFmt w:val="bullet"/>
      <w:lvlText w:val="o"/>
      <w:lvlJc w:val="left"/>
      <w:pPr>
        <w:ind w:left="5400" w:hanging="360"/>
      </w:pPr>
      <w:rPr>
        <w:rFonts w:ascii="Courier New" w:hAnsi="Courier New" w:hint="default"/>
      </w:rPr>
    </w:lvl>
    <w:lvl w:ilvl="8" w:tplc="5ED224A6" w:tentative="1">
      <w:start w:val="1"/>
      <w:numFmt w:val="bullet"/>
      <w:lvlText w:val=""/>
      <w:lvlJc w:val="left"/>
      <w:pPr>
        <w:ind w:left="6120" w:hanging="360"/>
      </w:pPr>
      <w:rPr>
        <w:rFonts w:ascii="Wingdings" w:hAnsi="Wingdings" w:hint="default"/>
      </w:rPr>
    </w:lvl>
  </w:abstractNum>
  <w:abstractNum w:abstractNumId="51" w15:restartNumberingAfterBreak="0">
    <w:nsid w:val="5E65057A"/>
    <w:multiLevelType w:val="multilevel"/>
    <w:tmpl w:val="50041812"/>
    <w:name w:val="Reg1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2" w15:restartNumberingAfterBreak="0">
    <w:nsid w:val="5E9E10EE"/>
    <w:multiLevelType w:val="hybridMultilevel"/>
    <w:tmpl w:val="3C8A0ED6"/>
    <w:lvl w:ilvl="0" w:tplc="18A02760">
      <w:start w:val="1"/>
      <w:numFmt w:val="bullet"/>
      <w:lvlText w:val=""/>
      <w:lvlJc w:val="left"/>
      <w:pPr>
        <w:ind w:left="360" w:hanging="360"/>
      </w:pPr>
      <w:rPr>
        <w:rFonts w:ascii="Symbol" w:hAnsi="Symbol" w:hint="default"/>
      </w:rPr>
    </w:lvl>
    <w:lvl w:ilvl="1" w:tplc="0E32E4F6" w:tentative="1">
      <w:start w:val="1"/>
      <w:numFmt w:val="bullet"/>
      <w:lvlText w:val="o"/>
      <w:lvlJc w:val="left"/>
      <w:pPr>
        <w:ind w:left="1080" w:hanging="360"/>
      </w:pPr>
      <w:rPr>
        <w:rFonts w:ascii="Courier New" w:hAnsi="Courier New" w:hint="default"/>
      </w:rPr>
    </w:lvl>
    <w:lvl w:ilvl="2" w:tplc="7212AA64" w:tentative="1">
      <w:start w:val="1"/>
      <w:numFmt w:val="bullet"/>
      <w:lvlText w:val=""/>
      <w:lvlJc w:val="left"/>
      <w:pPr>
        <w:ind w:left="1800" w:hanging="360"/>
      </w:pPr>
      <w:rPr>
        <w:rFonts w:ascii="Wingdings" w:hAnsi="Wingdings" w:hint="default"/>
      </w:rPr>
    </w:lvl>
    <w:lvl w:ilvl="3" w:tplc="54CC9DF4" w:tentative="1">
      <w:start w:val="1"/>
      <w:numFmt w:val="bullet"/>
      <w:lvlText w:val=""/>
      <w:lvlJc w:val="left"/>
      <w:pPr>
        <w:ind w:left="2520" w:hanging="360"/>
      </w:pPr>
      <w:rPr>
        <w:rFonts w:ascii="Symbol" w:hAnsi="Symbol" w:hint="default"/>
      </w:rPr>
    </w:lvl>
    <w:lvl w:ilvl="4" w:tplc="2F624ECE" w:tentative="1">
      <w:start w:val="1"/>
      <w:numFmt w:val="bullet"/>
      <w:lvlText w:val="o"/>
      <w:lvlJc w:val="left"/>
      <w:pPr>
        <w:ind w:left="3240" w:hanging="360"/>
      </w:pPr>
      <w:rPr>
        <w:rFonts w:ascii="Courier New" w:hAnsi="Courier New" w:hint="default"/>
      </w:rPr>
    </w:lvl>
    <w:lvl w:ilvl="5" w:tplc="8ADEF8D0" w:tentative="1">
      <w:start w:val="1"/>
      <w:numFmt w:val="bullet"/>
      <w:lvlText w:val=""/>
      <w:lvlJc w:val="left"/>
      <w:pPr>
        <w:ind w:left="3960" w:hanging="360"/>
      </w:pPr>
      <w:rPr>
        <w:rFonts w:ascii="Wingdings" w:hAnsi="Wingdings" w:hint="default"/>
      </w:rPr>
    </w:lvl>
    <w:lvl w:ilvl="6" w:tplc="EE92E1D6" w:tentative="1">
      <w:start w:val="1"/>
      <w:numFmt w:val="bullet"/>
      <w:lvlText w:val=""/>
      <w:lvlJc w:val="left"/>
      <w:pPr>
        <w:ind w:left="4680" w:hanging="360"/>
      </w:pPr>
      <w:rPr>
        <w:rFonts w:ascii="Symbol" w:hAnsi="Symbol" w:hint="default"/>
      </w:rPr>
    </w:lvl>
    <w:lvl w:ilvl="7" w:tplc="8E0E32C4" w:tentative="1">
      <w:start w:val="1"/>
      <w:numFmt w:val="bullet"/>
      <w:lvlText w:val="o"/>
      <w:lvlJc w:val="left"/>
      <w:pPr>
        <w:ind w:left="5400" w:hanging="360"/>
      </w:pPr>
      <w:rPr>
        <w:rFonts w:ascii="Courier New" w:hAnsi="Courier New" w:hint="default"/>
      </w:rPr>
    </w:lvl>
    <w:lvl w:ilvl="8" w:tplc="F5F08E34" w:tentative="1">
      <w:start w:val="1"/>
      <w:numFmt w:val="bullet"/>
      <w:lvlText w:val=""/>
      <w:lvlJc w:val="left"/>
      <w:pPr>
        <w:ind w:left="6120" w:hanging="360"/>
      </w:pPr>
      <w:rPr>
        <w:rFonts w:ascii="Wingdings" w:hAnsi="Wingdings" w:hint="default"/>
      </w:rPr>
    </w:lvl>
  </w:abstractNum>
  <w:abstractNum w:abstractNumId="53" w15:restartNumberingAfterBreak="0">
    <w:nsid w:val="639E5E02"/>
    <w:multiLevelType w:val="multilevel"/>
    <w:tmpl w:val="E9BEC3F6"/>
    <w:name w:val="Reg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54" w15:restartNumberingAfterBreak="0">
    <w:nsid w:val="64D345AC"/>
    <w:multiLevelType w:val="multilevel"/>
    <w:tmpl w:val="12C0BDFA"/>
    <w:name w:val="Reg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5" w15:restartNumberingAfterBreak="0">
    <w:nsid w:val="6B392DA7"/>
    <w:multiLevelType w:val="multilevel"/>
    <w:tmpl w:val="5EDE06C6"/>
    <w:numStyleLink w:val="SDMParaList"/>
  </w:abstractNum>
  <w:abstractNum w:abstractNumId="56" w15:restartNumberingAfterBreak="0">
    <w:nsid w:val="6BAA183E"/>
    <w:multiLevelType w:val="multilevel"/>
    <w:tmpl w:val="AE40536C"/>
    <w:name w:val="Reg3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7" w15:restartNumberingAfterBreak="0">
    <w:nsid w:val="6C331F90"/>
    <w:multiLevelType w:val="multilevel"/>
    <w:tmpl w:val="08090023"/>
    <w:lvl w:ilvl="0">
      <w:start w:val="1"/>
      <w:numFmt w:val="upperRoman"/>
      <w:pStyle w:val="Heading1"/>
      <w:lvlText w:val="Article %1."/>
      <w:lvlJc w:val="left"/>
      <w:pPr>
        <w:ind w:left="0" w:firstLine="0"/>
      </w:pPr>
    </w:lvl>
    <w:lvl w:ilvl="1">
      <w:start w:val="1"/>
      <w:numFmt w:val="decimal"/>
      <w:pStyle w:val="Heading2"/>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58" w15:restartNumberingAfterBreak="0">
    <w:nsid w:val="6C7F0F7C"/>
    <w:multiLevelType w:val="hybridMultilevel"/>
    <w:tmpl w:val="B09CD4E8"/>
    <w:lvl w:ilvl="0" w:tplc="FFFFFFFF">
      <w:start w:val="1"/>
      <w:numFmt w:val="lowerLetter"/>
      <w:lvlText w:val="%1)"/>
      <w:lvlJc w:val="left"/>
      <w:pPr>
        <w:ind w:left="360" w:hanging="360"/>
      </w:pPr>
      <w:rPr>
        <w:rFonts w:hint="default"/>
      </w:rPr>
    </w:lvl>
    <w:lvl w:ilvl="1" w:tplc="04090017">
      <w:start w:val="1"/>
      <w:numFmt w:val="lowerLetter"/>
      <w:lvlText w:val="%2)"/>
      <w:lvlJc w:val="left"/>
      <w:pPr>
        <w:ind w:left="360" w:hanging="360"/>
      </w:pPr>
    </w:lvl>
    <w:lvl w:ilvl="2" w:tplc="0409001B">
      <w:start w:val="1"/>
      <w:numFmt w:val="lowerRoman"/>
      <w:lvlText w:val="%3."/>
      <w:lvlJc w:val="right"/>
      <w:pPr>
        <w:ind w:left="643" w:hanging="360"/>
      </w:p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6E1606BE"/>
    <w:multiLevelType w:val="multilevel"/>
    <w:tmpl w:val="CC264296"/>
    <w:name w:val="Reg2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0" w15:restartNumberingAfterBreak="0">
    <w:nsid w:val="6F060572"/>
    <w:multiLevelType w:val="multilevel"/>
    <w:tmpl w:val="5B66B3FC"/>
    <w:name w:val="Reg3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1" w15:restartNumberingAfterBreak="0">
    <w:nsid w:val="6FF560E4"/>
    <w:multiLevelType w:val="multilevel"/>
    <w:tmpl w:val="0E4A9DFC"/>
    <w:name w:val="Reg27"/>
    <w:lvl w:ilvl="0">
      <w:start w:val="1"/>
      <w:numFmt w:val="upperRoman"/>
      <w:suff w:val="space"/>
      <w:lvlText w:val="%1."/>
      <w:lvlJc w:val="left"/>
      <w:pPr>
        <w:ind w:left="720" w:hanging="720"/>
      </w:pPr>
      <w:rPr>
        <w:rFonts w:hint="default"/>
        <w:b/>
        <w:i w:val="0"/>
        <w:sz w:val="20"/>
      </w:rPr>
    </w:lvl>
    <w:lvl w:ilvl="1">
      <w:start w:val="1"/>
      <w:numFmt w:val="upperLetter"/>
      <w:suff w:val="space"/>
      <w:lvlText w:val="%2. "/>
      <w:lvlJc w:val="left"/>
      <w:pPr>
        <w:ind w:left="0" w:firstLine="0"/>
      </w:pPr>
      <w:rPr>
        <w:rFonts w:hint="default"/>
        <w:b w:val="0"/>
        <w:i w:val="0"/>
        <w:sz w:val="22"/>
        <w:u w:val="none"/>
      </w:rPr>
    </w:lvl>
    <w:lvl w:ilvl="2">
      <w:start w:val="1"/>
      <w:numFmt w:val="decimal"/>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75906882"/>
    <w:multiLevelType w:val="hybridMultilevel"/>
    <w:tmpl w:val="028C0C32"/>
    <w:name w:val="Reg28"/>
    <w:lvl w:ilvl="0" w:tplc="03DEC4E8">
      <w:start w:val="1"/>
      <w:numFmt w:val="bullet"/>
      <w:lvlText w:val=""/>
      <w:lvlJc w:val="left"/>
      <w:pPr>
        <w:tabs>
          <w:tab w:val="num" w:pos="720"/>
        </w:tabs>
        <w:ind w:left="720" w:hanging="360"/>
      </w:pPr>
      <w:rPr>
        <w:rFonts w:ascii="Symbol" w:hAnsi="Symbol" w:hint="default"/>
      </w:rPr>
    </w:lvl>
    <w:lvl w:ilvl="1" w:tplc="8AA43FB0" w:tentative="1">
      <w:start w:val="1"/>
      <w:numFmt w:val="bullet"/>
      <w:lvlText w:val="o"/>
      <w:lvlJc w:val="left"/>
      <w:pPr>
        <w:tabs>
          <w:tab w:val="num" w:pos="1440"/>
        </w:tabs>
        <w:ind w:left="1440" w:hanging="360"/>
      </w:pPr>
      <w:rPr>
        <w:rFonts w:ascii="Courier New" w:hAnsi="Courier New" w:hint="default"/>
      </w:rPr>
    </w:lvl>
    <w:lvl w:ilvl="2" w:tplc="C86089E4" w:tentative="1">
      <w:start w:val="1"/>
      <w:numFmt w:val="bullet"/>
      <w:lvlText w:val=""/>
      <w:lvlJc w:val="left"/>
      <w:pPr>
        <w:tabs>
          <w:tab w:val="num" w:pos="2160"/>
        </w:tabs>
        <w:ind w:left="2160" w:hanging="360"/>
      </w:pPr>
      <w:rPr>
        <w:rFonts w:ascii="Wingdings" w:hAnsi="Wingdings" w:hint="default"/>
      </w:rPr>
    </w:lvl>
    <w:lvl w:ilvl="3" w:tplc="684CA72E" w:tentative="1">
      <w:start w:val="1"/>
      <w:numFmt w:val="bullet"/>
      <w:lvlText w:val=""/>
      <w:lvlJc w:val="left"/>
      <w:pPr>
        <w:tabs>
          <w:tab w:val="num" w:pos="2880"/>
        </w:tabs>
        <w:ind w:left="2880" w:hanging="360"/>
      </w:pPr>
      <w:rPr>
        <w:rFonts w:ascii="Symbol" w:hAnsi="Symbol" w:hint="default"/>
      </w:rPr>
    </w:lvl>
    <w:lvl w:ilvl="4" w:tplc="06A09FC6">
      <w:start w:val="1"/>
      <w:numFmt w:val="bullet"/>
      <w:lvlText w:val="o"/>
      <w:lvlJc w:val="left"/>
      <w:pPr>
        <w:tabs>
          <w:tab w:val="num" w:pos="3600"/>
        </w:tabs>
        <w:ind w:left="3600" w:hanging="360"/>
      </w:pPr>
      <w:rPr>
        <w:rFonts w:ascii="Courier New" w:hAnsi="Courier New" w:hint="default"/>
      </w:rPr>
    </w:lvl>
    <w:lvl w:ilvl="5" w:tplc="FDB82654" w:tentative="1">
      <w:start w:val="1"/>
      <w:numFmt w:val="bullet"/>
      <w:lvlText w:val=""/>
      <w:lvlJc w:val="left"/>
      <w:pPr>
        <w:tabs>
          <w:tab w:val="num" w:pos="4320"/>
        </w:tabs>
        <w:ind w:left="4320" w:hanging="360"/>
      </w:pPr>
      <w:rPr>
        <w:rFonts w:ascii="Wingdings" w:hAnsi="Wingdings" w:hint="default"/>
      </w:rPr>
    </w:lvl>
    <w:lvl w:ilvl="6" w:tplc="AAC861AE" w:tentative="1">
      <w:start w:val="1"/>
      <w:numFmt w:val="bullet"/>
      <w:lvlText w:val=""/>
      <w:lvlJc w:val="left"/>
      <w:pPr>
        <w:tabs>
          <w:tab w:val="num" w:pos="5040"/>
        </w:tabs>
        <w:ind w:left="5040" w:hanging="360"/>
      </w:pPr>
      <w:rPr>
        <w:rFonts w:ascii="Symbol" w:hAnsi="Symbol" w:hint="default"/>
      </w:rPr>
    </w:lvl>
    <w:lvl w:ilvl="7" w:tplc="ABC41C8E" w:tentative="1">
      <w:start w:val="1"/>
      <w:numFmt w:val="bullet"/>
      <w:lvlText w:val="o"/>
      <w:lvlJc w:val="left"/>
      <w:pPr>
        <w:tabs>
          <w:tab w:val="num" w:pos="5760"/>
        </w:tabs>
        <w:ind w:left="5760" w:hanging="360"/>
      </w:pPr>
      <w:rPr>
        <w:rFonts w:ascii="Courier New" w:hAnsi="Courier New" w:hint="default"/>
      </w:rPr>
    </w:lvl>
    <w:lvl w:ilvl="8" w:tplc="FDC41136"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pStyle w:val="SDMHead2"/>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64" w15:restartNumberingAfterBreak="0">
    <w:nsid w:val="7CBA47F7"/>
    <w:multiLevelType w:val="hybridMultilevel"/>
    <w:tmpl w:val="0A4A371A"/>
    <w:name w:val="Reg36"/>
    <w:lvl w:ilvl="0" w:tplc="FFFFFFFF">
      <w:start w:val="1"/>
      <w:numFmt w:val="lowerRoman"/>
      <w:lvlText w:val="(%1)"/>
      <w:lvlJc w:val="left"/>
      <w:pPr>
        <w:tabs>
          <w:tab w:val="num" w:pos="1440"/>
        </w:tabs>
        <w:ind w:left="887" w:hanging="167"/>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40054148">
    <w:abstractNumId w:val="15"/>
  </w:num>
  <w:num w:numId="2" w16cid:durableId="1399400583">
    <w:abstractNumId w:val="13"/>
  </w:num>
  <w:num w:numId="3" w16cid:durableId="263806986">
    <w:abstractNumId w:val="49"/>
  </w:num>
  <w:num w:numId="4" w16cid:durableId="470099762">
    <w:abstractNumId w:val="25"/>
  </w:num>
  <w:num w:numId="5" w16cid:durableId="1196500987">
    <w:abstractNumId w:val="33"/>
  </w:num>
  <w:num w:numId="6" w16cid:durableId="2127499039">
    <w:abstractNumId w:val="5"/>
    <w:lvlOverride w:ilvl="0">
      <w:lvl w:ilvl="0">
        <w:start w:val="1"/>
        <w:numFmt w:val="decimal"/>
        <w:suff w:val="nothing"/>
        <w:lvlText w:val="Equation (%1)"/>
        <w:lvlJc w:val="left"/>
        <w:pPr>
          <w:ind w:left="0" w:firstLine="0"/>
        </w:pPr>
        <w:rPr>
          <w:rFonts w:hint="default"/>
        </w:rPr>
      </w:lvl>
    </w:lvlOverride>
    <w:lvlOverride w:ilvl="1">
      <w:lvl w:ilvl="1">
        <w:start w:val="1"/>
        <w:numFmt w:val="none"/>
        <w:suff w:val="nothing"/>
        <w:lvlText w:val=""/>
        <w:lvlJc w:val="left"/>
        <w:pPr>
          <w:ind w:left="0" w:firstLine="0"/>
        </w:pPr>
        <w:rPr>
          <w:rFonts w:hint="default"/>
        </w:rPr>
      </w:lvl>
    </w:lvlOverride>
    <w:lvlOverride w:ilvl="2">
      <w:lvl w:ilvl="2">
        <w:start w:val="1"/>
        <w:numFmt w:val="none"/>
        <w:suff w:val="nothing"/>
        <w:lvlText w:val=""/>
        <w:lvlJc w:val="left"/>
        <w:pPr>
          <w:ind w:left="0" w:firstLine="0"/>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7" w16cid:durableId="1413964007">
    <w:abstractNumId w:val="50"/>
  </w:num>
  <w:num w:numId="8" w16cid:durableId="1816409087">
    <w:abstractNumId w:val="32"/>
  </w:num>
  <w:num w:numId="9" w16cid:durableId="2126127">
    <w:abstractNumId w:val="5"/>
    <w:lvlOverride w:ilvl="0">
      <w:lvl w:ilvl="0">
        <w:start w:val="1"/>
        <w:numFmt w:val="decimal"/>
        <w:suff w:val="nothing"/>
        <w:lvlText w:val="Equation (%1)"/>
        <w:lvlJc w:val="left"/>
        <w:pPr>
          <w:ind w:left="0" w:firstLine="0"/>
        </w:pPr>
        <w:rPr>
          <w:rFonts w:hint="default"/>
        </w:rPr>
      </w:lvl>
    </w:lvlOverride>
  </w:num>
  <w:num w:numId="10" w16cid:durableId="846478842">
    <w:abstractNumId w:val="52"/>
  </w:num>
  <w:num w:numId="11" w16cid:durableId="2079936217">
    <w:abstractNumId w:val="5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0850898">
    <w:abstractNumId w:val="5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9462453">
    <w:abstractNumId w:val="48"/>
  </w:num>
  <w:num w:numId="14" w16cid:durableId="1095709930">
    <w:abstractNumId w:val="18"/>
  </w:num>
  <w:num w:numId="15" w16cid:durableId="363677370">
    <w:abstractNumId w:val="57"/>
  </w:num>
  <w:num w:numId="16" w16cid:durableId="191327172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78341199">
    <w:abstractNumId w:val="42"/>
  </w:num>
  <w:num w:numId="18" w16cid:durableId="282275680">
    <w:abstractNumId w:val="1"/>
  </w:num>
  <w:num w:numId="19" w16cid:durableId="161756515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2441166">
    <w:abstractNumId w:val="21"/>
  </w:num>
  <w:num w:numId="21" w16cid:durableId="1684238002">
    <w:abstractNumId w:val="26"/>
  </w:num>
  <w:num w:numId="22" w16cid:durableId="1164466978">
    <w:abstractNumId w:val="14"/>
  </w:num>
  <w:num w:numId="23" w16cid:durableId="1444424315">
    <w:abstractNumId w:val="34"/>
  </w:num>
  <w:num w:numId="24" w16cid:durableId="2122340990">
    <w:abstractNumId w:val="6"/>
  </w:num>
  <w:num w:numId="25" w16cid:durableId="1400786612">
    <w:abstractNumId w:val="63"/>
  </w:num>
  <w:num w:numId="26" w16cid:durableId="977998458">
    <w:abstractNumId w:val="7"/>
  </w:num>
  <w:num w:numId="27" w16cid:durableId="77677029">
    <w:abstractNumId w:val="17"/>
  </w:num>
  <w:num w:numId="28" w16cid:durableId="1871601805">
    <w:abstractNumId w:val="55"/>
  </w:num>
  <w:num w:numId="29" w16cid:durableId="88282784">
    <w:abstractNumId w:val="3"/>
  </w:num>
  <w:num w:numId="30" w16cid:durableId="273251649">
    <w:abstractNumId w:val="10"/>
  </w:num>
  <w:num w:numId="31" w16cid:durableId="2051344764">
    <w:abstractNumId w:val="43"/>
  </w:num>
  <w:num w:numId="32" w16cid:durableId="1942637628">
    <w:abstractNumId w:val="24"/>
  </w:num>
  <w:num w:numId="33" w16cid:durableId="1336542066">
    <w:abstractNumId w:val="15"/>
  </w:num>
  <w:num w:numId="34" w16cid:durableId="977417987">
    <w:abstractNumId w:val="5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forms" w:enforcement="0"/>
  <w:defaultTabStop w:val="709"/>
  <w:hyphenationZone w:val="425"/>
  <w:characterSpacingControl w:val="doNotCompress"/>
  <w:savePreviewPicture/>
  <w:hdrShapeDefaults>
    <o:shapedefaults v:ext="edit" spidmax="2050" style="mso-position-horizontal:center;mso-position-horizontal-relative:margin;mso-position-vertical:center;mso-position-vertical-relative:margin" fill="f" fillcolor="#a6a6a6" stroke="f">
      <v:fill color="#a6a6a6" on="f"/>
      <v:stroke on="f"/>
      <v:shadow color="#868686"/>
      <v:textbox inset="5.85pt,.7pt,5.85pt,.7pt"/>
    </o:shapedefaults>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D86"/>
    <w:rsid w:val="00000116"/>
    <w:rsid w:val="0000013B"/>
    <w:rsid w:val="00000151"/>
    <w:rsid w:val="000001B2"/>
    <w:rsid w:val="000001E5"/>
    <w:rsid w:val="000001E6"/>
    <w:rsid w:val="0000026F"/>
    <w:rsid w:val="000003D8"/>
    <w:rsid w:val="0000045C"/>
    <w:rsid w:val="0000046F"/>
    <w:rsid w:val="00000490"/>
    <w:rsid w:val="00000496"/>
    <w:rsid w:val="000004B7"/>
    <w:rsid w:val="00000871"/>
    <w:rsid w:val="0000088E"/>
    <w:rsid w:val="000008D7"/>
    <w:rsid w:val="000008FF"/>
    <w:rsid w:val="00000908"/>
    <w:rsid w:val="00000921"/>
    <w:rsid w:val="00000936"/>
    <w:rsid w:val="000009BC"/>
    <w:rsid w:val="00000ADB"/>
    <w:rsid w:val="00000B5E"/>
    <w:rsid w:val="00000C06"/>
    <w:rsid w:val="00000DE0"/>
    <w:rsid w:val="000010F4"/>
    <w:rsid w:val="00001186"/>
    <w:rsid w:val="000011B1"/>
    <w:rsid w:val="0000120B"/>
    <w:rsid w:val="000012E9"/>
    <w:rsid w:val="00001322"/>
    <w:rsid w:val="000013A6"/>
    <w:rsid w:val="00001658"/>
    <w:rsid w:val="000016F7"/>
    <w:rsid w:val="0000177D"/>
    <w:rsid w:val="000017B7"/>
    <w:rsid w:val="000017C8"/>
    <w:rsid w:val="0000182E"/>
    <w:rsid w:val="0000185A"/>
    <w:rsid w:val="000019CA"/>
    <w:rsid w:val="00001A91"/>
    <w:rsid w:val="00001AC8"/>
    <w:rsid w:val="00001B3C"/>
    <w:rsid w:val="00001BB7"/>
    <w:rsid w:val="00001BD9"/>
    <w:rsid w:val="00001CF5"/>
    <w:rsid w:val="00001D02"/>
    <w:rsid w:val="00001F2E"/>
    <w:rsid w:val="00001FB2"/>
    <w:rsid w:val="00001FE1"/>
    <w:rsid w:val="000020BF"/>
    <w:rsid w:val="000021C3"/>
    <w:rsid w:val="000021CF"/>
    <w:rsid w:val="00002200"/>
    <w:rsid w:val="00002218"/>
    <w:rsid w:val="00002337"/>
    <w:rsid w:val="00002682"/>
    <w:rsid w:val="000026A1"/>
    <w:rsid w:val="000026BF"/>
    <w:rsid w:val="00002704"/>
    <w:rsid w:val="00002779"/>
    <w:rsid w:val="000027C4"/>
    <w:rsid w:val="00002823"/>
    <w:rsid w:val="00002839"/>
    <w:rsid w:val="0000292C"/>
    <w:rsid w:val="00002945"/>
    <w:rsid w:val="00002A1E"/>
    <w:rsid w:val="00002C47"/>
    <w:rsid w:val="00002CD2"/>
    <w:rsid w:val="00002D78"/>
    <w:rsid w:val="00002FBE"/>
    <w:rsid w:val="00002FED"/>
    <w:rsid w:val="00003006"/>
    <w:rsid w:val="0000304E"/>
    <w:rsid w:val="000031D5"/>
    <w:rsid w:val="0000322B"/>
    <w:rsid w:val="0000331C"/>
    <w:rsid w:val="00003473"/>
    <w:rsid w:val="000034AD"/>
    <w:rsid w:val="00003582"/>
    <w:rsid w:val="00003598"/>
    <w:rsid w:val="0000363C"/>
    <w:rsid w:val="00003655"/>
    <w:rsid w:val="00003657"/>
    <w:rsid w:val="000036C6"/>
    <w:rsid w:val="0000377B"/>
    <w:rsid w:val="000038AA"/>
    <w:rsid w:val="000039C2"/>
    <w:rsid w:val="00003A1A"/>
    <w:rsid w:val="00003AC6"/>
    <w:rsid w:val="00003B51"/>
    <w:rsid w:val="00003C59"/>
    <w:rsid w:val="00003DBE"/>
    <w:rsid w:val="00003F80"/>
    <w:rsid w:val="0000404D"/>
    <w:rsid w:val="000041B8"/>
    <w:rsid w:val="0000437E"/>
    <w:rsid w:val="000043AB"/>
    <w:rsid w:val="000043F7"/>
    <w:rsid w:val="0000446F"/>
    <w:rsid w:val="0000459F"/>
    <w:rsid w:val="00004819"/>
    <w:rsid w:val="000049DF"/>
    <w:rsid w:val="00004AC0"/>
    <w:rsid w:val="00004B0B"/>
    <w:rsid w:val="00004B7A"/>
    <w:rsid w:val="00004C06"/>
    <w:rsid w:val="00004C15"/>
    <w:rsid w:val="00004D8E"/>
    <w:rsid w:val="00004EBF"/>
    <w:rsid w:val="0000501B"/>
    <w:rsid w:val="000051F4"/>
    <w:rsid w:val="000052AD"/>
    <w:rsid w:val="000052C0"/>
    <w:rsid w:val="00005441"/>
    <w:rsid w:val="0000544C"/>
    <w:rsid w:val="00005504"/>
    <w:rsid w:val="000058E8"/>
    <w:rsid w:val="00005961"/>
    <w:rsid w:val="00005B3B"/>
    <w:rsid w:val="00005B98"/>
    <w:rsid w:val="00005BC5"/>
    <w:rsid w:val="00005C4D"/>
    <w:rsid w:val="00005D28"/>
    <w:rsid w:val="00005F55"/>
    <w:rsid w:val="0000602F"/>
    <w:rsid w:val="00006150"/>
    <w:rsid w:val="0000620E"/>
    <w:rsid w:val="0000621F"/>
    <w:rsid w:val="0000625C"/>
    <w:rsid w:val="000062B1"/>
    <w:rsid w:val="000063E7"/>
    <w:rsid w:val="00006448"/>
    <w:rsid w:val="0000657D"/>
    <w:rsid w:val="0000684E"/>
    <w:rsid w:val="00006979"/>
    <w:rsid w:val="00006A75"/>
    <w:rsid w:val="00006AC5"/>
    <w:rsid w:val="00006B4E"/>
    <w:rsid w:val="00006C6A"/>
    <w:rsid w:val="00006CF4"/>
    <w:rsid w:val="00006F4F"/>
    <w:rsid w:val="00006FC4"/>
    <w:rsid w:val="000070EB"/>
    <w:rsid w:val="000071B5"/>
    <w:rsid w:val="0000725D"/>
    <w:rsid w:val="000072AE"/>
    <w:rsid w:val="00007351"/>
    <w:rsid w:val="00007373"/>
    <w:rsid w:val="000073B9"/>
    <w:rsid w:val="0000741F"/>
    <w:rsid w:val="00007463"/>
    <w:rsid w:val="00007488"/>
    <w:rsid w:val="0000759E"/>
    <w:rsid w:val="0000766A"/>
    <w:rsid w:val="0000785F"/>
    <w:rsid w:val="00007995"/>
    <w:rsid w:val="000079D4"/>
    <w:rsid w:val="00007A3A"/>
    <w:rsid w:val="00007A6A"/>
    <w:rsid w:val="00007AE8"/>
    <w:rsid w:val="00007BE7"/>
    <w:rsid w:val="00007C0A"/>
    <w:rsid w:val="00007C4C"/>
    <w:rsid w:val="00007E9B"/>
    <w:rsid w:val="00007F23"/>
    <w:rsid w:val="00007FA0"/>
    <w:rsid w:val="00010061"/>
    <w:rsid w:val="00010077"/>
    <w:rsid w:val="00010125"/>
    <w:rsid w:val="000102D7"/>
    <w:rsid w:val="00010300"/>
    <w:rsid w:val="00010422"/>
    <w:rsid w:val="0001049C"/>
    <w:rsid w:val="000105E3"/>
    <w:rsid w:val="000105F8"/>
    <w:rsid w:val="0001073B"/>
    <w:rsid w:val="000107A9"/>
    <w:rsid w:val="00010870"/>
    <w:rsid w:val="00010910"/>
    <w:rsid w:val="00010B0D"/>
    <w:rsid w:val="00010B1A"/>
    <w:rsid w:val="00010B5E"/>
    <w:rsid w:val="00010BBA"/>
    <w:rsid w:val="00010CE4"/>
    <w:rsid w:val="00010D38"/>
    <w:rsid w:val="00010D77"/>
    <w:rsid w:val="00010F8B"/>
    <w:rsid w:val="00011040"/>
    <w:rsid w:val="00011082"/>
    <w:rsid w:val="000110E3"/>
    <w:rsid w:val="0001110F"/>
    <w:rsid w:val="0001116F"/>
    <w:rsid w:val="0001136C"/>
    <w:rsid w:val="0001140D"/>
    <w:rsid w:val="00011430"/>
    <w:rsid w:val="00011458"/>
    <w:rsid w:val="00011509"/>
    <w:rsid w:val="00011573"/>
    <w:rsid w:val="0001165C"/>
    <w:rsid w:val="0001175B"/>
    <w:rsid w:val="000118A0"/>
    <w:rsid w:val="000119D6"/>
    <w:rsid w:val="00011B5E"/>
    <w:rsid w:val="00011BBD"/>
    <w:rsid w:val="00011BC7"/>
    <w:rsid w:val="00011E01"/>
    <w:rsid w:val="00011E6C"/>
    <w:rsid w:val="00011F5D"/>
    <w:rsid w:val="00011F6D"/>
    <w:rsid w:val="000120B0"/>
    <w:rsid w:val="000120E1"/>
    <w:rsid w:val="00012333"/>
    <w:rsid w:val="0001251E"/>
    <w:rsid w:val="00012556"/>
    <w:rsid w:val="00012581"/>
    <w:rsid w:val="00012616"/>
    <w:rsid w:val="00012790"/>
    <w:rsid w:val="00012A91"/>
    <w:rsid w:val="00012ACF"/>
    <w:rsid w:val="00012AD7"/>
    <w:rsid w:val="00012CA0"/>
    <w:rsid w:val="00012D33"/>
    <w:rsid w:val="00012DB2"/>
    <w:rsid w:val="00012DDB"/>
    <w:rsid w:val="00012E67"/>
    <w:rsid w:val="00012E96"/>
    <w:rsid w:val="00012ED5"/>
    <w:rsid w:val="00012EFA"/>
    <w:rsid w:val="00012F00"/>
    <w:rsid w:val="00013077"/>
    <w:rsid w:val="00013330"/>
    <w:rsid w:val="00013379"/>
    <w:rsid w:val="00013457"/>
    <w:rsid w:val="00013460"/>
    <w:rsid w:val="00013543"/>
    <w:rsid w:val="000135A6"/>
    <w:rsid w:val="000135FF"/>
    <w:rsid w:val="00013687"/>
    <w:rsid w:val="000139B7"/>
    <w:rsid w:val="00013A7F"/>
    <w:rsid w:val="00013B48"/>
    <w:rsid w:val="00013B88"/>
    <w:rsid w:val="00013D21"/>
    <w:rsid w:val="00013D78"/>
    <w:rsid w:val="00013E90"/>
    <w:rsid w:val="00014058"/>
    <w:rsid w:val="00014189"/>
    <w:rsid w:val="000141F3"/>
    <w:rsid w:val="0001425D"/>
    <w:rsid w:val="00014355"/>
    <w:rsid w:val="0001440C"/>
    <w:rsid w:val="0001445F"/>
    <w:rsid w:val="000144CE"/>
    <w:rsid w:val="000144F5"/>
    <w:rsid w:val="000145BA"/>
    <w:rsid w:val="0001465C"/>
    <w:rsid w:val="000146A2"/>
    <w:rsid w:val="000146C3"/>
    <w:rsid w:val="000147F0"/>
    <w:rsid w:val="00014814"/>
    <w:rsid w:val="000148C4"/>
    <w:rsid w:val="000148E2"/>
    <w:rsid w:val="000149F1"/>
    <w:rsid w:val="00014AC5"/>
    <w:rsid w:val="00014B81"/>
    <w:rsid w:val="00014C3A"/>
    <w:rsid w:val="00014C40"/>
    <w:rsid w:val="00014C68"/>
    <w:rsid w:val="00014CB2"/>
    <w:rsid w:val="00014E1F"/>
    <w:rsid w:val="00014E4F"/>
    <w:rsid w:val="00014EE6"/>
    <w:rsid w:val="00014FAB"/>
    <w:rsid w:val="00015089"/>
    <w:rsid w:val="000150BF"/>
    <w:rsid w:val="0001510C"/>
    <w:rsid w:val="0001516D"/>
    <w:rsid w:val="000151E6"/>
    <w:rsid w:val="00015413"/>
    <w:rsid w:val="0001541D"/>
    <w:rsid w:val="000154AA"/>
    <w:rsid w:val="00015529"/>
    <w:rsid w:val="00015554"/>
    <w:rsid w:val="00015732"/>
    <w:rsid w:val="0001573F"/>
    <w:rsid w:val="000157E6"/>
    <w:rsid w:val="000157FD"/>
    <w:rsid w:val="000158FB"/>
    <w:rsid w:val="00015976"/>
    <w:rsid w:val="00015998"/>
    <w:rsid w:val="000159BC"/>
    <w:rsid w:val="00015AD3"/>
    <w:rsid w:val="00015CFD"/>
    <w:rsid w:val="00015D0B"/>
    <w:rsid w:val="00015D50"/>
    <w:rsid w:val="00015DF1"/>
    <w:rsid w:val="00015FEE"/>
    <w:rsid w:val="00016131"/>
    <w:rsid w:val="000161F1"/>
    <w:rsid w:val="0001624C"/>
    <w:rsid w:val="00016268"/>
    <w:rsid w:val="00016317"/>
    <w:rsid w:val="0001639F"/>
    <w:rsid w:val="0001654E"/>
    <w:rsid w:val="000165AF"/>
    <w:rsid w:val="0001698A"/>
    <w:rsid w:val="00016A9F"/>
    <w:rsid w:val="00016C0B"/>
    <w:rsid w:val="00016D17"/>
    <w:rsid w:val="00016DD7"/>
    <w:rsid w:val="0001705F"/>
    <w:rsid w:val="0001708D"/>
    <w:rsid w:val="000170A9"/>
    <w:rsid w:val="000171D9"/>
    <w:rsid w:val="000172F5"/>
    <w:rsid w:val="000173B6"/>
    <w:rsid w:val="000174BC"/>
    <w:rsid w:val="00017516"/>
    <w:rsid w:val="00017641"/>
    <w:rsid w:val="000176CE"/>
    <w:rsid w:val="000176FA"/>
    <w:rsid w:val="00017725"/>
    <w:rsid w:val="00017794"/>
    <w:rsid w:val="0001779B"/>
    <w:rsid w:val="000179AC"/>
    <w:rsid w:val="000179CF"/>
    <w:rsid w:val="00017A2F"/>
    <w:rsid w:val="00017AB2"/>
    <w:rsid w:val="00017BB1"/>
    <w:rsid w:val="00017C3D"/>
    <w:rsid w:val="00017D33"/>
    <w:rsid w:val="00017EBF"/>
    <w:rsid w:val="00020041"/>
    <w:rsid w:val="000200B2"/>
    <w:rsid w:val="000200F4"/>
    <w:rsid w:val="00020230"/>
    <w:rsid w:val="000202CD"/>
    <w:rsid w:val="0002058D"/>
    <w:rsid w:val="00020754"/>
    <w:rsid w:val="00020852"/>
    <w:rsid w:val="0002088D"/>
    <w:rsid w:val="00020954"/>
    <w:rsid w:val="00020AFB"/>
    <w:rsid w:val="00020C46"/>
    <w:rsid w:val="00020DEC"/>
    <w:rsid w:val="00020FBF"/>
    <w:rsid w:val="00020FEF"/>
    <w:rsid w:val="00021030"/>
    <w:rsid w:val="00021107"/>
    <w:rsid w:val="00021129"/>
    <w:rsid w:val="000211CE"/>
    <w:rsid w:val="0002122D"/>
    <w:rsid w:val="00021280"/>
    <w:rsid w:val="000212AE"/>
    <w:rsid w:val="000213FC"/>
    <w:rsid w:val="000215F5"/>
    <w:rsid w:val="00021758"/>
    <w:rsid w:val="00021765"/>
    <w:rsid w:val="000217E5"/>
    <w:rsid w:val="00021929"/>
    <w:rsid w:val="0002199F"/>
    <w:rsid w:val="00021AD8"/>
    <w:rsid w:val="00021B33"/>
    <w:rsid w:val="00021B5F"/>
    <w:rsid w:val="00021B63"/>
    <w:rsid w:val="00021C0D"/>
    <w:rsid w:val="00021C3E"/>
    <w:rsid w:val="00021E38"/>
    <w:rsid w:val="00022028"/>
    <w:rsid w:val="000220BC"/>
    <w:rsid w:val="00022296"/>
    <w:rsid w:val="00022332"/>
    <w:rsid w:val="00022348"/>
    <w:rsid w:val="00022353"/>
    <w:rsid w:val="0002236A"/>
    <w:rsid w:val="00022438"/>
    <w:rsid w:val="00022689"/>
    <w:rsid w:val="00022690"/>
    <w:rsid w:val="000226C6"/>
    <w:rsid w:val="00022726"/>
    <w:rsid w:val="00022A31"/>
    <w:rsid w:val="00022A54"/>
    <w:rsid w:val="00022A60"/>
    <w:rsid w:val="00022A86"/>
    <w:rsid w:val="00022BDB"/>
    <w:rsid w:val="00022CC8"/>
    <w:rsid w:val="00022DE9"/>
    <w:rsid w:val="00022E6E"/>
    <w:rsid w:val="000230A2"/>
    <w:rsid w:val="00023108"/>
    <w:rsid w:val="000231C3"/>
    <w:rsid w:val="000231C4"/>
    <w:rsid w:val="000231D2"/>
    <w:rsid w:val="00023289"/>
    <w:rsid w:val="0002329C"/>
    <w:rsid w:val="0002332C"/>
    <w:rsid w:val="000236AC"/>
    <w:rsid w:val="000236E7"/>
    <w:rsid w:val="00023772"/>
    <w:rsid w:val="0002386A"/>
    <w:rsid w:val="000238DE"/>
    <w:rsid w:val="00023942"/>
    <w:rsid w:val="000239DB"/>
    <w:rsid w:val="00023AE5"/>
    <w:rsid w:val="00023AE6"/>
    <w:rsid w:val="00023AF4"/>
    <w:rsid w:val="00023B59"/>
    <w:rsid w:val="00023BB1"/>
    <w:rsid w:val="00023C3C"/>
    <w:rsid w:val="00023D54"/>
    <w:rsid w:val="00023D5A"/>
    <w:rsid w:val="00023E60"/>
    <w:rsid w:val="00023F5C"/>
    <w:rsid w:val="00023FC9"/>
    <w:rsid w:val="00023FD2"/>
    <w:rsid w:val="000240A3"/>
    <w:rsid w:val="000241A5"/>
    <w:rsid w:val="000242B5"/>
    <w:rsid w:val="00024369"/>
    <w:rsid w:val="0002438E"/>
    <w:rsid w:val="0002444C"/>
    <w:rsid w:val="000244A0"/>
    <w:rsid w:val="000244AB"/>
    <w:rsid w:val="00024674"/>
    <w:rsid w:val="000246DA"/>
    <w:rsid w:val="000246F5"/>
    <w:rsid w:val="00024755"/>
    <w:rsid w:val="000247D7"/>
    <w:rsid w:val="000247F2"/>
    <w:rsid w:val="0002487B"/>
    <w:rsid w:val="000248B3"/>
    <w:rsid w:val="00024974"/>
    <w:rsid w:val="0002498E"/>
    <w:rsid w:val="00024A4C"/>
    <w:rsid w:val="00024B45"/>
    <w:rsid w:val="00024BA3"/>
    <w:rsid w:val="00024C03"/>
    <w:rsid w:val="00024C7D"/>
    <w:rsid w:val="00024C9D"/>
    <w:rsid w:val="00024D86"/>
    <w:rsid w:val="00025022"/>
    <w:rsid w:val="000252C5"/>
    <w:rsid w:val="00025465"/>
    <w:rsid w:val="0002557C"/>
    <w:rsid w:val="000255AE"/>
    <w:rsid w:val="0002562E"/>
    <w:rsid w:val="000256BA"/>
    <w:rsid w:val="00025759"/>
    <w:rsid w:val="000257C9"/>
    <w:rsid w:val="000258F7"/>
    <w:rsid w:val="00025937"/>
    <w:rsid w:val="00025A33"/>
    <w:rsid w:val="00025AB1"/>
    <w:rsid w:val="00025AD5"/>
    <w:rsid w:val="00025AEE"/>
    <w:rsid w:val="00025B94"/>
    <w:rsid w:val="00025C07"/>
    <w:rsid w:val="00025EAA"/>
    <w:rsid w:val="00025EFA"/>
    <w:rsid w:val="00025F03"/>
    <w:rsid w:val="00025FB5"/>
    <w:rsid w:val="00025FC7"/>
    <w:rsid w:val="00025FDB"/>
    <w:rsid w:val="0002600A"/>
    <w:rsid w:val="00026099"/>
    <w:rsid w:val="000260D4"/>
    <w:rsid w:val="00026129"/>
    <w:rsid w:val="00026205"/>
    <w:rsid w:val="00026295"/>
    <w:rsid w:val="000262BB"/>
    <w:rsid w:val="00026349"/>
    <w:rsid w:val="0002638A"/>
    <w:rsid w:val="000263E0"/>
    <w:rsid w:val="00026479"/>
    <w:rsid w:val="00026483"/>
    <w:rsid w:val="000264AE"/>
    <w:rsid w:val="0002658A"/>
    <w:rsid w:val="000265DF"/>
    <w:rsid w:val="0002663E"/>
    <w:rsid w:val="000266D4"/>
    <w:rsid w:val="000266E1"/>
    <w:rsid w:val="0002672B"/>
    <w:rsid w:val="0002677D"/>
    <w:rsid w:val="00026834"/>
    <w:rsid w:val="000268CC"/>
    <w:rsid w:val="0002690A"/>
    <w:rsid w:val="00026926"/>
    <w:rsid w:val="0002692D"/>
    <w:rsid w:val="0002697C"/>
    <w:rsid w:val="000269AA"/>
    <w:rsid w:val="00026A0B"/>
    <w:rsid w:val="00026A2E"/>
    <w:rsid w:val="00026A33"/>
    <w:rsid w:val="00026B3D"/>
    <w:rsid w:val="00026B93"/>
    <w:rsid w:val="00026BA1"/>
    <w:rsid w:val="00026C11"/>
    <w:rsid w:val="00026CBF"/>
    <w:rsid w:val="00026D41"/>
    <w:rsid w:val="00026E53"/>
    <w:rsid w:val="00026EA3"/>
    <w:rsid w:val="00026EDA"/>
    <w:rsid w:val="00026F90"/>
    <w:rsid w:val="00026F9C"/>
    <w:rsid w:val="00027357"/>
    <w:rsid w:val="0002738C"/>
    <w:rsid w:val="000273E2"/>
    <w:rsid w:val="000273FF"/>
    <w:rsid w:val="0002743F"/>
    <w:rsid w:val="000274ED"/>
    <w:rsid w:val="00027530"/>
    <w:rsid w:val="00027601"/>
    <w:rsid w:val="000276A9"/>
    <w:rsid w:val="00027710"/>
    <w:rsid w:val="00027743"/>
    <w:rsid w:val="000279BF"/>
    <w:rsid w:val="00027C16"/>
    <w:rsid w:val="00027D9A"/>
    <w:rsid w:val="00027E90"/>
    <w:rsid w:val="00027F65"/>
    <w:rsid w:val="0002882F"/>
    <w:rsid w:val="000300B5"/>
    <w:rsid w:val="000300C3"/>
    <w:rsid w:val="0003038A"/>
    <w:rsid w:val="000303A0"/>
    <w:rsid w:val="00030442"/>
    <w:rsid w:val="0003048A"/>
    <w:rsid w:val="00030575"/>
    <w:rsid w:val="00030583"/>
    <w:rsid w:val="000305C8"/>
    <w:rsid w:val="0003060F"/>
    <w:rsid w:val="0003065B"/>
    <w:rsid w:val="000306A5"/>
    <w:rsid w:val="000306E5"/>
    <w:rsid w:val="000306ED"/>
    <w:rsid w:val="00030774"/>
    <w:rsid w:val="0003077A"/>
    <w:rsid w:val="00030864"/>
    <w:rsid w:val="0003086D"/>
    <w:rsid w:val="0003088D"/>
    <w:rsid w:val="000308F0"/>
    <w:rsid w:val="00030991"/>
    <w:rsid w:val="00030A8E"/>
    <w:rsid w:val="00030B67"/>
    <w:rsid w:val="00030BC5"/>
    <w:rsid w:val="00030C08"/>
    <w:rsid w:val="00030D59"/>
    <w:rsid w:val="00030D67"/>
    <w:rsid w:val="00030E69"/>
    <w:rsid w:val="00030E72"/>
    <w:rsid w:val="00030F34"/>
    <w:rsid w:val="00031003"/>
    <w:rsid w:val="0003109B"/>
    <w:rsid w:val="000310A1"/>
    <w:rsid w:val="000310AC"/>
    <w:rsid w:val="00031138"/>
    <w:rsid w:val="0003133D"/>
    <w:rsid w:val="0003138B"/>
    <w:rsid w:val="000315CA"/>
    <w:rsid w:val="000315EB"/>
    <w:rsid w:val="000316BF"/>
    <w:rsid w:val="00031819"/>
    <w:rsid w:val="00031853"/>
    <w:rsid w:val="00031944"/>
    <w:rsid w:val="00031B19"/>
    <w:rsid w:val="00031B33"/>
    <w:rsid w:val="00031BA7"/>
    <w:rsid w:val="00031BC6"/>
    <w:rsid w:val="00031BF0"/>
    <w:rsid w:val="00031C23"/>
    <w:rsid w:val="00031CA6"/>
    <w:rsid w:val="00031CF9"/>
    <w:rsid w:val="00031DB4"/>
    <w:rsid w:val="00031EFF"/>
    <w:rsid w:val="00032021"/>
    <w:rsid w:val="00032036"/>
    <w:rsid w:val="00032207"/>
    <w:rsid w:val="000322E5"/>
    <w:rsid w:val="00032453"/>
    <w:rsid w:val="0003251A"/>
    <w:rsid w:val="0003251E"/>
    <w:rsid w:val="00032573"/>
    <w:rsid w:val="000325AE"/>
    <w:rsid w:val="00032614"/>
    <w:rsid w:val="00032650"/>
    <w:rsid w:val="00032820"/>
    <w:rsid w:val="000328B1"/>
    <w:rsid w:val="00032951"/>
    <w:rsid w:val="00032975"/>
    <w:rsid w:val="00032A52"/>
    <w:rsid w:val="00032B83"/>
    <w:rsid w:val="00032B9D"/>
    <w:rsid w:val="00032BC8"/>
    <w:rsid w:val="00032BE8"/>
    <w:rsid w:val="00032CA1"/>
    <w:rsid w:val="00032CE3"/>
    <w:rsid w:val="00032DED"/>
    <w:rsid w:val="00032E10"/>
    <w:rsid w:val="0003352F"/>
    <w:rsid w:val="00033591"/>
    <w:rsid w:val="00033640"/>
    <w:rsid w:val="0003376B"/>
    <w:rsid w:val="000337F4"/>
    <w:rsid w:val="0003383E"/>
    <w:rsid w:val="0003391A"/>
    <w:rsid w:val="0003393B"/>
    <w:rsid w:val="000339B5"/>
    <w:rsid w:val="000339E4"/>
    <w:rsid w:val="00033A36"/>
    <w:rsid w:val="00033CEF"/>
    <w:rsid w:val="00033D2F"/>
    <w:rsid w:val="00033DEB"/>
    <w:rsid w:val="00033E27"/>
    <w:rsid w:val="00033F7B"/>
    <w:rsid w:val="000340C5"/>
    <w:rsid w:val="00034196"/>
    <w:rsid w:val="000342F2"/>
    <w:rsid w:val="00034362"/>
    <w:rsid w:val="000343F5"/>
    <w:rsid w:val="0003447F"/>
    <w:rsid w:val="000345AF"/>
    <w:rsid w:val="0003462C"/>
    <w:rsid w:val="0003468B"/>
    <w:rsid w:val="000346AB"/>
    <w:rsid w:val="0003471C"/>
    <w:rsid w:val="00034773"/>
    <w:rsid w:val="0003494A"/>
    <w:rsid w:val="00034A33"/>
    <w:rsid w:val="00034A56"/>
    <w:rsid w:val="00034B0D"/>
    <w:rsid w:val="00034BB4"/>
    <w:rsid w:val="00034BDF"/>
    <w:rsid w:val="00034BFF"/>
    <w:rsid w:val="00034C30"/>
    <w:rsid w:val="00034C59"/>
    <w:rsid w:val="00034CCA"/>
    <w:rsid w:val="00034CCE"/>
    <w:rsid w:val="00034E50"/>
    <w:rsid w:val="00034F00"/>
    <w:rsid w:val="00034F91"/>
    <w:rsid w:val="000350C2"/>
    <w:rsid w:val="00035167"/>
    <w:rsid w:val="000354A6"/>
    <w:rsid w:val="000354E3"/>
    <w:rsid w:val="00035593"/>
    <w:rsid w:val="00035748"/>
    <w:rsid w:val="000357EC"/>
    <w:rsid w:val="00035864"/>
    <w:rsid w:val="000358DF"/>
    <w:rsid w:val="00035A08"/>
    <w:rsid w:val="00035A3C"/>
    <w:rsid w:val="00035A84"/>
    <w:rsid w:val="00035AA9"/>
    <w:rsid w:val="00035B5C"/>
    <w:rsid w:val="00035E67"/>
    <w:rsid w:val="00035ED9"/>
    <w:rsid w:val="00035F0E"/>
    <w:rsid w:val="00035F3E"/>
    <w:rsid w:val="00036005"/>
    <w:rsid w:val="000361DB"/>
    <w:rsid w:val="00036228"/>
    <w:rsid w:val="0003624C"/>
    <w:rsid w:val="0003628A"/>
    <w:rsid w:val="00036406"/>
    <w:rsid w:val="0003660D"/>
    <w:rsid w:val="0003674D"/>
    <w:rsid w:val="00036793"/>
    <w:rsid w:val="00036818"/>
    <w:rsid w:val="00036843"/>
    <w:rsid w:val="00036857"/>
    <w:rsid w:val="000368FC"/>
    <w:rsid w:val="00036902"/>
    <w:rsid w:val="0003690D"/>
    <w:rsid w:val="00036AA8"/>
    <w:rsid w:val="00036AED"/>
    <w:rsid w:val="00036CFC"/>
    <w:rsid w:val="00036DF9"/>
    <w:rsid w:val="00036E82"/>
    <w:rsid w:val="00036F18"/>
    <w:rsid w:val="00036F61"/>
    <w:rsid w:val="00037036"/>
    <w:rsid w:val="0003707E"/>
    <w:rsid w:val="000370E2"/>
    <w:rsid w:val="00037317"/>
    <w:rsid w:val="000373BE"/>
    <w:rsid w:val="000373DB"/>
    <w:rsid w:val="00037442"/>
    <w:rsid w:val="0003746A"/>
    <w:rsid w:val="0003768F"/>
    <w:rsid w:val="000376B2"/>
    <w:rsid w:val="0003770B"/>
    <w:rsid w:val="000377FE"/>
    <w:rsid w:val="00037863"/>
    <w:rsid w:val="0003794A"/>
    <w:rsid w:val="00037B2E"/>
    <w:rsid w:val="00037CA5"/>
    <w:rsid w:val="00037CE7"/>
    <w:rsid w:val="00037E20"/>
    <w:rsid w:val="00037ECD"/>
    <w:rsid w:val="00037FAC"/>
    <w:rsid w:val="0004019F"/>
    <w:rsid w:val="000401D8"/>
    <w:rsid w:val="00040318"/>
    <w:rsid w:val="000403DB"/>
    <w:rsid w:val="00040472"/>
    <w:rsid w:val="000404AE"/>
    <w:rsid w:val="00040597"/>
    <w:rsid w:val="0004059F"/>
    <w:rsid w:val="000405AD"/>
    <w:rsid w:val="00040775"/>
    <w:rsid w:val="000407C3"/>
    <w:rsid w:val="000407D6"/>
    <w:rsid w:val="000408A3"/>
    <w:rsid w:val="000408DA"/>
    <w:rsid w:val="0004092C"/>
    <w:rsid w:val="00040A89"/>
    <w:rsid w:val="00040AA5"/>
    <w:rsid w:val="00040F3E"/>
    <w:rsid w:val="00041094"/>
    <w:rsid w:val="0004112F"/>
    <w:rsid w:val="000412E2"/>
    <w:rsid w:val="00041360"/>
    <w:rsid w:val="0004157F"/>
    <w:rsid w:val="000415D4"/>
    <w:rsid w:val="00041737"/>
    <w:rsid w:val="00041747"/>
    <w:rsid w:val="00041878"/>
    <w:rsid w:val="000418D9"/>
    <w:rsid w:val="00041904"/>
    <w:rsid w:val="000419C3"/>
    <w:rsid w:val="00041A18"/>
    <w:rsid w:val="00041B46"/>
    <w:rsid w:val="00041CDC"/>
    <w:rsid w:val="00041D0F"/>
    <w:rsid w:val="00041D1D"/>
    <w:rsid w:val="00041D85"/>
    <w:rsid w:val="00041E3F"/>
    <w:rsid w:val="00041F60"/>
    <w:rsid w:val="00041F8B"/>
    <w:rsid w:val="00041FF9"/>
    <w:rsid w:val="000420CB"/>
    <w:rsid w:val="0004222E"/>
    <w:rsid w:val="00042395"/>
    <w:rsid w:val="0004239B"/>
    <w:rsid w:val="00042409"/>
    <w:rsid w:val="00042410"/>
    <w:rsid w:val="000424D2"/>
    <w:rsid w:val="000424E7"/>
    <w:rsid w:val="000425AA"/>
    <w:rsid w:val="0004264D"/>
    <w:rsid w:val="0004270B"/>
    <w:rsid w:val="0004276C"/>
    <w:rsid w:val="00042838"/>
    <w:rsid w:val="00042A0F"/>
    <w:rsid w:val="00042A49"/>
    <w:rsid w:val="00042AE2"/>
    <w:rsid w:val="00042B18"/>
    <w:rsid w:val="00042B20"/>
    <w:rsid w:val="00042BCD"/>
    <w:rsid w:val="00042BF2"/>
    <w:rsid w:val="00042BF3"/>
    <w:rsid w:val="00042CC2"/>
    <w:rsid w:val="00042D23"/>
    <w:rsid w:val="00042D60"/>
    <w:rsid w:val="00042DE7"/>
    <w:rsid w:val="00042EE5"/>
    <w:rsid w:val="0004307C"/>
    <w:rsid w:val="000430C9"/>
    <w:rsid w:val="000430DD"/>
    <w:rsid w:val="0004311A"/>
    <w:rsid w:val="00043199"/>
    <w:rsid w:val="000431AC"/>
    <w:rsid w:val="000431FA"/>
    <w:rsid w:val="00043205"/>
    <w:rsid w:val="0004320E"/>
    <w:rsid w:val="000433BF"/>
    <w:rsid w:val="00043587"/>
    <w:rsid w:val="000435B9"/>
    <w:rsid w:val="00043651"/>
    <w:rsid w:val="00043679"/>
    <w:rsid w:val="000436C6"/>
    <w:rsid w:val="000436FC"/>
    <w:rsid w:val="00043807"/>
    <w:rsid w:val="00043AA2"/>
    <w:rsid w:val="00043B18"/>
    <w:rsid w:val="00043C8F"/>
    <w:rsid w:val="00043D30"/>
    <w:rsid w:val="00043D43"/>
    <w:rsid w:val="00043DAA"/>
    <w:rsid w:val="00043EE8"/>
    <w:rsid w:val="00043F35"/>
    <w:rsid w:val="000441C9"/>
    <w:rsid w:val="00044241"/>
    <w:rsid w:val="00044355"/>
    <w:rsid w:val="000443F3"/>
    <w:rsid w:val="000444D0"/>
    <w:rsid w:val="0004474F"/>
    <w:rsid w:val="00044785"/>
    <w:rsid w:val="0004483B"/>
    <w:rsid w:val="00044AFC"/>
    <w:rsid w:val="00044B6E"/>
    <w:rsid w:val="00044BFB"/>
    <w:rsid w:val="00044C3A"/>
    <w:rsid w:val="00044CB8"/>
    <w:rsid w:val="00044CD0"/>
    <w:rsid w:val="00044D6A"/>
    <w:rsid w:val="00044D73"/>
    <w:rsid w:val="00044E12"/>
    <w:rsid w:val="00044F86"/>
    <w:rsid w:val="00045030"/>
    <w:rsid w:val="000450B3"/>
    <w:rsid w:val="00045276"/>
    <w:rsid w:val="000452C8"/>
    <w:rsid w:val="0004557B"/>
    <w:rsid w:val="0004569F"/>
    <w:rsid w:val="00045712"/>
    <w:rsid w:val="00045752"/>
    <w:rsid w:val="00045794"/>
    <w:rsid w:val="000457B5"/>
    <w:rsid w:val="000457EA"/>
    <w:rsid w:val="0004586D"/>
    <w:rsid w:val="00045A1A"/>
    <w:rsid w:val="00045A66"/>
    <w:rsid w:val="00045BFD"/>
    <w:rsid w:val="00045C2B"/>
    <w:rsid w:val="00045CEC"/>
    <w:rsid w:val="00045E0C"/>
    <w:rsid w:val="00045E9A"/>
    <w:rsid w:val="00045F27"/>
    <w:rsid w:val="0004606A"/>
    <w:rsid w:val="000460C2"/>
    <w:rsid w:val="00046107"/>
    <w:rsid w:val="00046113"/>
    <w:rsid w:val="00046120"/>
    <w:rsid w:val="00046191"/>
    <w:rsid w:val="000464C7"/>
    <w:rsid w:val="00046618"/>
    <w:rsid w:val="0004663D"/>
    <w:rsid w:val="00046804"/>
    <w:rsid w:val="00046905"/>
    <w:rsid w:val="0004696D"/>
    <w:rsid w:val="00046AAA"/>
    <w:rsid w:val="00046AFC"/>
    <w:rsid w:val="00046BF6"/>
    <w:rsid w:val="00046E43"/>
    <w:rsid w:val="00046F53"/>
    <w:rsid w:val="00046F8B"/>
    <w:rsid w:val="00046FF3"/>
    <w:rsid w:val="000470F0"/>
    <w:rsid w:val="00047185"/>
    <w:rsid w:val="00047247"/>
    <w:rsid w:val="00047295"/>
    <w:rsid w:val="0004730E"/>
    <w:rsid w:val="0004736C"/>
    <w:rsid w:val="000473C1"/>
    <w:rsid w:val="000474E0"/>
    <w:rsid w:val="000474E1"/>
    <w:rsid w:val="000475D0"/>
    <w:rsid w:val="00047658"/>
    <w:rsid w:val="0004766F"/>
    <w:rsid w:val="000476D4"/>
    <w:rsid w:val="00047700"/>
    <w:rsid w:val="0004782C"/>
    <w:rsid w:val="000478BE"/>
    <w:rsid w:val="00047916"/>
    <w:rsid w:val="0004795C"/>
    <w:rsid w:val="00047BC1"/>
    <w:rsid w:val="00047CC1"/>
    <w:rsid w:val="00047DAB"/>
    <w:rsid w:val="00047E8F"/>
    <w:rsid w:val="00047EC0"/>
    <w:rsid w:val="00047EEB"/>
    <w:rsid w:val="00047EFF"/>
    <w:rsid w:val="00047F0B"/>
    <w:rsid w:val="00047FD4"/>
    <w:rsid w:val="00050004"/>
    <w:rsid w:val="00050076"/>
    <w:rsid w:val="000500B6"/>
    <w:rsid w:val="000501C1"/>
    <w:rsid w:val="000501E2"/>
    <w:rsid w:val="00050204"/>
    <w:rsid w:val="000502D5"/>
    <w:rsid w:val="0005039D"/>
    <w:rsid w:val="00050487"/>
    <w:rsid w:val="00050491"/>
    <w:rsid w:val="00050598"/>
    <w:rsid w:val="0005068F"/>
    <w:rsid w:val="00050967"/>
    <w:rsid w:val="000509C8"/>
    <w:rsid w:val="00050B5D"/>
    <w:rsid w:val="00050C99"/>
    <w:rsid w:val="00050DC3"/>
    <w:rsid w:val="00050EB8"/>
    <w:rsid w:val="00050EC1"/>
    <w:rsid w:val="00050EDA"/>
    <w:rsid w:val="00050F68"/>
    <w:rsid w:val="00051000"/>
    <w:rsid w:val="00051058"/>
    <w:rsid w:val="00051283"/>
    <w:rsid w:val="000513DA"/>
    <w:rsid w:val="000514B4"/>
    <w:rsid w:val="0005157F"/>
    <w:rsid w:val="000516BC"/>
    <w:rsid w:val="000516C6"/>
    <w:rsid w:val="00051705"/>
    <w:rsid w:val="0005179B"/>
    <w:rsid w:val="00051881"/>
    <w:rsid w:val="00051917"/>
    <w:rsid w:val="00051951"/>
    <w:rsid w:val="00051A17"/>
    <w:rsid w:val="00051A49"/>
    <w:rsid w:val="00051CFF"/>
    <w:rsid w:val="00051E99"/>
    <w:rsid w:val="00051EC2"/>
    <w:rsid w:val="00051EED"/>
    <w:rsid w:val="000520F7"/>
    <w:rsid w:val="00052182"/>
    <w:rsid w:val="000521AF"/>
    <w:rsid w:val="000522FD"/>
    <w:rsid w:val="00052487"/>
    <w:rsid w:val="0005253A"/>
    <w:rsid w:val="00052717"/>
    <w:rsid w:val="0005271E"/>
    <w:rsid w:val="000527F9"/>
    <w:rsid w:val="00052804"/>
    <w:rsid w:val="000528FA"/>
    <w:rsid w:val="00052907"/>
    <w:rsid w:val="00052977"/>
    <w:rsid w:val="0005297E"/>
    <w:rsid w:val="000529A2"/>
    <w:rsid w:val="00052A2C"/>
    <w:rsid w:val="00052B3C"/>
    <w:rsid w:val="00052E14"/>
    <w:rsid w:val="00052E5A"/>
    <w:rsid w:val="00052F74"/>
    <w:rsid w:val="000530C3"/>
    <w:rsid w:val="0005319E"/>
    <w:rsid w:val="00053297"/>
    <w:rsid w:val="000532C4"/>
    <w:rsid w:val="00053378"/>
    <w:rsid w:val="0005341D"/>
    <w:rsid w:val="00053530"/>
    <w:rsid w:val="0005399E"/>
    <w:rsid w:val="00053B06"/>
    <w:rsid w:val="00053B5F"/>
    <w:rsid w:val="00053B79"/>
    <w:rsid w:val="00053D88"/>
    <w:rsid w:val="00053E16"/>
    <w:rsid w:val="00053EC7"/>
    <w:rsid w:val="00053F5D"/>
    <w:rsid w:val="000540EE"/>
    <w:rsid w:val="00054151"/>
    <w:rsid w:val="00054185"/>
    <w:rsid w:val="000542A3"/>
    <w:rsid w:val="000542F1"/>
    <w:rsid w:val="000542F8"/>
    <w:rsid w:val="0005430F"/>
    <w:rsid w:val="00054310"/>
    <w:rsid w:val="000543C6"/>
    <w:rsid w:val="0005445B"/>
    <w:rsid w:val="00054582"/>
    <w:rsid w:val="000545B1"/>
    <w:rsid w:val="0005464F"/>
    <w:rsid w:val="000546BC"/>
    <w:rsid w:val="000546C5"/>
    <w:rsid w:val="0005471E"/>
    <w:rsid w:val="0005485D"/>
    <w:rsid w:val="00054879"/>
    <w:rsid w:val="000549F7"/>
    <w:rsid w:val="00054A75"/>
    <w:rsid w:val="00054A9B"/>
    <w:rsid w:val="00054AF0"/>
    <w:rsid w:val="00054B23"/>
    <w:rsid w:val="00054C8A"/>
    <w:rsid w:val="00054CE4"/>
    <w:rsid w:val="00054D31"/>
    <w:rsid w:val="00054DCB"/>
    <w:rsid w:val="00054DDC"/>
    <w:rsid w:val="00054E86"/>
    <w:rsid w:val="00054EFC"/>
    <w:rsid w:val="00054F49"/>
    <w:rsid w:val="00054F7B"/>
    <w:rsid w:val="00054FD3"/>
    <w:rsid w:val="0005503B"/>
    <w:rsid w:val="000550AB"/>
    <w:rsid w:val="0005513F"/>
    <w:rsid w:val="00055154"/>
    <w:rsid w:val="000552A1"/>
    <w:rsid w:val="00055563"/>
    <w:rsid w:val="00055565"/>
    <w:rsid w:val="00055649"/>
    <w:rsid w:val="000556A1"/>
    <w:rsid w:val="000556A4"/>
    <w:rsid w:val="00055863"/>
    <w:rsid w:val="00055979"/>
    <w:rsid w:val="00055AB6"/>
    <w:rsid w:val="00055ACF"/>
    <w:rsid w:val="00055E53"/>
    <w:rsid w:val="00056003"/>
    <w:rsid w:val="00056216"/>
    <w:rsid w:val="0005624F"/>
    <w:rsid w:val="00056263"/>
    <w:rsid w:val="00056300"/>
    <w:rsid w:val="0005634A"/>
    <w:rsid w:val="00056364"/>
    <w:rsid w:val="000564AD"/>
    <w:rsid w:val="00056549"/>
    <w:rsid w:val="00056569"/>
    <w:rsid w:val="0005667C"/>
    <w:rsid w:val="00056680"/>
    <w:rsid w:val="0005670C"/>
    <w:rsid w:val="00056763"/>
    <w:rsid w:val="000567FB"/>
    <w:rsid w:val="00056845"/>
    <w:rsid w:val="000568DC"/>
    <w:rsid w:val="000569C4"/>
    <w:rsid w:val="00056CE1"/>
    <w:rsid w:val="00056CE6"/>
    <w:rsid w:val="00056E0E"/>
    <w:rsid w:val="00056E2D"/>
    <w:rsid w:val="00056E37"/>
    <w:rsid w:val="00056F32"/>
    <w:rsid w:val="00056F9E"/>
    <w:rsid w:val="0005725D"/>
    <w:rsid w:val="0005746F"/>
    <w:rsid w:val="000574DA"/>
    <w:rsid w:val="000575EB"/>
    <w:rsid w:val="00057672"/>
    <w:rsid w:val="00057792"/>
    <w:rsid w:val="00057884"/>
    <w:rsid w:val="000579EF"/>
    <w:rsid w:val="00057AED"/>
    <w:rsid w:val="00057C7B"/>
    <w:rsid w:val="00057D19"/>
    <w:rsid w:val="00057E23"/>
    <w:rsid w:val="00057E89"/>
    <w:rsid w:val="00057EEA"/>
    <w:rsid w:val="00057FF5"/>
    <w:rsid w:val="00060021"/>
    <w:rsid w:val="000600E4"/>
    <w:rsid w:val="000601E4"/>
    <w:rsid w:val="0006020E"/>
    <w:rsid w:val="0006037D"/>
    <w:rsid w:val="00060389"/>
    <w:rsid w:val="000604FE"/>
    <w:rsid w:val="00060577"/>
    <w:rsid w:val="00060593"/>
    <w:rsid w:val="000605E8"/>
    <w:rsid w:val="000606C8"/>
    <w:rsid w:val="0006093E"/>
    <w:rsid w:val="00060A1A"/>
    <w:rsid w:val="00060A79"/>
    <w:rsid w:val="00060A83"/>
    <w:rsid w:val="00060BA0"/>
    <w:rsid w:val="00060BC8"/>
    <w:rsid w:val="00060BCC"/>
    <w:rsid w:val="00060C52"/>
    <w:rsid w:val="00060C78"/>
    <w:rsid w:val="00060E29"/>
    <w:rsid w:val="00060E35"/>
    <w:rsid w:val="00060E89"/>
    <w:rsid w:val="00060EBD"/>
    <w:rsid w:val="00060F41"/>
    <w:rsid w:val="00060F92"/>
    <w:rsid w:val="00061056"/>
    <w:rsid w:val="00061143"/>
    <w:rsid w:val="00061159"/>
    <w:rsid w:val="000611BD"/>
    <w:rsid w:val="00061243"/>
    <w:rsid w:val="00061256"/>
    <w:rsid w:val="00061398"/>
    <w:rsid w:val="000613EC"/>
    <w:rsid w:val="00061548"/>
    <w:rsid w:val="000616FE"/>
    <w:rsid w:val="00061799"/>
    <w:rsid w:val="000617FB"/>
    <w:rsid w:val="00061BE0"/>
    <w:rsid w:val="00061C7A"/>
    <w:rsid w:val="00061E5C"/>
    <w:rsid w:val="00061F17"/>
    <w:rsid w:val="00061FD2"/>
    <w:rsid w:val="00061FD7"/>
    <w:rsid w:val="000620DD"/>
    <w:rsid w:val="00062146"/>
    <w:rsid w:val="00062180"/>
    <w:rsid w:val="000621E5"/>
    <w:rsid w:val="00062267"/>
    <w:rsid w:val="00062322"/>
    <w:rsid w:val="00062457"/>
    <w:rsid w:val="000624CE"/>
    <w:rsid w:val="000625F9"/>
    <w:rsid w:val="00062A39"/>
    <w:rsid w:val="00062A9B"/>
    <w:rsid w:val="00062B48"/>
    <w:rsid w:val="00062BFD"/>
    <w:rsid w:val="00062CC9"/>
    <w:rsid w:val="00062CF0"/>
    <w:rsid w:val="00062D1D"/>
    <w:rsid w:val="00062F5C"/>
    <w:rsid w:val="00062FFF"/>
    <w:rsid w:val="000630C6"/>
    <w:rsid w:val="000631D1"/>
    <w:rsid w:val="00063344"/>
    <w:rsid w:val="0006338C"/>
    <w:rsid w:val="000633F9"/>
    <w:rsid w:val="00063432"/>
    <w:rsid w:val="000634EA"/>
    <w:rsid w:val="000634FC"/>
    <w:rsid w:val="00063526"/>
    <w:rsid w:val="000637F7"/>
    <w:rsid w:val="00063807"/>
    <w:rsid w:val="000638AB"/>
    <w:rsid w:val="00063905"/>
    <w:rsid w:val="0006392F"/>
    <w:rsid w:val="00063999"/>
    <w:rsid w:val="00063AB5"/>
    <w:rsid w:val="00063B6B"/>
    <w:rsid w:val="00063B9E"/>
    <w:rsid w:val="00063DAC"/>
    <w:rsid w:val="00063E08"/>
    <w:rsid w:val="00063F7A"/>
    <w:rsid w:val="0006411B"/>
    <w:rsid w:val="0006413E"/>
    <w:rsid w:val="000641E6"/>
    <w:rsid w:val="000642AD"/>
    <w:rsid w:val="000643B1"/>
    <w:rsid w:val="000644D2"/>
    <w:rsid w:val="000645C8"/>
    <w:rsid w:val="00064651"/>
    <w:rsid w:val="00064735"/>
    <w:rsid w:val="000648C5"/>
    <w:rsid w:val="000648FB"/>
    <w:rsid w:val="00064CED"/>
    <w:rsid w:val="00064D6B"/>
    <w:rsid w:val="00064E2E"/>
    <w:rsid w:val="00064F3E"/>
    <w:rsid w:val="00064FB6"/>
    <w:rsid w:val="00064FDD"/>
    <w:rsid w:val="00065234"/>
    <w:rsid w:val="0006526A"/>
    <w:rsid w:val="00065277"/>
    <w:rsid w:val="000652A5"/>
    <w:rsid w:val="000653B7"/>
    <w:rsid w:val="000653C1"/>
    <w:rsid w:val="000654BB"/>
    <w:rsid w:val="00065771"/>
    <w:rsid w:val="000657BB"/>
    <w:rsid w:val="00065B50"/>
    <w:rsid w:val="00065B98"/>
    <w:rsid w:val="00065C85"/>
    <w:rsid w:val="00065CA2"/>
    <w:rsid w:val="00065DAF"/>
    <w:rsid w:val="00065E31"/>
    <w:rsid w:val="00065EB4"/>
    <w:rsid w:val="00065F32"/>
    <w:rsid w:val="000661D2"/>
    <w:rsid w:val="00066304"/>
    <w:rsid w:val="00066393"/>
    <w:rsid w:val="00066399"/>
    <w:rsid w:val="00066424"/>
    <w:rsid w:val="000664B5"/>
    <w:rsid w:val="0006665F"/>
    <w:rsid w:val="000666DF"/>
    <w:rsid w:val="000666E9"/>
    <w:rsid w:val="00066809"/>
    <w:rsid w:val="0006683A"/>
    <w:rsid w:val="000668D2"/>
    <w:rsid w:val="00066912"/>
    <w:rsid w:val="00066A0B"/>
    <w:rsid w:val="00066A55"/>
    <w:rsid w:val="00066B4B"/>
    <w:rsid w:val="00066C4C"/>
    <w:rsid w:val="00066CF1"/>
    <w:rsid w:val="00066D37"/>
    <w:rsid w:val="00066D3A"/>
    <w:rsid w:val="00066D8E"/>
    <w:rsid w:val="00066EFC"/>
    <w:rsid w:val="00066F61"/>
    <w:rsid w:val="00066F76"/>
    <w:rsid w:val="00066FC2"/>
    <w:rsid w:val="00066FC7"/>
    <w:rsid w:val="00067083"/>
    <w:rsid w:val="000670C3"/>
    <w:rsid w:val="00067117"/>
    <w:rsid w:val="000671D5"/>
    <w:rsid w:val="00067536"/>
    <w:rsid w:val="000676B7"/>
    <w:rsid w:val="00067713"/>
    <w:rsid w:val="00067730"/>
    <w:rsid w:val="00067826"/>
    <w:rsid w:val="000678AA"/>
    <w:rsid w:val="000678B4"/>
    <w:rsid w:val="00067A1B"/>
    <w:rsid w:val="00067B7E"/>
    <w:rsid w:val="00067CDC"/>
    <w:rsid w:val="00067D77"/>
    <w:rsid w:val="00067DC3"/>
    <w:rsid w:val="000700D8"/>
    <w:rsid w:val="000700ED"/>
    <w:rsid w:val="00070122"/>
    <w:rsid w:val="0007012F"/>
    <w:rsid w:val="00070177"/>
    <w:rsid w:val="00070225"/>
    <w:rsid w:val="0007034A"/>
    <w:rsid w:val="000703C2"/>
    <w:rsid w:val="000704A8"/>
    <w:rsid w:val="00070549"/>
    <w:rsid w:val="0007064C"/>
    <w:rsid w:val="000706CF"/>
    <w:rsid w:val="000707DE"/>
    <w:rsid w:val="000708F6"/>
    <w:rsid w:val="00070A00"/>
    <w:rsid w:val="00070A9B"/>
    <w:rsid w:val="00070CDD"/>
    <w:rsid w:val="00070D57"/>
    <w:rsid w:val="00070D96"/>
    <w:rsid w:val="00070F2F"/>
    <w:rsid w:val="00070F47"/>
    <w:rsid w:val="00070FC0"/>
    <w:rsid w:val="0007102D"/>
    <w:rsid w:val="000711FC"/>
    <w:rsid w:val="00071251"/>
    <w:rsid w:val="0007128C"/>
    <w:rsid w:val="000712AD"/>
    <w:rsid w:val="000713E8"/>
    <w:rsid w:val="0007146C"/>
    <w:rsid w:val="00071478"/>
    <w:rsid w:val="000714BD"/>
    <w:rsid w:val="00071579"/>
    <w:rsid w:val="00071621"/>
    <w:rsid w:val="000716C7"/>
    <w:rsid w:val="00071748"/>
    <w:rsid w:val="00071934"/>
    <w:rsid w:val="000719A4"/>
    <w:rsid w:val="00071A1F"/>
    <w:rsid w:val="00071ADA"/>
    <w:rsid w:val="00071B34"/>
    <w:rsid w:val="00071D96"/>
    <w:rsid w:val="00071E89"/>
    <w:rsid w:val="00071FCC"/>
    <w:rsid w:val="00072050"/>
    <w:rsid w:val="0007208C"/>
    <w:rsid w:val="000722C7"/>
    <w:rsid w:val="000722FD"/>
    <w:rsid w:val="00072346"/>
    <w:rsid w:val="00072476"/>
    <w:rsid w:val="000724BA"/>
    <w:rsid w:val="0007254F"/>
    <w:rsid w:val="000725B5"/>
    <w:rsid w:val="00072603"/>
    <w:rsid w:val="0007269D"/>
    <w:rsid w:val="000726F2"/>
    <w:rsid w:val="00072790"/>
    <w:rsid w:val="000727DA"/>
    <w:rsid w:val="0007288D"/>
    <w:rsid w:val="00072973"/>
    <w:rsid w:val="00072A05"/>
    <w:rsid w:val="00072B2C"/>
    <w:rsid w:val="00072BF1"/>
    <w:rsid w:val="00072D05"/>
    <w:rsid w:val="00072DEE"/>
    <w:rsid w:val="00072E05"/>
    <w:rsid w:val="00072E3A"/>
    <w:rsid w:val="00072F63"/>
    <w:rsid w:val="00072F8C"/>
    <w:rsid w:val="00072F96"/>
    <w:rsid w:val="00073333"/>
    <w:rsid w:val="00073377"/>
    <w:rsid w:val="0007343E"/>
    <w:rsid w:val="000734E6"/>
    <w:rsid w:val="00073614"/>
    <w:rsid w:val="000736D1"/>
    <w:rsid w:val="000736DB"/>
    <w:rsid w:val="00073708"/>
    <w:rsid w:val="0007371E"/>
    <w:rsid w:val="00073839"/>
    <w:rsid w:val="000738ED"/>
    <w:rsid w:val="00073919"/>
    <w:rsid w:val="00073927"/>
    <w:rsid w:val="00073B89"/>
    <w:rsid w:val="00073B9B"/>
    <w:rsid w:val="00073BF6"/>
    <w:rsid w:val="00073C3F"/>
    <w:rsid w:val="00073D26"/>
    <w:rsid w:val="00073D6A"/>
    <w:rsid w:val="00073D6D"/>
    <w:rsid w:val="00073E6D"/>
    <w:rsid w:val="00073F55"/>
    <w:rsid w:val="00074014"/>
    <w:rsid w:val="00074042"/>
    <w:rsid w:val="00074071"/>
    <w:rsid w:val="000740AF"/>
    <w:rsid w:val="000741BD"/>
    <w:rsid w:val="00074436"/>
    <w:rsid w:val="00074457"/>
    <w:rsid w:val="00074670"/>
    <w:rsid w:val="000747BE"/>
    <w:rsid w:val="00074842"/>
    <w:rsid w:val="00074944"/>
    <w:rsid w:val="00074988"/>
    <w:rsid w:val="00074C6B"/>
    <w:rsid w:val="00074CBC"/>
    <w:rsid w:val="00074D5E"/>
    <w:rsid w:val="00074F92"/>
    <w:rsid w:val="00074FA9"/>
    <w:rsid w:val="000751F4"/>
    <w:rsid w:val="0007521F"/>
    <w:rsid w:val="0007525F"/>
    <w:rsid w:val="00075303"/>
    <w:rsid w:val="000753C7"/>
    <w:rsid w:val="00075467"/>
    <w:rsid w:val="0007546C"/>
    <w:rsid w:val="000754A2"/>
    <w:rsid w:val="00075504"/>
    <w:rsid w:val="00075544"/>
    <w:rsid w:val="00075591"/>
    <w:rsid w:val="00075620"/>
    <w:rsid w:val="0007563A"/>
    <w:rsid w:val="00075675"/>
    <w:rsid w:val="000756F5"/>
    <w:rsid w:val="00075769"/>
    <w:rsid w:val="0007578F"/>
    <w:rsid w:val="000757DF"/>
    <w:rsid w:val="000757ED"/>
    <w:rsid w:val="0007591C"/>
    <w:rsid w:val="00075951"/>
    <w:rsid w:val="000759A5"/>
    <w:rsid w:val="00075C2A"/>
    <w:rsid w:val="00075E7D"/>
    <w:rsid w:val="00075F1B"/>
    <w:rsid w:val="00076001"/>
    <w:rsid w:val="000762F8"/>
    <w:rsid w:val="0007631D"/>
    <w:rsid w:val="00076342"/>
    <w:rsid w:val="000763EB"/>
    <w:rsid w:val="00076437"/>
    <w:rsid w:val="0007651D"/>
    <w:rsid w:val="000766CD"/>
    <w:rsid w:val="00076742"/>
    <w:rsid w:val="000768F8"/>
    <w:rsid w:val="00076948"/>
    <w:rsid w:val="000769E0"/>
    <w:rsid w:val="00076C66"/>
    <w:rsid w:val="00076E2C"/>
    <w:rsid w:val="00076EA0"/>
    <w:rsid w:val="00076ECB"/>
    <w:rsid w:val="00077049"/>
    <w:rsid w:val="00077241"/>
    <w:rsid w:val="00077295"/>
    <w:rsid w:val="000772BF"/>
    <w:rsid w:val="0007740C"/>
    <w:rsid w:val="000776E5"/>
    <w:rsid w:val="000777BF"/>
    <w:rsid w:val="00077872"/>
    <w:rsid w:val="000778FC"/>
    <w:rsid w:val="000779A5"/>
    <w:rsid w:val="00077CF7"/>
    <w:rsid w:val="00077DF0"/>
    <w:rsid w:val="00077F18"/>
    <w:rsid w:val="00077FA8"/>
    <w:rsid w:val="000800ED"/>
    <w:rsid w:val="0008011E"/>
    <w:rsid w:val="00080164"/>
    <w:rsid w:val="00080210"/>
    <w:rsid w:val="0008032C"/>
    <w:rsid w:val="0008039B"/>
    <w:rsid w:val="00080424"/>
    <w:rsid w:val="000804C7"/>
    <w:rsid w:val="000804C8"/>
    <w:rsid w:val="000806AE"/>
    <w:rsid w:val="00080741"/>
    <w:rsid w:val="00080965"/>
    <w:rsid w:val="0008096B"/>
    <w:rsid w:val="000809A8"/>
    <w:rsid w:val="00080B94"/>
    <w:rsid w:val="00080C1D"/>
    <w:rsid w:val="00080EA2"/>
    <w:rsid w:val="00080F3E"/>
    <w:rsid w:val="00081184"/>
    <w:rsid w:val="000811AB"/>
    <w:rsid w:val="00081447"/>
    <w:rsid w:val="000814FA"/>
    <w:rsid w:val="00081664"/>
    <w:rsid w:val="000816C7"/>
    <w:rsid w:val="000816FC"/>
    <w:rsid w:val="0008170B"/>
    <w:rsid w:val="00081784"/>
    <w:rsid w:val="00081802"/>
    <w:rsid w:val="0008189D"/>
    <w:rsid w:val="000818E6"/>
    <w:rsid w:val="00081920"/>
    <w:rsid w:val="000819A3"/>
    <w:rsid w:val="000819D0"/>
    <w:rsid w:val="00081B0C"/>
    <w:rsid w:val="00081D20"/>
    <w:rsid w:val="00081DEF"/>
    <w:rsid w:val="00081DF6"/>
    <w:rsid w:val="00081E2E"/>
    <w:rsid w:val="00081E91"/>
    <w:rsid w:val="00081F43"/>
    <w:rsid w:val="00081F76"/>
    <w:rsid w:val="00082228"/>
    <w:rsid w:val="000822D5"/>
    <w:rsid w:val="000823A5"/>
    <w:rsid w:val="000823BD"/>
    <w:rsid w:val="000823C6"/>
    <w:rsid w:val="000823CE"/>
    <w:rsid w:val="000823FA"/>
    <w:rsid w:val="0008243B"/>
    <w:rsid w:val="0008255A"/>
    <w:rsid w:val="00082574"/>
    <w:rsid w:val="000825E1"/>
    <w:rsid w:val="00082625"/>
    <w:rsid w:val="000826DB"/>
    <w:rsid w:val="00082776"/>
    <w:rsid w:val="00082799"/>
    <w:rsid w:val="00082859"/>
    <w:rsid w:val="00082986"/>
    <w:rsid w:val="00082A3E"/>
    <w:rsid w:val="00082AAE"/>
    <w:rsid w:val="00082B88"/>
    <w:rsid w:val="00082BB7"/>
    <w:rsid w:val="00082C21"/>
    <w:rsid w:val="00082C71"/>
    <w:rsid w:val="00082C72"/>
    <w:rsid w:val="00082DAA"/>
    <w:rsid w:val="00082E2B"/>
    <w:rsid w:val="00082EC9"/>
    <w:rsid w:val="00082F50"/>
    <w:rsid w:val="00083600"/>
    <w:rsid w:val="00083692"/>
    <w:rsid w:val="000836DF"/>
    <w:rsid w:val="000836EF"/>
    <w:rsid w:val="00083760"/>
    <w:rsid w:val="000837B2"/>
    <w:rsid w:val="000838BF"/>
    <w:rsid w:val="000839F6"/>
    <w:rsid w:val="00083A58"/>
    <w:rsid w:val="00083B06"/>
    <w:rsid w:val="00083D7E"/>
    <w:rsid w:val="00083E43"/>
    <w:rsid w:val="00083E47"/>
    <w:rsid w:val="00083ECA"/>
    <w:rsid w:val="00083F1B"/>
    <w:rsid w:val="0008400B"/>
    <w:rsid w:val="00084046"/>
    <w:rsid w:val="0008406E"/>
    <w:rsid w:val="00084200"/>
    <w:rsid w:val="0008420D"/>
    <w:rsid w:val="00084246"/>
    <w:rsid w:val="0008431F"/>
    <w:rsid w:val="00084327"/>
    <w:rsid w:val="0008449D"/>
    <w:rsid w:val="000844A3"/>
    <w:rsid w:val="0008452F"/>
    <w:rsid w:val="00084550"/>
    <w:rsid w:val="00084578"/>
    <w:rsid w:val="00084641"/>
    <w:rsid w:val="00084645"/>
    <w:rsid w:val="000846A3"/>
    <w:rsid w:val="000846A5"/>
    <w:rsid w:val="000846E2"/>
    <w:rsid w:val="0008480B"/>
    <w:rsid w:val="000849FF"/>
    <w:rsid w:val="00084A21"/>
    <w:rsid w:val="00084BC3"/>
    <w:rsid w:val="00084C80"/>
    <w:rsid w:val="00084D1F"/>
    <w:rsid w:val="00084E2F"/>
    <w:rsid w:val="0008503E"/>
    <w:rsid w:val="00085049"/>
    <w:rsid w:val="00085102"/>
    <w:rsid w:val="0008532C"/>
    <w:rsid w:val="000853AD"/>
    <w:rsid w:val="0008541D"/>
    <w:rsid w:val="00085432"/>
    <w:rsid w:val="000854EB"/>
    <w:rsid w:val="00085517"/>
    <w:rsid w:val="000855A5"/>
    <w:rsid w:val="00085604"/>
    <w:rsid w:val="00085708"/>
    <w:rsid w:val="00085743"/>
    <w:rsid w:val="000859D1"/>
    <w:rsid w:val="00085AF9"/>
    <w:rsid w:val="00085B59"/>
    <w:rsid w:val="00085E35"/>
    <w:rsid w:val="00085E65"/>
    <w:rsid w:val="00085EE9"/>
    <w:rsid w:val="00085F5C"/>
    <w:rsid w:val="000860AE"/>
    <w:rsid w:val="00086138"/>
    <w:rsid w:val="000861F0"/>
    <w:rsid w:val="00086382"/>
    <w:rsid w:val="0008639B"/>
    <w:rsid w:val="000864BC"/>
    <w:rsid w:val="000864DA"/>
    <w:rsid w:val="0008650A"/>
    <w:rsid w:val="0008667B"/>
    <w:rsid w:val="000866AF"/>
    <w:rsid w:val="000866E9"/>
    <w:rsid w:val="0008670D"/>
    <w:rsid w:val="00086917"/>
    <w:rsid w:val="0008699B"/>
    <w:rsid w:val="000869F5"/>
    <w:rsid w:val="00086A6B"/>
    <w:rsid w:val="00086A7D"/>
    <w:rsid w:val="00086A9D"/>
    <w:rsid w:val="00086AE0"/>
    <w:rsid w:val="00086B2A"/>
    <w:rsid w:val="00086C08"/>
    <w:rsid w:val="00086D02"/>
    <w:rsid w:val="00086D2D"/>
    <w:rsid w:val="00086D83"/>
    <w:rsid w:val="00086E24"/>
    <w:rsid w:val="00087198"/>
    <w:rsid w:val="000874A7"/>
    <w:rsid w:val="0008751A"/>
    <w:rsid w:val="00087678"/>
    <w:rsid w:val="000876BF"/>
    <w:rsid w:val="0008777E"/>
    <w:rsid w:val="00087822"/>
    <w:rsid w:val="0008783C"/>
    <w:rsid w:val="000878E7"/>
    <w:rsid w:val="00087945"/>
    <w:rsid w:val="00087960"/>
    <w:rsid w:val="00087963"/>
    <w:rsid w:val="00087A48"/>
    <w:rsid w:val="00087A7A"/>
    <w:rsid w:val="00087AA3"/>
    <w:rsid w:val="00087B2B"/>
    <w:rsid w:val="00087C10"/>
    <w:rsid w:val="00087C5F"/>
    <w:rsid w:val="00087ED3"/>
    <w:rsid w:val="00087ED4"/>
    <w:rsid w:val="00087EDF"/>
    <w:rsid w:val="00087FAE"/>
    <w:rsid w:val="00090067"/>
    <w:rsid w:val="000900DD"/>
    <w:rsid w:val="00090101"/>
    <w:rsid w:val="00090125"/>
    <w:rsid w:val="0009012E"/>
    <w:rsid w:val="00090336"/>
    <w:rsid w:val="0009033A"/>
    <w:rsid w:val="00090481"/>
    <w:rsid w:val="000904A8"/>
    <w:rsid w:val="0009052F"/>
    <w:rsid w:val="00090576"/>
    <w:rsid w:val="00090598"/>
    <w:rsid w:val="000905DC"/>
    <w:rsid w:val="00090693"/>
    <w:rsid w:val="00090774"/>
    <w:rsid w:val="00090786"/>
    <w:rsid w:val="000907D0"/>
    <w:rsid w:val="000908EF"/>
    <w:rsid w:val="00090900"/>
    <w:rsid w:val="00090954"/>
    <w:rsid w:val="00090B79"/>
    <w:rsid w:val="00090C33"/>
    <w:rsid w:val="00090E27"/>
    <w:rsid w:val="00090E77"/>
    <w:rsid w:val="00091027"/>
    <w:rsid w:val="000912F3"/>
    <w:rsid w:val="0009139F"/>
    <w:rsid w:val="000913CF"/>
    <w:rsid w:val="00091416"/>
    <w:rsid w:val="000914D2"/>
    <w:rsid w:val="0009153B"/>
    <w:rsid w:val="00091683"/>
    <w:rsid w:val="000916C1"/>
    <w:rsid w:val="0009194E"/>
    <w:rsid w:val="00091BC3"/>
    <w:rsid w:val="00091BDC"/>
    <w:rsid w:val="00091C18"/>
    <w:rsid w:val="00091C7B"/>
    <w:rsid w:val="00091E09"/>
    <w:rsid w:val="00091F42"/>
    <w:rsid w:val="00091F45"/>
    <w:rsid w:val="0009206D"/>
    <w:rsid w:val="000920C6"/>
    <w:rsid w:val="0009213D"/>
    <w:rsid w:val="00092140"/>
    <w:rsid w:val="000923EF"/>
    <w:rsid w:val="000923F6"/>
    <w:rsid w:val="0009240F"/>
    <w:rsid w:val="00092434"/>
    <w:rsid w:val="000924D0"/>
    <w:rsid w:val="0009260A"/>
    <w:rsid w:val="0009279E"/>
    <w:rsid w:val="0009281A"/>
    <w:rsid w:val="0009287B"/>
    <w:rsid w:val="00092924"/>
    <w:rsid w:val="000929D5"/>
    <w:rsid w:val="000929EA"/>
    <w:rsid w:val="00092BA8"/>
    <w:rsid w:val="00092C6F"/>
    <w:rsid w:val="00092C84"/>
    <w:rsid w:val="00092DB0"/>
    <w:rsid w:val="00092E13"/>
    <w:rsid w:val="00092E82"/>
    <w:rsid w:val="00092FFB"/>
    <w:rsid w:val="00093030"/>
    <w:rsid w:val="00093093"/>
    <w:rsid w:val="000930AE"/>
    <w:rsid w:val="00093432"/>
    <w:rsid w:val="00093540"/>
    <w:rsid w:val="00093920"/>
    <w:rsid w:val="00093AC1"/>
    <w:rsid w:val="00093BAC"/>
    <w:rsid w:val="00093BB6"/>
    <w:rsid w:val="00093C1C"/>
    <w:rsid w:val="00093C40"/>
    <w:rsid w:val="00093DB6"/>
    <w:rsid w:val="00093E2D"/>
    <w:rsid w:val="00093E61"/>
    <w:rsid w:val="00093E8F"/>
    <w:rsid w:val="00093F4F"/>
    <w:rsid w:val="00094043"/>
    <w:rsid w:val="000940E6"/>
    <w:rsid w:val="00094104"/>
    <w:rsid w:val="000942A9"/>
    <w:rsid w:val="0009433C"/>
    <w:rsid w:val="0009442C"/>
    <w:rsid w:val="0009444A"/>
    <w:rsid w:val="000944A6"/>
    <w:rsid w:val="000944E9"/>
    <w:rsid w:val="00094522"/>
    <w:rsid w:val="00094565"/>
    <w:rsid w:val="000946BB"/>
    <w:rsid w:val="000946DB"/>
    <w:rsid w:val="000946FE"/>
    <w:rsid w:val="00094712"/>
    <w:rsid w:val="000948DD"/>
    <w:rsid w:val="000948FA"/>
    <w:rsid w:val="0009494A"/>
    <w:rsid w:val="000949C5"/>
    <w:rsid w:val="00094D64"/>
    <w:rsid w:val="00094DBE"/>
    <w:rsid w:val="00094E92"/>
    <w:rsid w:val="00094F24"/>
    <w:rsid w:val="00094F4E"/>
    <w:rsid w:val="000950BA"/>
    <w:rsid w:val="000950E4"/>
    <w:rsid w:val="00095114"/>
    <w:rsid w:val="00095297"/>
    <w:rsid w:val="00095360"/>
    <w:rsid w:val="000953B4"/>
    <w:rsid w:val="0009541E"/>
    <w:rsid w:val="00095447"/>
    <w:rsid w:val="000954BA"/>
    <w:rsid w:val="0009556E"/>
    <w:rsid w:val="000955FE"/>
    <w:rsid w:val="00095663"/>
    <w:rsid w:val="000956D1"/>
    <w:rsid w:val="0009571F"/>
    <w:rsid w:val="000958B1"/>
    <w:rsid w:val="00095977"/>
    <w:rsid w:val="00095C59"/>
    <w:rsid w:val="00095C65"/>
    <w:rsid w:val="00095CAD"/>
    <w:rsid w:val="00095D3B"/>
    <w:rsid w:val="00095EC6"/>
    <w:rsid w:val="00095FF5"/>
    <w:rsid w:val="00095FFA"/>
    <w:rsid w:val="000960A2"/>
    <w:rsid w:val="000962AE"/>
    <w:rsid w:val="00096490"/>
    <w:rsid w:val="000964DC"/>
    <w:rsid w:val="00096606"/>
    <w:rsid w:val="00096613"/>
    <w:rsid w:val="0009663D"/>
    <w:rsid w:val="00096661"/>
    <w:rsid w:val="000966F7"/>
    <w:rsid w:val="000967DE"/>
    <w:rsid w:val="000967E5"/>
    <w:rsid w:val="000968C9"/>
    <w:rsid w:val="000968F0"/>
    <w:rsid w:val="00096911"/>
    <w:rsid w:val="00096949"/>
    <w:rsid w:val="00096A04"/>
    <w:rsid w:val="00096A19"/>
    <w:rsid w:val="00096C40"/>
    <w:rsid w:val="00096DDA"/>
    <w:rsid w:val="00096E0C"/>
    <w:rsid w:val="00096E48"/>
    <w:rsid w:val="0009703C"/>
    <w:rsid w:val="000972D4"/>
    <w:rsid w:val="0009730B"/>
    <w:rsid w:val="0009751B"/>
    <w:rsid w:val="000975EA"/>
    <w:rsid w:val="00097611"/>
    <w:rsid w:val="0009767D"/>
    <w:rsid w:val="00097839"/>
    <w:rsid w:val="00097884"/>
    <w:rsid w:val="000978DF"/>
    <w:rsid w:val="0009790F"/>
    <w:rsid w:val="00097BF6"/>
    <w:rsid w:val="00097C44"/>
    <w:rsid w:val="00097CAE"/>
    <w:rsid w:val="00097DB3"/>
    <w:rsid w:val="00097DDF"/>
    <w:rsid w:val="00097EC7"/>
    <w:rsid w:val="00097EEE"/>
    <w:rsid w:val="00097FB3"/>
    <w:rsid w:val="000A0039"/>
    <w:rsid w:val="000A00C4"/>
    <w:rsid w:val="000A02B5"/>
    <w:rsid w:val="000A03BA"/>
    <w:rsid w:val="000A057B"/>
    <w:rsid w:val="000A0717"/>
    <w:rsid w:val="000A07CF"/>
    <w:rsid w:val="000A0918"/>
    <w:rsid w:val="000A0A35"/>
    <w:rsid w:val="000A0AB3"/>
    <w:rsid w:val="000A0B5A"/>
    <w:rsid w:val="000A0BDD"/>
    <w:rsid w:val="000A0BF3"/>
    <w:rsid w:val="000A0DF7"/>
    <w:rsid w:val="000A0E1E"/>
    <w:rsid w:val="000A0E3A"/>
    <w:rsid w:val="000A0FAF"/>
    <w:rsid w:val="000A1037"/>
    <w:rsid w:val="000A11E4"/>
    <w:rsid w:val="000A123F"/>
    <w:rsid w:val="000A12EC"/>
    <w:rsid w:val="000A12FF"/>
    <w:rsid w:val="000A1370"/>
    <w:rsid w:val="000A138C"/>
    <w:rsid w:val="000A1429"/>
    <w:rsid w:val="000A1468"/>
    <w:rsid w:val="000A166A"/>
    <w:rsid w:val="000A16B8"/>
    <w:rsid w:val="000A1784"/>
    <w:rsid w:val="000A187B"/>
    <w:rsid w:val="000A18A6"/>
    <w:rsid w:val="000A18DA"/>
    <w:rsid w:val="000A19CD"/>
    <w:rsid w:val="000A1B40"/>
    <w:rsid w:val="000A1C9D"/>
    <w:rsid w:val="000A1DF5"/>
    <w:rsid w:val="000A1E8E"/>
    <w:rsid w:val="000A1EF0"/>
    <w:rsid w:val="000A1F50"/>
    <w:rsid w:val="000A1F8F"/>
    <w:rsid w:val="000A1FB1"/>
    <w:rsid w:val="000A2035"/>
    <w:rsid w:val="000A2040"/>
    <w:rsid w:val="000A21C8"/>
    <w:rsid w:val="000A21D4"/>
    <w:rsid w:val="000A2328"/>
    <w:rsid w:val="000A2425"/>
    <w:rsid w:val="000A2490"/>
    <w:rsid w:val="000A2562"/>
    <w:rsid w:val="000A2569"/>
    <w:rsid w:val="000A258B"/>
    <w:rsid w:val="000A2684"/>
    <w:rsid w:val="000A2705"/>
    <w:rsid w:val="000A27E2"/>
    <w:rsid w:val="000A27E6"/>
    <w:rsid w:val="000A2816"/>
    <w:rsid w:val="000A2914"/>
    <w:rsid w:val="000A2977"/>
    <w:rsid w:val="000A29D6"/>
    <w:rsid w:val="000A2A21"/>
    <w:rsid w:val="000A2B80"/>
    <w:rsid w:val="000A2C94"/>
    <w:rsid w:val="000A2D1C"/>
    <w:rsid w:val="000A2E34"/>
    <w:rsid w:val="000A2EB6"/>
    <w:rsid w:val="000A2EB7"/>
    <w:rsid w:val="000A2EF1"/>
    <w:rsid w:val="000A2F1C"/>
    <w:rsid w:val="000A2F32"/>
    <w:rsid w:val="000A2F76"/>
    <w:rsid w:val="000A3021"/>
    <w:rsid w:val="000A31F5"/>
    <w:rsid w:val="000A32C1"/>
    <w:rsid w:val="000A32E9"/>
    <w:rsid w:val="000A32EB"/>
    <w:rsid w:val="000A3381"/>
    <w:rsid w:val="000A34E2"/>
    <w:rsid w:val="000A353D"/>
    <w:rsid w:val="000A35EE"/>
    <w:rsid w:val="000A37E0"/>
    <w:rsid w:val="000A3903"/>
    <w:rsid w:val="000A3942"/>
    <w:rsid w:val="000A3960"/>
    <w:rsid w:val="000A3A86"/>
    <w:rsid w:val="000A3C97"/>
    <w:rsid w:val="000A3CDF"/>
    <w:rsid w:val="000A3D11"/>
    <w:rsid w:val="000A3DB2"/>
    <w:rsid w:val="000A3DB8"/>
    <w:rsid w:val="000A3F0F"/>
    <w:rsid w:val="000A3FFC"/>
    <w:rsid w:val="000A4036"/>
    <w:rsid w:val="000A4039"/>
    <w:rsid w:val="000A4060"/>
    <w:rsid w:val="000A4194"/>
    <w:rsid w:val="000A420F"/>
    <w:rsid w:val="000A43BA"/>
    <w:rsid w:val="000A4484"/>
    <w:rsid w:val="000A44E4"/>
    <w:rsid w:val="000A4542"/>
    <w:rsid w:val="000A464D"/>
    <w:rsid w:val="000A464F"/>
    <w:rsid w:val="000A4692"/>
    <w:rsid w:val="000A46FF"/>
    <w:rsid w:val="000A472B"/>
    <w:rsid w:val="000A474F"/>
    <w:rsid w:val="000A4772"/>
    <w:rsid w:val="000A4792"/>
    <w:rsid w:val="000A47DE"/>
    <w:rsid w:val="000A47ED"/>
    <w:rsid w:val="000A47EF"/>
    <w:rsid w:val="000A487E"/>
    <w:rsid w:val="000A4A21"/>
    <w:rsid w:val="000A4A25"/>
    <w:rsid w:val="000A4BA5"/>
    <w:rsid w:val="000A4C2A"/>
    <w:rsid w:val="000A4D82"/>
    <w:rsid w:val="000A4D8F"/>
    <w:rsid w:val="000A4D9C"/>
    <w:rsid w:val="000A4DEE"/>
    <w:rsid w:val="000A4EB6"/>
    <w:rsid w:val="000A4FBB"/>
    <w:rsid w:val="000A506B"/>
    <w:rsid w:val="000A508B"/>
    <w:rsid w:val="000A50E6"/>
    <w:rsid w:val="000A5165"/>
    <w:rsid w:val="000A52C8"/>
    <w:rsid w:val="000A544E"/>
    <w:rsid w:val="000A55D3"/>
    <w:rsid w:val="000A571A"/>
    <w:rsid w:val="000A5726"/>
    <w:rsid w:val="000A5812"/>
    <w:rsid w:val="000A590F"/>
    <w:rsid w:val="000A593E"/>
    <w:rsid w:val="000A594C"/>
    <w:rsid w:val="000A59A8"/>
    <w:rsid w:val="000A5AF3"/>
    <w:rsid w:val="000A5D08"/>
    <w:rsid w:val="000A5DBB"/>
    <w:rsid w:val="000A608F"/>
    <w:rsid w:val="000A612B"/>
    <w:rsid w:val="000A6134"/>
    <w:rsid w:val="000A618A"/>
    <w:rsid w:val="000A62D4"/>
    <w:rsid w:val="000A62FC"/>
    <w:rsid w:val="000A6603"/>
    <w:rsid w:val="000A668C"/>
    <w:rsid w:val="000A66B3"/>
    <w:rsid w:val="000A683B"/>
    <w:rsid w:val="000A6938"/>
    <w:rsid w:val="000A699E"/>
    <w:rsid w:val="000A6A23"/>
    <w:rsid w:val="000A6A30"/>
    <w:rsid w:val="000A6B0F"/>
    <w:rsid w:val="000A6D68"/>
    <w:rsid w:val="000A6E5A"/>
    <w:rsid w:val="000A6F59"/>
    <w:rsid w:val="000A6FBA"/>
    <w:rsid w:val="000A6FE4"/>
    <w:rsid w:val="000A7118"/>
    <w:rsid w:val="000A7170"/>
    <w:rsid w:val="000A7189"/>
    <w:rsid w:val="000A71A6"/>
    <w:rsid w:val="000A71D2"/>
    <w:rsid w:val="000A7201"/>
    <w:rsid w:val="000A7409"/>
    <w:rsid w:val="000A7412"/>
    <w:rsid w:val="000A74C3"/>
    <w:rsid w:val="000A7794"/>
    <w:rsid w:val="000A77F0"/>
    <w:rsid w:val="000A7851"/>
    <w:rsid w:val="000A78DD"/>
    <w:rsid w:val="000A790F"/>
    <w:rsid w:val="000A7ACA"/>
    <w:rsid w:val="000A7B9A"/>
    <w:rsid w:val="000A7BED"/>
    <w:rsid w:val="000A7CFD"/>
    <w:rsid w:val="000A7DC9"/>
    <w:rsid w:val="000A7DF6"/>
    <w:rsid w:val="000A7E09"/>
    <w:rsid w:val="000A7EDE"/>
    <w:rsid w:val="000A7EF0"/>
    <w:rsid w:val="000A7F47"/>
    <w:rsid w:val="000B0087"/>
    <w:rsid w:val="000B0092"/>
    <w:rsid w:val="000B0193"/>
    <w:rsid w:val="000B01B6"/>
    <w:rsid w:val="000B0294"/>
    <w:rsid w:val="000B0322"/>
    <w:rsid w:val="000B03A1"/>
    <w:rsid w:val="000B03D4"/>
    <w:rsid w:val="000B0450"/>
    <w:rsid w:val="000B04F0"/>
    <w:rsid w:val="000B0541"/>
    <w:rsid w:val="000B058B"/>
    <w:rsid w:val="000B069B"/>
    <w:rsid w:val="000B080E"/>
    <w:rsid w:val="000B0817"/>
    <w:rsid w:val="000B0824"/>
    <w:rsid w:val="000B086D"/>
    <w:rsid w:val="000B0883"/>
    <w:rsid w:val="000B08A3"/>
    <w:rsid w:val="000B08AB"/>
    <w:rsid w:val="000B0CC4"/>
    <w:rsid w:val="000B0E11"/>
    <w:rsid w:val="000B0FB6"/>
    <w:rsid w:val="000B0FF9"/>
    <w:rsid w:val="000B10AD"/>
    <w:rsid w:val="000B11C9"/>
    <w:rsid w:val="000B11F4"/>
    <w:rsid w:val="000B122D"/>
    <w:rsid w:val="000B142E"/>
    <w:rsid w:val="000B1464"/>
    <w:rsid w:val="000B14AF"/>
    <w:rsid w:val="000B1674"/>
    <w:rsid w:val="000B1821"/>
    <w:rsid w:val="000B184A"/>
    <w:rsid w:val="000B1932"/>
    <w:rsid w:val="000B1AA5"/>
    <w:rsid w:val="000B1AB8"/>
    <w:rsid w:val="000B1AF3"/>
    <w:rsid w:val="000B1B30"/>
    <w:rsid w:val="000B1D96"/>
    <w:rsid w:val="000B1F85"/>
    <w:rsid w:val="000B1FA0"/>
    <w:rsid w:val="000B2093"/>
    <w:rsid w:val="000B210E"/>
    <w:rsid w:val="000B2188"/>
    <w:rsid w:val="000B2242"/>
    <w:rsid w:val="000B2286"/>
    <w:rsid w:val="000B22A7"/>
    <w:rsid w:val="000B2373"/>
    <w:rsid w:val="000B23D5"/>
    <w:rsid w:val="000B2445"/>
    <w:rsid w:val="000B25AE"/>
    <w:rsid w:val="000B26E7"/>
    <w:rsid w:val="000B2703"/>
    <w:rsid w:val="000B2761"/>
    <w:rsid w:val="000B2846"/>
    <w:rsid w:val="000B2903"/>
    <w:rsid w:val="000B293D"/>
    <w:rsid w:val="000B2A70"/>
    <w:rsid w:val="000B2AB9"/>
    <w:rsid w:val="000B2B19"/>
    <w:rsid w:val="000B2C3E"/>
    <w:rsid w:val="000B2E8C"/>
    <w:rsid w:val="000B2F5E"/>
    <w:rsid w:val="000B2FCE"/>
    <w:rsid w:val="000B302C"/>
    <w:rsid w:val="000B3045"/>
    <w:rsid w:val="000B316A"/>
    <w:rsid w:val="000B3245"/>
    <w:rsid w:val="000B32B6"/>
    <w:rsid w:val="000B3368"/>
    <w:rsid w:val="000B3396"/>
    <w:rsid w:val="000B3405"/>
    <w:rsid w:val="000B3412"/>
    <w:rsid w:val="000B3478"/>
    <w:rsid w:val="000B3606"/>
    <w:rsid w:val="000B3656"/>
    <w:rsid w:val="000B3715"/>
    <w:rsid w:val="000B3884"/>
    <w:rsid w:val="000B3901"/>
    <w:rsid w:val="000B39DA"/>
    <w:rsid w:val="000B3A69"/>
    <w:rsid w:val="000B3BFA"/>
    <w:rsid w:val="000B3C1A"/>
    <w:rsid w:val="000B3C88"/>
    <w:rsid w:val="000B3CE1"/>
    <w:rsid w:val="000B3D07"/>
    <w:rsid w:val="000B3D1F"/>
    <w:rsid w:val="000B3D23"/>
    <w:rsid w:val="000B3D67"/>
    <w:rsid w:val="000B3D81"/>
    <w:rsid w:val="000B3D83"/>
    <w:rsid w:val="000B3E9E"/>
    <w:rsid w:val="000B3F4A"/>
    <w:rsid w:val="000B3F67"/>
    <w:rsid w:val="000B3FAB"/>
    <w:rsid w:val="000B3FAF"/>
    <w:rsid w:val="000B407D"/>
    <w:rsid w:val="000B4175"/>
    <w:rsid w:val="000B41A2"/>
    <w:rsid w:val="000B4206"/>
    <w:rsid w:val="000B424A"/>
    <w:rsid w:val="000B429D"/>
    <w:rsid w:val="000B42B9"/>
    <w:rsid w:val="000B4312"/>
    <w:rsid w:val="000B448C"/>
    <w:rsid w:val="000B454F"/>
    <w:rsid w:val="000B46B3"/>
    <w:rsid w:val="000B4738"/>
    <w:rsid w:val="000B483C"/>
    <w:rsid w:val="000B49C3"/>
    <w:rsid w:val="000B4A34"/>
    <w:rsid w:val="000B4A77"/>
    <w:rsid w:val="000B4B6D"/>
    <w:rsid w:val="000B4CBF"/>
    <w:rsid w:val="000B4E36"/>
    <w:rsid w:val="000B5000"/>
    <w:rsid w:val="000B5078"/>
    <w:rsid w:val="000B50BD"/>
    <w:rsid w:val="000B5223"/>
    <w:rsid w:val="000B583B"/>
    <w:rsid w:val="000B5982"/>
    <w:rsid w:val="000B59D4"/>
    <w:rsid w:val="000B59DC"/>
    <w:rsid w:val="000B5A7F"/>
    <w:rsid w:val="000B5B35"/>
    <w:rsid w:val="000B5BC6"/>
    <w:rsid w:val="000B5DA9"/>
    <w:rsid w:val="000B632E"/>
    <w:rsid w:val="000B63A0"/>
    <w:rsid w:val="000B63CA"/>
    <w:rsid w:val="000B6444"/>
    <w:rsid w:val="000B6479"/>
    <w:rsid w:val="000B6535"/>
    <w:rsid w:val="000B654C"/>
    <w:rsid w:val="000B6552"/>
    <w:rsid w:val="000B6574"/>
    <w:rsid w:val="000B6575"/>
    <w:rsid w:val="000B660F"/>
    <w:rsid w:val="000B6620"/>
    <w:rsid w:val="000B66D8"/>
    <w:rsid w:val="000B66E0"/>
    <w:rsid w:val="000B6713"/>
    <w:rsid w:val="000B6916"/>
    <w:rsid w:val="000B6937"/>
    <w:rsid w:val="000B69FA"/>
    <w:rsid w:val="000B6A28"/>
    <w:rsid w:val="000B6B97"/>
    <w:rsid w:val="000B6D8D"/>
    <w:rsid w:val="000B6EF9"/>
    <w:rsid w:val="000B6F7D"/>
    <w:rsid w:val="000B7027"/>
    <w:rsid w:val="000B705E"/>
    <w:rsid w:val="000B712F"/>
    <w:rsid w:val="000B71E3"/>
    <w:rsid w:val="000B7229"/>
    <w:rsid w:val="000B7458"/>
    <w:rsid w:val="000B74DF"/>
    <w:rsid w:val="000B756B"/>
    <w:rsid w:val="000B7631"/>
    <w:rsid w:val="000B76BD"/>
    <w:rsid w:val="000B770A"/>
    <w:rsid w:val="000B7733"/>
    <w:rsid w:val="000B7739"/>
    <w:rsid w:val="000B7756"/>
    <w:rsid w:val="000B77B2"/>
    <w:rsid w:val="000B7810"/>
    <w:rsid w:val="000B78E3"/>
    <w:rsid w:val="000B78EF"/>
    <w:rsid w:val="000B7A02"/>
    <w:rsid w:val="000B7AA1"/>
    <w:rsid w:val="000B7B51"/>
    <w:rsid w:val="000B7D8A"/>
    <w:rsid w:val="000B7E5E"/>
    <w:rsid w:val="000B7ED9"/>
    <w:rsid w:val="000B7F19"/>
    <w:rsid w:val="000B7FDD"/>
    <w:rsid w:val="000C0074"/>
    <w:rsid w:val="000C00D4"/>
    <w:rsid w:val="000C0172"/>
    <w:rsid w:val="000C01B3"/>
    <w:rsid w:val="000C01E8"/>
    <w:rsid w:val="000C01EC"/>
    <w:rsid w:val="000C0294"/>
    <w:rsid w:val="000C04A1"/>
    <w:rsid w:val="000C0515"/>
    <w:rsid w:val="000C05DF"/>
    <w:rsid w:val="000C05FD"/>
    <w:rsid w:val="000C0902"/>
    <w:rsid w:val="000C0953"/>
    <w:rsid w:val="000C097D"/>
    <w:rsid w:val="000C0A30"/>
    <w:rsid w:val="000C0BD0"/>
    <w:rsid w:val="000C0D7E"/>
    <w:rsid w:val="000C0ECD"/>
    <w:rsid w:val="000C0FBF"/>
    <w:rsid w:val="000C0FE8"/>
    <w:rsid w:val="000C1236"/>
    <w:rsid w:val="000C13C8"/>
    <w:rsid w:val="000C140B"/>
    <w:rsid w:val="000C1489"/>
    <w:rsid w:val="000C15BB"/>
    <w:rsid w:val="000C1633"/>
    <w:rsid w:val="000C1725"/>
    <w:rsid w:val="000C178D"/>
    <w:rsid w:val="000C1805"/>
    <w:rsid w:val="000C1829"/>
    <w:rsid w:val="000C188C"/>
    <w:rsid w:val="000C190A"/>
    <w:rsid w:val="000C1965"/>
    <w:rsid w:val="000C1983"/>
    <w:rsid w:val="000C19A7"/>
    <w:rsid w:val="000C1B35"/>
    <w:rsid w:val="000C1B5C"/>
    <w:rsid w:val="000C1C14"/>
    <w:rsid w:val="000C1CCB"/>
    <w:rsid w:val="000C1D23"/>
    <w:rsid w:val="000C1E6A"/>
    <w:rsid w:val="000C1F16"/>
    <w:rsid w:val="000C1FC6"/>
    <w:rsid w:val="000C2078"/>
    <w:rsid w:val="000C216C"/>
    <w:rsid w:val="000C21EB"/>
    <w:rsid w:val="000C2202"/>
    <w:rsid w:val="000C226E"/>
    <w:rsid w:val="000C2506"/>
    <w:rsid w:val="000C254B"/>
    <w:rsid w:val="000C259C"/>
    <w:rsid w:val="000C261E"/>
    <w:rsid w:val="000C26A4"/>
    <w:rsid w:val="000C2772"/>
    <w:rsid w:val="000C27AD"/>
    <w:rsid w:val="000C2A02"/>
    <w:rsid w:val="000C2BAC"/>
    <w:rsid w:val="000C2C2F"/>
    <w:rsid w:val="000C2CDB"/>
    <w:rsid w:val="000C2D88"/>
    <w:rsid w:val="000C2E73"/>
    <w:rsid w:val="000C2E9E"/>
    <w:rsid w:val="000C3025"/>
    <w:rsid w:val="000C31C5"/>
    <w:rsid w:val="000C328F"/>
    <w:rsid w:val="000C3329"/>
    <w:rsid w:val="000C3597"/>
    <w:rsid w:val="000C366B"/>
    <w:rsid w:val="000C36D7"/>
    <w:rsid w:val="000C3731"/>
    <w:rsid w:val="000C3738"/>
    <w:rsid w:val="000C378A"/>
    <w:rsid w:val="000C3823"/>
    <w:rsid w:val="000C3844"/>
    <w:rsid w:val="000C3888"/>
    <w:rsid w:val="000C38AC"/>
    <w:rsid w:val="000C3981"/>
    <w:rsid w:val="000C3AFB"/>
    <w:rsid w:val="000C3B8C"/>
    <w:rsid w:val="000C3BF3"/>
    <w:rsid w:val="000C3D6A"/>
    <w:rsid w:val="000C3EB3"/>
    <w:rsid w:val="000C3F56"/>
    <w:rsid w:val="000C4037"/>
    <w:rsid w:val="000C4064"/>
    <w:rsid w:val="000C428B"/>
    <w:rsid w:val="000C42B4"/>
    <w:rsid w:val="000C4556"/>
    <w:rsid w:val="000C4563"/>
    <w:rsid w:val="000C46BB"/>
    <w:rsid w:val="000C4733"/>
    <w:rsid w:val="000C47EB"/>
    <w:rsid w:val="000C47F7"/>
    <w:rsid w:val="000C4814"/>
    <w:rsid w:val="000C4819"/>
    <w:rsid w:val="000C486C"/>
    <w:rsid w:val="000C49E3"/>
    <w:rsid w:val="000C4B7F"/>
    <w:rsid w:val="000C4CCC"/>
    <w:rsid w:val="000C4E19"/>
    <w:rsid w:val="000C5182"/>
    <w:rsid w:val="000C52EF"/>
    <w:rsid w:val="000C5398"/>
    <w:rsid w:val="000C5401"/>
    <w:rsid w:val="000C54B1"/>
    <w:rsid w:val="000C5508"/>
    <w:rsid w:val="000C5567"/>
    <w:rsid w:val="000C55A7"/>
    <w:rsid w:val="000C5767"/>
    <w:rsid w:val="000C57A1"/>
    <w:rsid w:val="000C57AA"/>
    <w:rsid w:val="000C57F5"/>
    <w:rsid w:val="000C5829"/>
    <w:rsid w:val="000C589B"/>
    <w:rsid w:val="000C5929"/>
    <w:rsid w:val="000C5AC2"/>
    <w:rsid w:val="000C5B52"/>
    <w:rsid w:val="000C5B60"/>
    <w:rsid w:val="000C5B97"/>
    <w:rsid w:val="000C5CC7"/>
    <w:rsid w:val="000C5F54"/>
    <w:rsid w:val="000C5F59"/>
    <w:rsid w:val="000C5F9D"/>
    <w:rsid w:val="000C5FB3"/>
    <w:rsid w:val="000C606C"/>
    <w:rsid w:val="000C639F"/>
    <w:rsid w:val="000C63F6"/>
    <w:rsid w:val="000C6626"/>
    <w:rsid w:val="000C6655"/>
    <w:rsid w:val="000C6708"/>
    <w:rsid w:val="000C6738"/>
    <w:rsid w:val="000C67B0"/>
    <w:rsid w:val="000C68F1"/>
    <w:rsid w:val="000C692E"/>
    <w:rsid w:val="000C69DA"/>
    <w:rsid w:val="000C6A90"/>
    <w:rsid w:val="000C6B04"/>
    <w:rsid w:val="000C6B3E"/>
    <w:rsid w:val="000C6BE5"/>
    <w:rsid w:val="000C6C90"/>
    <w:rsid w:val="000C6EC3"/>
    <w:rsid w:val="000C6F66"/>
    <w:rsid w:val="000C6F9F"/>
    <w:rsid w:val="000C7090"/>
    <w:rsid w:val="000C70E3"/>
    <w:rsid w:val="000C719C"/>
    <w:rsid w:val="000C749D"/>
    <w:rsid w:val="000C751A"/>
    <w:rsid w:val="000C75BC"/>
    <w:rsid w:val="000C7611"/>
    <w:rsid w:val="000C7652"/>
    <w:rsid w:val="000C76CF"/>
    <w:rsid w:val="000C784A"/>
    <w:rsid w:val="000C7889"/>
    <w:rsid w:val="000C78A1"/>
    <w:rsid w:val="000C790D"/>
    <w:rsid w:val="000C792C"/>
    <w:rsid w:val="000C7B4E"/>
    <w:rsid w:val="000C7B5C"/>
    <w:rsid w:val="000C7BBC"/>
    <w:rsid w:val="000C7C18"/>
    <w:rsid w:val="000C7D2D"/>
    <w:rsid w:val="000C7DF8"/>
    <w:rsid w:val="000C7E52"/>
    <w:rsid w:val="000C7F6B"/>
    <w:rsid w:val="000D0160"/>
    <w:rsid w:val="000D01BE"/>
    <w:rsid w:val="000D023B"/>
    <w:rsid w:val="000D027D"/>
    <w:rsid w:val="000D031B"/>
    <w:rsid w:val="000D038A"/>
    <w:rsid w:val="000D03C9"/>
    <w:rsid w:val="000D03CC"/>
    <w:rsid w:val="000D03E1"/>
    <w:rsid w:val="000D047F"/>
    <w:rsid w:val="000D0530"/>
    <w:rsid w:val="000D060F"/>
    <w:rsid w:val="000D06D0"/>
    <w:rsid w:val="000D0703"/>
    <w:rsid w:val="000D0864"/>
    <w:rsid w:val="000D08A8"/>
    <w:rsid w:val="000D0907"/>
    <w:rsid w:val="000D0B92"/>
    <w:rsid w:val="000D0BCF"/>
    <w:rsid w:val="000D0CF6"/>
    <w:rsid w:val="000D0DB2"/>
    <w:rsid w:val="000D0DCF"/>
    <w:rsid w:val="000D0DD9"/>
    <w:rsid w:val="000D0E47"/>
    <w:rsid w:val="000D0F29"/>
    <w:rsid w:val="000D0FEF"/>
    <w:rsid w:val="000D10A9"/>
    <w:rsid w:val="000D10BD"/>
    <w:rsid w:val="000D10FE"/>
    <w:rsid w:val="000D1283"/>
    <w:rsid w:val="000D1352"/>
    <w:rsid w:val="000D13A3"/>
    <w:rsid w:val="000D158B"/>
    <w:rsid w:val="000D1607"/>
    <w:rsid w:val="000D167D"/>
    <w:rsid w:val="000D16D5"/>
    <w:rsid w:val="000D18C3"/>
    <w:rsid w:val="000D18DD"/>
    <w:rsid w:val="000D1AA1"/>
    <w:rsid w:val="000D1AD5"/>
    <w:rsid w:val="000D1AE2"/>
    <w:rsid w:val="000D1AE9"/>
    <w:rsid w:val="000D1B23"/>
    <w:rsid w:val="000D1B3E"/>
    <w:rsid w:val="000D1B71"/>
    <w:rsid w:val="000D1BEF"/>
    <w:rsid w:val="000D1C3C"/>
    <w:rsid w:val="000D1C88"/>
    <w:rsid w:val="000D1E11"/>
    <w:rsid w:val="000D1E2E"/>
    <w:rsid w:val="000D1FA3"/>
    <w:rsid w:val="000D202D"/>
    <w:rsid w:val="000D22A8"/>
    <w:rsid w:val="000D22AC"/>
    <w:rsid w:val="000D232B"/>
    <w:rsid w:val="000D23CC"/>
    <w:rsid w:val="000D2435"/>
    <w:rsid w:val="000D25DC"/>
    <w:rsid w:val="000D2664"/>
    <w:rsid w:val="000D26B4"/>
    <w:rsid w:val="000D2713"/>
    <w:rsid w:val="000D27AA"/>
    <w:rsid w:val="000D27D2"/>
    <w:rsid w:val="000D2A84"/>
    <w:rsid w:val="000D2D10"/>
    <w:rsid w:val="000D2D2D"/>
    <w:rsid w:val="000D2D5A"/>
    <w:rsid w:val="000D2DBC"/>
    <w:rsid w:val="000D2EAF"/>
    <w:rsid w:val="000D2FEA"/>
    <w:rsid w:val="000D30C8"/>
    <w:rsid w:val="000D30DB"/>
    <w:rsid w:val="000D3169"/>
    <w:rsid w:val="000D325F"/>
    <w:rsid w:val="000D3276"/>
    <w:rsid w:val="000D33FA"/>
    <w:rsid w:val="000D34A7"/>
    <w:rsid w:val="000D35A2"/>
    <w:rsid w:val="000D369E"/>
    <w:rsid w:val="000D36BF"/>
    <w:rsid w:val="000D36C2"/>
    <w:rsid w:val="000D376D"/>
    <w:rsid w:val="000D3954"/>
    <w:rsid w:val="000D3C4F"/>
    <w:rsid w:val="000D3D61"/>
    <w:rsid w:val="000D3E76"/>
    <w:rsid w:val="000D3E9B"/>
    <w:rsid w:val="000D4113"/>
    <w:rsid w:val="000D411B"/>
    <w:rsid w:val="000D43AC"/>
    <w:rsid w:val="000D43E8"/>
    <w:rsid w:val="000D4406"/>
    <w:rsid w:val="000D4434"/>
    <w:rsid w:val="000D4538"/>
    <w:rsid w:val="000D45C7"/>
    <w:rsid w:val="000D464B"/>
    <w:rsid w:val="000D4785"/>
    <w:rsid w:val="000D48F6"/>
    <w:rsid w:val="000D4904"/>
    <w:rsid w:val="000D497C"/>
    <w:rsid w:val="000D4A64"/>
    <w:rsid w:val="000D4B6E"/>
    <w:rsid w:val="000D4B96"/>
    <w:rsid w:val="000D4D36"/>
    <w:rsid w:val="000D4D6D"/>
    <w:rsid w:val="000D4E53"/>
    <w:rsid w:val="000D4F31"/>
    <w:rsid w:val="000D4F49"/>
    <w:rsid w:val="000D4FF3"/>
    <w:rsid w:val="000D5069"/>
    <w:rsid w:val="000D50E0"/>
    <w:rsid w:val="000D5117"/>
    <w:rsid w:val="000D5145"/>
    <w:rsid w:val="000D52FC"/>
    <w:rsid w:val="000D5361"/>
    <w:rsid w:val="000D5634"/>
    <w:rsid w:val="000D5AA7"/>
    <w:rsid w:val="000D5ADE"/>
    <w:rsid w:val="000D5B53"/>
    <w:rsid w:val="000D5C33"/>
    <w:rsid w:val="000D5C6C"/>
    <w:rsid w:val="000D5C76"/>
    <w:rsid w:val="000D5CAF"/>
    <w:rsid w:val="000D5CE8"/>
    <w:rsid w:val="000D5D2F"/>
    <w:rsid w:val="000D5F0B"/>
    <w:rsid w:val="000D6005"/>
    <w:rsid w:val="000D60C1"/>
    <w:rsid w:val="000D615F"/>
    <w:rsid w:val="000D616F"/>
    <w:rsid w:val="000D61D7"/>
    <w:rsid w:val="000D632C"/>
    <w:rsid w:val="000D6349"/>
    <w:rsid w:val="000D63FD"/>
    <w:rsid w:val="000D6549"/>
    <w:rsid w:val="000D65D9"/>
    <w:rsid w:val="000D6892"/>
    <w:rsid w:val="000D6A0C"/>
    <w:rsid w:val="000D6B0E"/>
    <w:rsid w:val="000D6C71"/>
    <w:rsid w:val="000D6D11"/>
    <w:rsid w:val="000D6D3A"/>
    <w:rsid w:val="000D6D94"/>
    <w:rsid w:val="000D6F2B"/>
    <w:rsid w:val="000D6F40"/>
    <w:rsid w:val="000D7030"/>
    <w:rsid w:val="000D71B5"/>
    <w:rsid w:val="000D71F4"/>
    <w:rsid w:val="000D73F5"/>
    <w:rsid w:val="000D7463"/>
    <w:rsid w:val="000D74C2"/>
    <w:rsid w:val="000D750E"/>
    <w:rsid w:val="000D75A7"/>
    <w:rsid w:val="000D7615"/>
    <w:rsid w:val="000D7632"/>
    <w:rsid w:val="000D76CA"/>
    <w:rsid w:val="000D76CC"/>
    <w:rsid w:val="000D773D"/>
    <w:rsid w:val="000D7779"/>
    <w:rsid w:val="000D77D9"/>
    <w:rsid w:val="000D783B"/>
    <w:rsid w:val="000D7938"/>
    <w:rsid w:val="000D7A4C"/>
    <w:rsid w:val="000D7A7C"/>
    <w:rsid w:val="000D7B3F"/>
    <w:rsid w:val="000D7B5D"/>
    <w:rsid w:val="000D7BC5"/>
    <w:rsid w:val="000D7C9B"/>
    <w:rsid w:val="000D7DDE"/>
    <w:rsid w:val="000D7F39"/>
    <w:rsid w:val="000E00F3"/>
    <w:rsid w:val="000E019B"/>
    <w:rsid w:val="000E01A5"/>
    <w:rsid w:val="000E02B5"/>
    <w:rsid w:val="000E02F0"/>
    <w:rsid w:val="000E03AF"/>
    <w:rsid w:val="000E0429"/>
    <w:rsid w:val="000E057E"/>
    <w:rsid w:val="000E0593"/>
    <w:rsid w:val="000E063D"/>
    <w:rsid w:val="000E068B"/>
    <w:rsid w:val="000E07C1"/>
    <w:rsid w:val="000E08CB"/>
    <w:rsid w:val="000E091E"/>
    <w:rsid w:val="000E0ADE"/>
    <w:rsid w:val="000E0CE5"/>
    <w:rsid w:val="000E0D83"/>
    <w:rsid w:val="000E0D9D"/>
    <w:rsid w:val="000E0E07"/>
    <w:rsid w:val="000E0EC4"/>
    <w:rsid w:val="000E0F37"/>
    <w:rsid w:val="000E0F97"/>
    <w:rsid w:val="000E1179"/>
    <w:rsid w:val="000E1350"/>
    <w:rsid w:val="000E1398"/>
    <w:rsid w:val="000E1471"/>
    <w:rsid w:val="000E16A6"/>
    <w:rsid w:val="000E16DE"/>
    <w:rsid w:val="000E1739"/>
    <w:rsid w:val="000E1743"/>
    <w:rsid w:val="000E1A2F"/>
    <w:rsid w:val="000E1C68"/>
    <w:rsid w:val="000E1E1B"/>
    <w:rsid w:val="000E1F0E"/>
    <w:rsid w:val="000E2159"/>
    <w:rsid w:val="000E2259"/>
    <w:rsid w:val="000E227D"/>
    <w:rsid w:val="000E229E"/>
    <w:rsid w:val="000E232A"/>
    <w:rsid w:val="000E23DF"/>
    <w:rsid w:val="000E24D8"/>
    <w:rsid w:val="000E259E"/>
    <w:rsid w:val="000E25F4"/>
    <w:rsid w:val="000E2622"/>
    <w:rsid w:val="000E2630"/>
    <w:rsid w:val="000E268C"/>
    <w:rsid w:val="000E27BB"/>
    <w:rsid w:val="000E293E"/>
    <w:rsid w:val="000E29A7"/>
    <w:rsid w:val="000E29C8"/>
    <w:rsid w:val="000E2A75"/>
    <w:rsid w:val="000E2B0B"/>
    <w:rsid w:val="000E2B98"/>
    <w:rsid w:val="000E2BA7"/>
    <w:rsid w:val="000E2BAD"/>
    <w:rsid w:val="000E2DE6"/>
    <w:rsid w:val="000E2E17"/>
    <w:rsid w:val="000E2F15"/>
    <w:rsid w:val="000E2FB6"/>
    <w:rsid w:val="000E309E"/>
    <w:rsid w:val="000E32DD"/>
    <w:rsid w:val="000E337D"/>
    <w:rsid w:val="000E338E"/>
    <w:rsid w:val="000E33F2"/>
    <w:rsid w:val="000E342D"/>
    <w:rsid w:val="000E3569"/>
    <w:rsid w:val="000E3663"/>
    <w:rsid w:val="000E36F7"/>
    <w:rsid w:val="000E3841"/>
    <w:rsid w:val="000E3867"/>
    <w:rsid w:val="000E3888"/>
    <w:rsid w:val="000E3AC8"/>
    <w:rsid w:val="000E3B0A"/>
    <w:rsid w:val="000E3B9E"/>
    <w:rsid w:val="000E3BF6"/>
    <w:rsid w:val="000E3CC6"/>
    <w:rsid w:val="000E3D06"/>
    <w:rsid w:val="000E3DB3"/>
    <w:rsid w:val="000E3E94"/>
    <w:rsid w:val="000E3F76"/>
    <w:rsid w:val="000E4000"/>
    <w:rsid w:val="000E40CF"/>
    <w:rsid w:val="000E42CF"/>
    <w:rsid w:val="000E435A"/>
    <w:rsid w:val="000E446C"/>
    <w:rsid w:val="000E453C"/>
    <w:rsid w:val="000E4543"/>
    <w:rsid w:val="000E4751"/>
    <w:rsid w:val="000E4756"/>
    <w:rsid w:val="000E47D2"/>
    <w:rsid w:val="000E4863"/>
    <w:rsid w:val="000E486B"/>
    <w:rsid w:val="000E489D"/>
    <w:rsid w:val="000E48F0"/>
    <w:rsid w:val="000E4962"/>
    <w:rsid w:val="000E4AAE"/>
    <w:rsid w:val="000E4AEC"/>
    <w:rsid w:val="000E4CE0"/>
    <w:rsid w:val="000E4FEE"/>
    <w:rsid w:val="000E4FF2"/>
    <w:rsid w:val="000E5183"/>
    <w:rsid w:val="000E51D2"/>
    <w:rsid w:val="000E528A"/>
    <w:rsid w:val="000E52F0"/>
    <w:rsid w:val="000E53BE"/>
    <w:rsid w:val="000E550C"/>
    <w:rsid w:val="000E5624"/>
    <w:rsid w:val="000E562B"/>
    <w:rsid w:val="000E564D"/>
    <w:rsid w:val="000E56F6"/>
    <w:rsid w:val="000E57F1"/>
    <w:rsid w:val="000E583F"/>
    <w:rsid w:val="000E5A82"/>
    <w:rsid w:val="000E5B7A"/>
    <w:rsid w:val="000E5BCC"/>
    <w:rsid w:val="000E5CB4"/>
    <w:rsid w:val="000E5CDA"/>
    <w:rsid w:val="000E5D3D"/>
    <w:rsid w:val="000E5D41"/>
    <w:rsid w:val="000E6032"/>
    <w:rsid w:val="000E603D"/>
    <w:rsid w:val="000E60B2"/>
    <w:rsid w:val="000E6146"/>
    <w:rsid w:val="000E61C7"/>
    <w:rsid w:val="000E620A"/>
    <w:rsid w:val="000E6241"/>
    <w:rsid w:val="000E6331"/>
    <w:rsid w:val="000E6373"/>
    <w:rsid w:val="000E63E7"/>
    <w:rsid w:val="000E63FD"/>
    <w:rsid w:val="000E6476"/>
    <w:rsid w:val="000E64A7"/>
    <w:rsid w:val="000E64BF"/>
    <w:rsid w:val="000E657E"/>
    <w:rsid w:val="000E6582"/>
    <w:rsid w:val="000E6668"/>
    <w:rsid w:val="000E674D"/>
    <w:rsid w:val="000E6795"/>
    <w:rsid w:val="000E67B4"/>
    <w:rsid w:val="000E68CD"/>
    <w:rsid w:val="000E6914"/>
    <w:rsid w:val="000E6945"/>
    <w:rsid w:val="000E699D"/>
    <w:rsid w:val="000E6AC8"/>
    <w:rsid w:val="000E6BA7"/>
    <w:rsid w:val="000E6C45"/>
    <w:rsid w:val="000E6D76"/>
    <w:rsid w:val="000E6F17"/>
    <w:rsid w:val="000E6F36"/>
    <w:rsid w:val="000E6F59"/>
    <w:rsid w:val="000E70A9"/>
    <w:rsid w:val="000E715D"/>
    <w:rsid w:val="000E7432"/>
    <w:rsid w:val="000E751D"/>
    <w:rsid w:val="000E7585"/>
    <w:rsid w:val="000E7593"/>
    <w:rsid w:val="000E75AF"/>
    <w:rsid w:val="000E76BD"/>
    <w:rsid w:val="000E7713"/>
    <w:rsid w:val="000E7794"/>
    <w:rsid w:val="000E77C2"/>
    <w:rsid w:val="000E7923"/>
    <w:rsid w:val="000E7A26"/>
    <w:rsid w:val="000E7A43"/>
    <w:rsid w:val="000E7AE4"/>
    <w:rsid w:val="000E7B1B"/>
    <w:rsid w:val="000E7BD0"/>
    <w:rsid w:val="000E7CC6"/>
    <w:rsid w:val="000E7E8A"/>
    <w:rsid w:val="000E7F12"/>
    <w:rsid w:val="000E7F2D"/>
    <w:rsid w:val="000E7FDE"/>
    <w:rsid w:val="000F01E2"/>
    <w:rsid w:val="000F0375"/>
    <w:rsid w:val="000F04CC"/>
    <w:rsid w:val="000F04ED"/>
    <w:rsid w:val="000F0584"/>
    <w:rsid w:val="000F0669"/>
    <w:rsid w:val="000F06F4"/>
    <w:rsid w:val="000F093D"/>
    <w:rsid w:val="000F0A00"/>
    <w:rsid w:val="000F0B92"/>
    <w:rsid w:val="000F0C4B"/>
    <w:rsid w:val="000F0CED"/>
    <w:rsid w:val="000F0CEF"/>
    <w:rsid w:val="000F0D17"/>
    <w:rsid w:val="000F0D3C"/>
    <w:rsid w:val="000F0DAD"/>
    <w:rsid w:val="000F0DBF"/>
    <w:rsid w:val="000F0E9A"/>
    <w:rsid w:val="000F1030"/>
    <w:rsid w:val="000F104E"/>
    <w:rsid w:val="000F1098"/>
    <w:rsid w:val="000F10CC"/>
    <w:rsid w:val="000F11F7"/>
    <w:rsid w:val="000F122D"/>
    <w:rsid w:val="000F12D1"/>
    <w:rsid w:val="000F1316"/>
    <w:rsid w:val="000F141B"/>
    <w:rsid w:val="000F1559"/>
    <w:rsid w:val="000F15EE"/>
    <w:rsid w:val="000F161B"/>
    <w:rsid w:val="000F1664"/>
    <w:rsid w:val="000F16E0"/>
    <w:rsid w:val="000F17D3"/>
    <w:rsid w:val="000F1837"/>
    <w:rsid w:val="000F19B1"/>
    <w:rsid w:val="000F1A71"/>
    <w:rsid w:val="000F1A85"/>
    <w:rsid w:val="000F1AA0"/>
    <w:rsid w:val="000F1AE0"/>
    <w:rsid w:val="000F1CB7"/>
    <w:rsid w:val="000F1D46"/>
    <w:rsid w:val="000F1E9E"/>
    <w:rsid w:val="000F1EB7"/>
    <w:rsid w:val="000F1EDE"/>
    <w:rsid w:val="000F22F0"/>
    <w:rsid w:val="000F23DB"/>
    <w:rsid w:val="000F2401"/>
    <w:rsid w:val="000F2414"/>
    <w:rsid w:val="000F253D"/>
    <w:rsid w:val="000F2645"/>
    <w:rsid w:val="000F2681"/>
    <w:rsid w:val="000F26C3"/>
    <w:rsid w:val="000F275F"/>
    <w:rsid w:val="000F29FF"/>
    <w:rsid w:val="000F2CC4"/>
    <w:rsid w:val="000F2D4F"/>
    <w:rsid w:val="000F2E3E"/>
    <w:rsid w:val="000F2E77"/>
    <w:rsid w:val="000F3132"/>
    <w:rsid w:val="000F31EA"/>
    <w:rsid w:val="000F325D"/>
    <w:rsid w:val="000F3416"/>
    <w:rsid w:val="000F3587"/>
    <w:rsid w:val="000F35FB"/>
    <w:rsid w:val="000F36EF"/>
    <w:rsid w:val="000F384C"/>
    <w:rsid w:val="000F39EF"/>
    <w:rsid w:val="000F39F8"/>
    <w:rsid w:val="000F3BCB"/>
    <w:rsid w:val="000F3C58"/>
    <w:rsid w:val="000F3CBF"/>
    <w:rsid w:val="000F3DA4"/>
    <w:rsid w:val="000F3DC4"/>
    <w:rsid w:val="000F3E3B"/>
    <w:rsid w:val="000F3E41"/>
    <w:rsid w:val="000F3F2A"/>
    <w:rsid w:val="000F3F56"/>
    <w:rsid w:val="000F3F91"/>
    <w:rsid w:val="000F4082"/>
    <w:rsid w:val="000F4099"/>
    <w:rsid w:val="000F4202"/>
    <w:rsid w:val="000F4236"/>
    <w:rsid w:val="000F4271"/>
    <w:rsid w:val="000F42A2"/>
    <w:rsid w:val="000F4376"/>
    <w:rsid w:val="000F4409"/>
    <w:rsid w:val="000F441C"/>
    <w:rsid w:val="000F4539"/>
    <w:rsid w:val="000F457C"/>
    <w:rsid w:val="000F459D"/>
    <w:rsid w:val="000F4627"/>
    <w:rsid w:val="000F4670"/>
    <w:rsid w:val="000F46E0"/>
    <w:rsid w:val="000F4788"/>
    <w:rsid w:val="000F4967"/>
    <w:rsid w:val="000F4988"/>
    <w:rsid w:val="000F4A9D"/>
    <w:rsid w:val="000F4B91"/>
    <w:rsid w:val="000F4C48"/>
    <w:rsid w:val="000F4C63"/>
    <w:rsid w:val="000F4CA6"/>
    <w:rsid w:val="000F4CC1"/>
    <w:rsid w:val="000F4D83"/>
    <w:rsid w:val="000F4E11"/>
    <w:rsid w:val="000F4F3B"/>
    <w:rsid w:val="000F4F7B"/>
    <w:rsid w:val="000F4FD0"/>
    <w:rsid w:val="000F50CA"/>
    <w:rsid w:val="000F51A1"/>
    <w:rsid w:val="000F51F6"/>
    <w:rsid w:val="000F5326"/>
    <w:rsid w:val="000F5486"/>
    <w:rsid w:val="000F54C4"/>
    <w:rsid w:val="000F555E"/>
    <w:rsid w:val="000F5586"/>
    <w:rsid w:val="000F55C7"/>
    <w:rsid w:val="000F57C3"/>
    <w:rsid w:val="000F57C7"/>
    <w:rsid w:val="000F5939"/>
    <w:rsid w:val="000F59FA"/>
    <w:rsid w:val="000F5A26"/>
    <w:rsid w:val="000F5AE4"/>
    <w:rsid w:val="000F5B32"/>
    <w:rsid w:val="000F5B87"/>
    <w:rsid w:val="000F5BFC"/>
    <w:rsid w:val="000F5C2F"/>
    <w:rsid w:val="000F5D33"/>
    <w:rsid w:val="000F5E83"/>
    <w:rsid w:val="000F5F0E"/>
    <w:rsid w:val="000F5F0F"/>
    <w:rsid w:val="000F5F44"/>
    <w:rsid w:val="000F5FEB"/>
    <w:rsid w:val="000F6146"/>
    <w:rsid w:val="000F61FE"/>
    <w:rsid w:val="000F64AD"/>
    <w:rsid w:val="000F6586"/>
    <w:rsid w:val="000F6737"/>
    <w:rsid w:val="000F6788"/>
    <w:rsid w:val="000F67AE"/>
    <w:rsid w:val="000F67E8"/>
    <w:rsid w:val="000F6836"/>
    <w:rsid w:val="000F6898"/>
    <w:rsid w:val="000F68A5"/>
    <w:rsid w:val="000F68A9"/>
    <w:rsid w:val="000F68AF"/>
    <w:rsid w:val="000F699F"/>
    <w:rsid w:val="000F6A16"/>
    <w:rsid w:val="000F6B8F"/>
    <w:rsid w:val="000F6B9B"/>
    <w:rsid w:val="000F6BC9"/>
    <w:rsid w:val="000F6BD6"/>
    <w:rsid w:val="000F6E87"/>
    <w:rsid w:val="000F6EC3"/>
    <w:rsid w:val="000F6F9B"/>
    <w:rsid w:val="000F73E6"/>
    <w:rsid w:val="000F73F0"/>
    <w:rsid w:val="000F74B7"/>
    <w:rsid w:val="000F75D8"/>
    <w:rsid w:val="000F7724"/>
    <w:rsid w:val="000F7780"/>
    <w:rsid w:val="000F77AD"/>
    <w:rsid w:val="000F781C"/>
    <w:rsid w:val="000F7883"/>
    <w:rsid w:val="000F7949"/>
    <w:rsid w:val="000F795D"/>
    <w:rsid w:val="000F7A99"/>
    <w:rsid w:val="000F7C68"/>
    <w:rsid w:val="000F7CEA"/>
    <w:rsid w:val="000F7CED"/>
    <w:rsid w:val="000F7D13"/>
    <w:rsid w:val="000F7D19"/>
    <w:rsid w:val="000F7EA1"/>
    <w:rsid w:val="000F7EAA"/>
    <w:rsid w:val="000F7FAE"/>
    <w:rsid w:val="00100004"/>
    <w:rsid w:val="00100141"/>
    <w:rsid w:val="00100166"/>
    <w:rsid w:val="0010021B"/>
    <w:rsid w:val="00100235"/>
    <w:rsid w:val="0010029F"/>
    <w:rsid w:val="001002AC"/>
    <w:rsid w:val="00100311"/>
    <w:rsid w:val="001003A9"/>
    <w:rsid w:val="001003CE"/>
    <w:rsid w:val="0010063B"/>
    <w:rsid w:val="001006CF"/>
    <w:rsid w:val="001006EE"/>
    <w:rsid w:val="001007DD"/>
    <w:rsid w:val="00100849"/>
    <w:rsid w:val="00100B2F"/>
    <w:rsid w:val="00100B77"/>
    <w:rsid w:val="00100C1F"/>
    <w:rsid w:val="00100D3B"/>
    <w:rsid w:val="00100E93"/>
    <w:rsid w:val="00100EC0"/>
    <w:rsid w:val="00100EE5"/>
    <w:rsid w:val="00100F41"/>
    <w:rsid w:val="00100F6C"/>
    <w:rsid w:val="00100F84"/>
    <w:rsid w:val="00100FC1"/>
    <w:rsid w:val="00100FFB"/>
    <w:rsid w:val="00101069"/>
    <w:rsid w:val="0010109D"/>
    <w:rsid w:val="00101164"/>
    <w:rsid w:val="00101234"/>
    <w:rsid w:val="001012AE"/>
    <w:rsid w:val="0010134C"/>
    <w:rsid w:val="00101448"/>
    <w:rsid w:val="00101451"/>
    <w:rsid w:val="00101495"/>
    <w:rsid w:val="0010149F"/>
    <w:rsid w:val="001014DD"/>
    <w:rsid w:val="00101633"/>
    <w:rsid w:val="001016CC"/>
    <w:rsid w:val="00101790"/>
    <w:rsid w:val="00101798"/>
    <w:rsid w:val="001018D9"/>
    <w:rsid w:val="00101B72"/>
    <w:rsid w:val="00101BAA"/>
    <w:rsid w:val="00101DBA"/>
    <w:rsid w:val="00101E20"/>
    <w:rsid w:val="00101F4B"/>
    <w:rsid w:val="001023D7"/>
    <w:rsid w:val="0010246C"/>
    <w:rsid w:val="001024AA"/>
    <w:rsid w:val="00102603"/>
    <w:rsid w:val="00102680"/>
    <w:rsid w:val="0010272E"/>
    <w:rsid w:val="00102792"/>
    <w:rsid w:val="001028BF"/>
    <w:rsid w:val="001029A7"/>
    <w:rsid w:val="001029BB"/>
    <w:rsid w:val="00102A62"/>
    <w:rsid w:val="00102A8A"/>
    <w:rsid w:val="00102ADC"/>
    <w:rsid w:val="00102C46"/>
    <w:rsid w:val="00102CE5"/>
    <w:rsid w:val="00102CEB"/>
    <w:rsid w:val="00102D8F"/>
    <w:rsid w:val="00102E23"/>
    <w:rsid w:val="00102E81"/>
    <w:rsid w:val="00102FB9"/>
    <w:rsid w:val="00102FBF"/>
    <w:rsid w:val="0010303A"/>
    <w:rsid w:val="0010319F"/>
    <w:rsid w:val="001031A7"/>
    <w:rsid w:val="00103545"/>
    <w:rsid w:val="001036E0"/>
    <w:rsid w:val="001036EE"/>
    <w:rsid w:val="0010378B"/>
    <w:rsid w:val="001037A8"/>
    <w:rsid w:val="001038D1"/>
    <w:rsid w:val="001039AD"/>
    <w:rsid w:val="001039C9"/>
    <w:rsid w:val="001039EA"/>
    <w:rsid w:val="00103B1A"/>
    <w:rsid w:val="00103B2B"/>
    <w:rsid w:val="00103B6B"/>
    <w:rsid w:val="00103BDA"/>
    <w:rsid w:val="00103CBE"/>
    <w:rsid w:val="00103D34"/>
    <w:rsid w:val="00103D62"/>
    <w:rsid w:val="00103D72"/>
    <w:rsid w:val="00103E0F"/>
    <w:rsid w:val="00103E15"/>
    <w:rsid w:val="00103EFB"/>
    <w:rsid w:val="0010405D"/>
    <w:rsid w:val="001040B8"/>
    <w:rsid w:val="0010445A"/>
    <w:rsid w:val="001044AA"/>
    <w:rsid w:val="001045AE"/>
    <w:rsid w:val="001046E8"/>
    <w:rsid w:val="00104880"/>
    <w:rsid w:val="00104982"/>
    <w:rsid w:val="001049C7"/>
    <w:rsid w:val="001049E0"/>
    <w:rsid w:val="00104B9A"/>
    <w:rsid w:val="00104D01"/>
    <w:rsid w:val="00104D12"/>
    <w:rsid w:val="00104D19"/>
    <w:rsid w:val="00104D5E"/>
    <w:rsid w:val="00104D7A"/>
    <w:rsid w:val="00104E9D"/>
    <w:rsid w:val="00104F38"/>
    <w:rsid w:val="00104FFA"/>
    <w:rsid w:val="001050BD"/>
    <w:rsid w:val="0010516B"/>
    <w:rsid w:val="00105242"/>
    <w:rsid w:val="001053C8"/>
    <w:rsid w:val="00105667"/>
    <w:rsid w:val="001056B0"/>
    <w:rsid w:val="00105770"/>
    <w:rsid w:val="001057AC"/>
    <w:rsid w:val="00105837"/>
    <w:rsid w:val="0010597C"/>
    <w:rsid w:val="001059F1"/>
    <w:rsid w:val="00105C45"/>
    <w:rsid w:val="00105C94"/>
    <w:rsid w:val="00105D05"/>
    <w:rsid w:val="00105E8C"/>
    <w:rsid w:val="00105E9D"/>
    <w:rsid w:val="00105EE4"/>
    <w:rsid w:val="00105F10"/>
    <w:rsid w:val="00105F28"/>
    <w:rsid w:val="0010610B"/>
    <w:rsid w:val="00106160"/>
    <w:rsid w:val="0010617D"/>
    <w:rsid w:val="001061E3"/>
    <w:rsid w:val="00106307"/>
    <w:rsid w:val="00106308"/>
    <w:rsid w:val="00106379"/>
    <w:rsid w:val="00106484"/>
    <w:rsid w:val="0010654F"/>
    <w:rsid w:val="001065A7"/>
    <w:rsid w:val="00106691"/>
    <w:rsid w:val="001066C3"/>
    <w:rsid w:val="001066DB"/>
    <w:rsid w:val="0010671E"/>
    <w:rsid w:val="00106837"/>
    <w:rsid w:val="00106869"/>
    <w:rsid w:val="0010688F"/>
    <w:rsid w:val="00106993"/>
    <w:rsid w:val="00106A03"/>
    <w:rsid w:val="00106AE0"/>
    <w:rsid w:val="00106B06"/>
    <w:rsid w:val="00106C08"/>
    <w:rsid w:val="00106DA5"/>
    <w:rsid w:val="00106DE4"/>
    <w:rsid w:val="00106EAA"/>
    <w:rsid w:val="00106F62"/>
    <w:rsid w:val="00106FA5"/>
    <w:rsid w:val="00106FAA"/>
    <w:rsid w:val="001071A4"/>
    <w:rsid w:val="001071C5"/>
    <w:rsid w:val="00107286"/>
    <w:rsid w:val="001072B4"/>
    <w:rsid w:val="001072FC"/>
    <w:rsid w:val="00107354"/>
    <w:rsid w:val="001073FF"/>
    <w:rsid w:val="0010749F"/>
    <w:rsid w:val="0010767D"/>
    <w:rsid w:val="00107694"/>
    <w:rsid w:val="00107747"/>
    <w:rsid w:val="001077C0"/>
    <w:rsid w:val="0010784C"/>
    <w:rsid w:val="001079AC"/>
    <w:rsid w:val="001079C2"/>
    <w:rsid w:val="00107B1F"/>
    <w:rsid w:val="00107BD4"/>
    <w:rsid w:val="00107EC4"/>
    <w:rsid w:val="00107ECD"/>
    <w:rsid w:val="00107F8D"/>
    <w:rsid w:val="00110138"/>
    <w:rsid w:val="001101F2"/>
    <w:rsid w:val="001101F9"/>
    <w:rsid w:val="00110202"/>
    <w:rsid w:val="0011022B"/>
    <w:rsid w:val="0011023D"/>
    <w:rsid w:val="001102BB"/>
    <w:rsid w:val="0011034C"/>
    <w:rsid w:val="0011036D"/>
    <w:rsid w:val="00110389"/>
    <w:rsid w:val="00110607"/>
    <w:rsid w:val="0011063E"/>
    <w:rsid w:val="001106EF"/>
    <w:rsid w:val="00110845"/>
    <w:rsid w:val="001108B8"/>
    <w:rsid w:val="00110A86"/>
    <w:rsid w:val="00110BBF"/>
    <w:rsid w:val="00110BD8"/>
    <w:rsid w:val="00110C7B"/>
    <w:rsid w:val="00110D42"/>
    <w:rsid w:val="00110D83"/>
    <w:rsid w:val="00110D96"/>
    <w:rsid w:val="00110E68"/>
    <w:rsid w:val="00110EF2"/>
    <w:rsid w:val="00110EFD"/>
    <w:rsid w:val="00110F4A"/>
    <w:rsid w:val="0011106B"/>
    <w:rsid w:val="00111084"/>
    <w:rsid w:val="00111107"/>
    <w:rsid w:val="001111CA"/>
    <w:rsid w:val="0011124F"/>
    <w:rsid w:val="00111269"/>
    <w:rsid w:val="0011133C"/>
    <w:rsid w:val="001113DB"/>
    <w:rsid w:val="00111503"/>
    <w:rsid w:val="00111535"/>
    <w:rsid w:val="0011167F"/>
    <w:rsid w:val="00111693"/>
    <w:rsid w:val="0011171D"/>
    <w:rsid w:val="00111766"/>
    <w:rsid w:val="00111800"/>
    <w:rsid w:val="00111854"/>
    <w:rsid w:val="0011194C"/>
    <w:rsid w:val="0011197F"/>
    <w:rsid w:val="00111986"/>
    <w:rsid w:val="001119D0"/>
    <w:rsid w:val="00111BD7"/>
    <w:rsid w:val="00111CB3"/>
    <w:rsid w:val="00111D64"/>
    <w:rsid w:val="00111DCA"/>
    <w:rsid w:val="00111DD2"/>
    <w:rsid w:val="00112075"/>
    <w:rsid w:val="0011214F"/>
    <w:rsid w:val="00112315"/>
    <w:rsid w:val="0011232F"/>
    <w:rsid w:val="00112385"/>
    <w:rsid w:val="001123C9"/>
    <w:rsid w:val="0011240C"/>
    <w:rsid w:val="00112429"/>
    <w:rsid w:val="0011244F"/>
    <w:rsid w:val="0011263F"/>
    <w:rsid w:val="00112856"/>
    <w:rsid w:val="001129AF"/>
    <w:rsid w:val="00112A0D"/>
    <w:rsid w:val="00112AE3"/>
    <w:rsid w:val="00112AE9"/>
    <w:rsid w:val="00112C75"/>
    <w:rsid w:val="00112D02"/>
    <w:rsid w:val="00112DA6"/>
    <w:rsid w:val="00112E5D"/>
    <w:rsid w:val="00112E84"/>
    <w:rsid w:val="00112FB3"/>
    <w:rsid w:val="00112FD9"/>
    <w:rsid w:val="001130E1"/>
    <w:rsid w:val="0011336F"/>
    <w:rsid w:val="001133A1"/>
    <w:rsid w:val="001133FD"/>
    <w:rsid w:val="00113525"/>
    <w:rsid w:val="001135A5"/>
    <w:rsid w:val="0011363B"/>
    <w:rsid w:val="00113646"/>
    <w:rsid w:val="00113779"/>
    <w:rsid w:val="00113794"/>
    <w:rsid w:val="00113828"/>
    <w:rsid w:val="0011398F"/>
    <w:rsid w:val="001139FB"/>
    <w:rsid w:val="00113A11"/>
    <w:rsid w:val="00113A19"/>
    <w:rsid w:val="00113A5B"/>
    <w:rsid w:val="00113A5E"/>
    <w:rsid w:val="00113A96"/>
    <w:rsid w:val="00113AF0"/>
    <w:rsid w:val="00113B27"/>
    <w:rsid w:val="00113B4F"/>
    <w:rsid w:val="00113D6D"/>
    <w:rsid w:val="00113E3A"/>
    <w:rsid w:val="00113F4E"/>
    <w:rsid w:val="00113FA3"/>
    <w:rsid w:val="0011402A"/>
    <w:rsid w:val="00114105"/>
    <w:rsid w:val="00114155"/>
    <w:rsid w:val="00114194"/>
    <w:rsid w:val="0011422E"/>
    <w:rsid w:val="0011423D"/>
    <w:rsid w:val="001143CF"/>
    <w:rsid w:val="0011453F"/>
    <w:rsid w:val="00114622"/>
    <w:rsid w:val="0011466E"/>
    <w:rsid w:val="001146DB"/>
    <w:rsid w:val="00114724"/>
    <w:rsid w:val="0011478B"/>
    <w:rsid w:val="00114870"/>
    <w:rsid w:val="0011489A"/>
    <w:rsid w:val="001148A1"/>
    <w:rsid w:val="00114A0D"/>
    <w:rsid w:val="00114BD8"/>
    <w:rsid w:val="00114D30"/>
    <w:rsid w:val="00114DC8"/>
    <w:rsid w:val="00114ED0"/>
    <w:rsid w:val="00115002"/>
    <w:rsid w:val="0011503B"/>
    <w:rsid w:val="00115070"/>
    <w:rsid w:val="001151A2"/>
    <w:rsid w:val="001152A7"/>
    <w:rsid w:val="0011530D"/>
    <w:rsid w:val="001153D9"/>
    <w:rsid w:val="00115434"/>
    <w:rsid w:val="00115497"/>
    <w:rsid w:val="001155AC"/>
    <w:rsid w:val="00115657"/>
    <w:rsid w:val="00115665"/>
    <w:rsid w:val="0011567A"/>
    <w:rsid w:val="001157E4"/>
    <w:rsid w:val="00115A99"/>
    <w:rsid w:val="00115AA0"/>
    <w:rsid w:val="00115C0C"/>
    <w:rsid w:val="00115C31"/>
    <w:rsid w:val="00115DD0"/>
    <w:rsid w:val="00115F8B"/>
    <w:rsid w:val="00116092"/>
    <w:rsid w:val="00116252"/>
    <w:rsid w:val="001163B7"/>
    <w:rsid w:val="00116479"/>
    <w:rsid w:val="00116487"/>
    <w:rsid w:val="001166D9"/>
    <w:rsid w:val="00116707"/>
    <w:rsid w:val="0011678C"/>
    <w:rsid w:val="0011683A"/>
    <w:rsid w:val="00116946"/>
    <w:rsid w:val="00116986"/>
    <w:rsid w:val="001169D4"/>
    <w:rsid w:val="00116E1D"/>
    <w:rsid w:val="0011715E"/>
    <w:rsid w:val="001171BD"/>
    <w:rsid w:val="0011731C"/>
    <w:rsid w:val="00117360"/>
    <w:rsid w:val="0011744D"/>
    <w:rsid w:val="001175B1"/>
    <w:rsid w:val="00117683"/>
    <w:rsid w:val="0011768F"/>
    <w:rsid w:val="001177CF"/>
    <w:rsid w:val="001178D4"/>
    <w:rsid w:val="00117985"/>
    <w:rsid w:val="001179FD"/>
    <w:rsid w:val="00117A55"/>
    <w:rsid w:val="00117BF5"/>
    <w:rsid w:val="00117C2B"/>
    <w:rsid w:val="00117C6D"/>
    <w:rsid w:val="00117D4D"/>
    <w:rsid w:val="00117DEC"/>
    <w:rsid w:val="00117E4C"/>
    <w:rsid w:val="00117E7E"/>
    <w:rsid w:val="00117E81"/>
    <w:rsid w:val="00117F12"/>
    <w:rsid w:val="00120072"/>
    <w:rsid w:val="001200C0"/>
    <w:rsid w:val="001200D8"/>
    <w:rsid w:val="001202D7"/>
    <w:rsid w:val="001202DE"/>
    <w:rsid w:val="00120385"/>
    <w:rsid w:val="001203AB"/>
    <w:rsid w:val="0012042D"/>
    <w:rsid w:val="0012057C"/>
    <w:rsid w:val="00120659"/>
    <w:rsid w:val="001206A8"/>
    <w:rsid w:val="001206B2"/>
    <w:rsid w:val="001207FE"/>
    <w:rsid w:val="00120803"/>
    <w:rsid w:val="001208FB"/>
    <w:rsid w:val="00120AA9"/>
    <w:rsid w:val="00120BBE"/>
    <w:rsid w:val="00120C3E"/>
    <w:rsid w:val="00120C4C"/>
    <w:rsid w:val="00120C54"/>
    <w:rsid w:val="00120C65"/>
    <w:rsid w:val="00120C8B"/>
    <w:rsid w:val="00120CB6"/>
    <w:rsid w:val="00120D3A"/>
    <w:rsid w:val="00120F44"/>
    <w:rsid w:val="00120F79"/>
    <w:rsid w:val="00120F7B"/>
    <w:rsid w:val="0012100A"/>
    <w:rsid w:val="001210C4"/>
    <w:rsid w:val="001210CF"/>
    <w:rsid w:val="00121104"/>
    <w:rsid w:val="001211BE"/>
    <w:rsid w:val="001211E8"/>
    <w:rsid w:val="001212E6"/>
    <w:rsid w:val="001212F5"/>
    <w:rsid w:val="00121478"/>
    <w:rsid w:val="0012162B"/>
    <w:rsid w:val="00121698"/>
    <w:rsid w:val="001216E1"/>
    <w:rsid w:val="001217C6"/>
    <w:rsid w:val="0012181A"/>
    <w:rsid w:val="001218DF"/>
    <w:rsid w:val="00121A08"/>
    <w:rsid w:val="00121A4D"/>
    <w:rsid w:val="00121AFD"/>
    <w:rsid w:val="00121B8D"/>
    <w:rsid w:val="00121C51"/>
    <w:rsid w:val="00121DE1"/>
    <w:rsid w:val="00121E2A"/>
    <w:rsid w:val="00121F6C"/>
    <w:rsid w:val="00121FDF"/>
    <w:rsid w:val="00122055"/>
    <w:rsid w:val="0012209F"/>
    <w:rsid w:val="001220FE"/>
    <w:rsid w:val="00122206"/>
    <w:rsid w:val="00122329"/>
    <w:rsid w:val="00122367"/>
    <w:rsid w:val="0012240E"/>
    <w:rsid w:val="0012245B"/>
    <w:rsid w:val="0012246B"/>
    <w:rsid w:val="00122520"/>
    <w:rsid w:val="0012253D"/>
    <w:rsid w:val="001225AF"/>
    <w:rsid w:val="00122665"/>
    <w:rsid w:val="001226CB"/>
    <w:rsid w:val="001226CC"/>
    <w:rsid w:val="00122748"/>
    <w:rsid w:val="00122770"/>
    <w:rsid w:val="0012285D"/>
    <w:rsid w:val="00122884"/>
    <w:rsid w:val="001228B2"/>
    <w:rsid w:val="001228EB"/>
    <w:rsid w:val="00122BDA"/>
    <w:rsid w:val="00122D61"/>
    <w:rsid w:val="00122ED0"/>
    <w:rsid w:val="00122FA2"/>
    <w:rsid w:val="0012302B"/>
    <w:rsid w:val="00123151"/>
    <w:rsid w:val="00123161"/>
    <w:rsid w:val="00123196"/>
    <w:rsid w:val="001232BE"/>
    <w:rsid w:val="001232EA"/>
    <w:rsid w:val="00123331"/>
    <w:rsid w:val="00123434"/>
    <w:rsid w:val="00123481"/>
    <w:rsid w:val="0012365E"/>
    <w:rsid w:val="00123747"/>
    <w:rsid w:val="0012378C"/>
    <w:rsid w:val="001237BB"/>
    <w:rsid w:val="00123930"/>
    <w:rsid w:val="00123B37"/>
    <w:rsid w:val="00123B60"/>
    <w:rsid w:val="00123C34"/>
    <w:rsid w:val="00123C41"/>
    <w:rsid w:val="00123D7E"/>
    <w:rsid w:val="00123DA0"/>
    <w:rsid w:val="00123E87"/>
    <w:rsid w:val="0012407C"/>
    <w:rsid w:val="001240C2"/>
    <w:rsid w:val="001240D7"/>
    <w:rsid w:val="001242BA"/>
    <w:rsid w:val="001242D0"/>
    <w:rsid w:val="001245B7"/>
    <w:rsid w:val="001245BB"/>
    <w:rsid w:val="001245FF"/>
    <w:rsid w:val="0012467B"/>
    <w:rsid w:val="00124681"/>
    <w:rsid w:val="0012470D"/>
    <w:rsid w:val="0012491E"/>
    <w:rsid w:val="00124B4D"/>
    <w:rsid w:val="00124BFE"/>
    <w:rsid w:val="00124C6D"/>
    <w:rsid w:val="00124DE7"/>
    <w:rsid w:val="00124E00"/>
    <w:rsid w:val="00124F92"/>
    <w:rsid w:val="00125074"/>
    <w:rsid w:val="001250B0"/>
    <w:rsid w:val="00125149"/>
    <w:rsid w:val="0012519D"/>
    <w:rsid w:val="001251B5"/>
    <w:rsid w:val="00125263"/>
    <w:rsid w:val="00125347"/>
    <w:rsid w:val="001253C7"/>
    <w:rsid w:val="00125503"/>
    <w:rsid w:val="0012566E"/>
    <w:rsid w:val="001257B3"/>
    <w:rsid w:val="0012582E"/>
    <w:rsid w:val="00125A0E"/>
    <w:rsid w:val="00125A1B"/>
    <w:rsid w:val="00125A8A"/>
    <w:rsid w:val="00125AC4"/>
    <w:rsid w:val="00125C81"/>
    <w:rsid w:val="00125CA7"/>
    <w:rsid w:val="00125CCE"/>
    <w:rsid w:val="00125CEB"/>
    <w:rsid w:val="00125D01"/>
    <w:rsid w:val="00125DC3"/>
    <w:rsid w:val="00125F95"/>
    <w:rsid w:val="00125F9F"/>
    <w:rsid w:val="00125FA3"/>
    <w:rsid w:val="00126044"/>
    <w:rsid w:val="00126101"/>
    <w:rsid w:val="00126123"/>
    <w:rsid w:val="0012618F"/>
    <w:rsid w:val="001261EA"/>
    <w:rsid w:val="001262D1"/>
    <w:rsid w:val="0012630B"/>
    <w:rsid w:val="0012631F"/>
    <w:rsid w:val="00126344"/>
    <w:rsid w:val="0012645D"/>
    <w:rsid w:val="001265ED"/>
    <w:rsid w:val="0012671F"/>
    <w:rsid w:val="001267D8"/>
    <w:rsid w:val="0012688A"/>
    <w:rsid w:val="001268F7"/>
    <w:rsid w:val="001268FC"/>
    <w:rsid w:val="00126900"/>
    <w:rsid w:val="00126A0E"/>
    <w:rsid w:val="00126ABE"/>
    <w:rsid w:val="00126B35"/>
    <w:rsid w:val="00126C6E"/>
    <w:rsid w:val="00126D18"/>
    <w:rsid w:val="00126DE0"/>
    <w:rsid w:val="00126F8A"/>
    <w:rsid w:val="0012716A"/>
    <w:rsid w:val="0012718E"/>
    <w:rsid w:val="00127266"/>
    <w:rsid w:val="0012728F"/>
    <w:rsid w:val="0012737E"/>
    <w:rsid w:val="0012738B"/>
    <w:rsid w:val="00127399"/>
    <w:rsid w:val="001273AF"/>
    <w:rsid w:val="001273B6"/>
    <w:rsid w:val="00127441"/>
    <w:rsid w:val="00127452"/>
    <w:rsid w:val="0012745C"/>
    <w:rsid w:val="001274D9"/>
    <w:rsid w:val="001275BF"/>
    <w:rsid w:val="001275F8"/>
    <w:rsid w:val="00127639"/>
    <w:rsid w:val="001276A2"/>
    <w:rsid w:val="001276CD"/>
    <w:rsid w:val="00127703"/>
    <w:rsid w:val="0012772F"/>
    <w:rsid w:val="001279C0"/>
    <w:rsid w:val="00127A26"/>
    <w:rsid w:val="00127A5F"/>
    <w:rsid w:val="00127A88"/>
    <w:rsid w:val="00127ADA"/>
    <w:rsid w:val="00127B88"/>
    <w:rsid w:val="00127BF5"/>
    <w:rsid w:val="00127C1A"/>
    <w:rsid w:val="00127D41"/>
    <w:rsid w:val="00127FC1"/>
    <w:rsid w:val="00130096"/>
    <w:rsid w:val="001300C9"/>
    <w:rsid w:val="001302F6"/>
    <w:rsid w:val="00130392"/>
    <w:rsid w:val="001305C5"/>
    <w:rsid w:val="001306C6"/>
    <w:rsid w:val="00130710"/>
    <w:rsid w:val="001307E9"/>
    <w:rsid w:val="001307FF"/>
    <w:rsid w:val="001309BC"/>
    <w:rsid w:val="00130A97"/>
    <w:rsid w:val="00130BA5"/>
    <w:rsid w:val="00130BCF"/>
    <w:rsid w:val="00130C0E"/>
    <w:rsid w:val="00130D2E"/>
    <w:rsid w:val="00130D47"/>
    <w:rsid w:val="00130DA0"/>
    <w:rsid w:val="00130E6D"/>
    <w:rsid w:val="00130E90"/>
    <w:rsid w:val="00130F2B"/>
    <w:rsid w:val="00130FF2"/>
    <w:rsid w:val="0013110D"/>
    <w:rsid w:val="001311BF"/>
    <w:rsid w:val="001312D2"/>
    <w:rsid w:val="00131425"/>
    <w:rsid w:val="00131584"/>
    <w:rsid w:val="001315CA"/>
    <w:rsid w:val="00131603"/>
    <w:rsid w:val="00131696"/>
    <w:rsid w:val="0013172C"/>
    <w:rsid w:val="00131858"/>
    <w:rsid w:val="001318A5"/>
    <w:rsid w:val="00131B2E"/>
    <w:rsid w:val="00131BBD"/>
    <w:rsid w:val="00131BFA"/>
    <w:rsid w:val="00131C17"/>
    <w:rsid w:val="00131CD7"/>
    <w:rsid w:val="00131DC5"/>
    <w:rsid w:val="00131E72"/>
    <w:rsid w:val="00131F9A"/>
    <w:rsid w:val="0013208C"/>
    <w:rsid w:val="001320AE"/>
    <w:rsid w:val="001320ED"/>
    <w:rsid w:val="00132104"/>
    <w:rsid w:val="001321B8"/>
    <w:rsid w:val="00132246"/>
    <w:rsid w:val="00132248"/>
    <w:rsid w:val="00132279"/>
    <w:rsid w:val="001323DA"/>
    <w:rsid w:val="001323DF"/>
    <w:rsid w:val="00132478"/>
    <w:rsid w:val="001325CB"/>
    <w:rsid w:val="0013279C"/>
    <w:rsid w:val="00132916"/>
    <w:rsid w:val="00132958"/>
    <w:rsid w:val="001329A8"/>
    <w:rsid w:val="001329BB"/>
    <w:rsid w:val="001329D0"/>
    <w:rsid w:val="00132B5C"/>
    <w:rsid w:val="00132BF1"/>
    <w:rsid w:val="00132C66"/>
    <w:rsid w:val="00132C7D"/>
    <w:rsid w:val="00132D36"/>
    <w:rsid w:val="00132D84"/>
    <w:rsid w:val="00132F63"/>
    <w:rsid w:val="00133109"/>
    <w:rsid w:val="001333C8"/>
    <w:rsid w:val="001334DC"/>
    <w:rsid w:val="00133541"/>
    <w:rsid w:val="00133707"/>
    <w:rsid w:val="00133766"/>
    <w:rsid w:val="0013376B"/>
    <w:rsid w:val="001339FD"/>
    <w:rsid w:val="00133ACB"/>
    <w:rsid w:val="00133B87"/>
    <w:rsid w:val="00133BD9"/>
    <w:rsid w:val="00133C14"/>
    <w:rsid w:val="00133C74"/>
    <w:rsid w:val="00133D1B"/>
    <w:rsid w:val="00133E51"/>
    <w:rsid w:val="00133F1F"/>
    <w:rsid w:val="00134076"/>
    <w:rsid w:val="001341E2"/>
    <w:rsid w:val="0013428D"/>
    <w:rsid w:val="001342C0"/>
    <w:rsid w:val="001342D8"/>
    <w:rsid w:val="00134680"/>
    <w:rsid w:val="00134698"/>
    <w:rsid w:val="001347C7"/>
    <w:rsid w:val="0013484E"/>
    <w:rsid w:val="001349E4"/>
    <w:rsid w:val="00134A4D"/>
    <w:rsid w:val="00134A6C"/>
    <w:rsid w:val="00134B67"/>
    <w:rsid w:val="00134CC4"/>
    <w:rsid w:val="00134CF2"/>
    <w:rsid w:val="00134D48"/>
    <w:rsid w:val="00134D67"/>
    <w:rsid w:val="00134DB6"/>
    <w:rsid w:val="00134EBF"/>
    <w:rsid w:val="00134EDB"/>
    <w:rsid w:val="00134F44"/>
    <w:rsid w:val="0013502F"/>
    <w:rsid w:val="001350C3"/>
    <w:rsid w:val="001350FB"/>
    <w:rsid w:val="0013513D"/>
    <w:rsid w:val="0013522B"/>
    <w:rsid w:val="00135259"/>
    <w:rsid w:val="00135291"/>
    <w:rsid w:val="0013530A"/>
    <w:rsid w:val="0013534F"/>
    <w:rsid w:val="0013536F"/>
    <w:rsid w:val="001353C2"/>
    <w:rsid w:val="001353DE"/>
    <w:rsid w:val="001354C0"/>
    <w:rsid w:val="001356F4"/>
    <w:rsid w:val="00135710"/>
    <w:rsid w:val="001357A1"/>
    <w:rsid w:val="001357E7"/>
    <w:rsid w:val="00135808"/>
    <w:rsid w:val="0013588C"/>
    <w:rsid w:val="0013588E"/>
    <w:rsid w:val="001358C5"/>
    <w:rsid w:val="0013590C"/>
    <w:rsid w:val="00135B2D"/>
    <w:rsid w:val="00135BEA"/>
    <w:rsid w:val="00135BFD"/>
    <w:rsid w:val="00135C0D"/>
    <w:rsid w:val="00135CC0"/>
    <w:rsid w:val="00135DE8"/>
    <w:rsid w:val="00135EA4"/>
    <w:rsid w:val="00135F59"/>
    <w:rsid w:val="00136196"/>
    <w:rsid w:val="001362A2"/>
    <w:rsid w:val="001363D5"/>
    <w:rsid w:val="001363E1"/>
    <w:rsid w:val="001363E3"/>
    <w:rsid w:val="00136438"/>
    <w:rsid w:val="001364B3"/>
    <w:rsid w:val="001364E7"/>
    <w:rsid w:val="00136502"/>
    <w:rsid w:val="00136518"/>
    <w:rsid w:val="00136546"/>
    <w:rsid w:val="001365BA"/>
    <w:rsid w:val="001365BE"/>
    <w:rsid w:val="00136776"/>
    <w:rsid w:val="00136964"/>
    <w:rsid w:val="001369BA"/>
    <w:rsid w:val="001369CB"/>
    <w:rsid w:val="00136B30"/>
    <w:rsid w:val="00136B3C"/>
    <w:rsid w:val="00136B44"/>
    <w:rsid w:val="00136C18"/>
    <w:rsid w:val="00136CC6"/>
    <w:rsid w:val="00136D21"/>
    <w:rsid w:val="00136F25"/>
    <w:rsid w:val="00136F7D"/>
    <w:rsid w:val="00136F88"/>
    <w:rsid w:val="00136FF2"/>
    <w:rsid w:val="001370DA"/>
    <w:rsid w:val="00137165"/>
    <w:rsid w:val="0013716C"/>
    <w:rsid w:val="0013717A"/>
    <w:rsid w:val="001371B2"/>
    <w:rsid w:val="001371C3"/>
    <w:rsid w:val="0013727D"/>
    <w:rsid w:val="001372B0"/>
    <w:rsid w:val="00137355"/>
    <w:rsid w:val="00137598"/>
    <w:rsid w:val="001376E2"/>
    <w:rsid w:val="00137929"/>
    <w:rsid w:val="00137989"/>
    <w:rsid w:val="00137A5F"/>
    <w:rsid w:val="00137A62"/>
    <w:rsid w:val="00137B00"/>
    <w:rsid w:val="00137C71"/>
    <w:rsid w:val="00137D50"/>
    <w:rsid w:val="00137DC1"/>
    <w:rsid w:val="00137DC2"/>
    <w:rsid w:val="00137EA3"/>
    <w:rsid w:val="00137F7C"/>
    <w:rsid w:val="00137FD5"/>
    <w:rsid w:val="001400C8"/>
    <w:rsid w:val="00140167"/>
    <w:rsid w:val="001401D0"/>
    <w:rsid w:val="00140350"/>
    <w:rsid w:val="001403A3"/>
    <w:rsid w:val="001404CC"/>
    <w:rsid w:val="0014052C"/>
    <w:rsid w:val="00140634"/>
    <w:rsid w:val="00140679"/>
    <w:rsid w:val="0014067D"/>
    <w:rsid w:val="00140719"/>
    <w:rsid w:val="001407BA"/>
    <w:rsid w:val="001407F9"/>
    <w:rsid w:val="00140ADF"/>
    <w:rsid w:val="00140B64"/>
    <w:rsid w:val="00140CB2"/>
    <w:rsid w:val="00140EB7"/>
    <w:rsid w:val="00140EE7"/>
    <w:rsid w:val="00141053"/>
    <w:rsid w:val="001411F7"/>
    <w:rsid w:val="0014123C"/>
    <w:rsid w:val="001414C0"/>
    <w:rsid w:val="0014151E"/>
    <w:rsid w:val="0014176A"/>
    <w:rsid w:val="00141882"/>
    <w:rsid w:val="00141A03"/>
    <w:rsid w:val="00141A33"/>
    <w:rsid w:val="00141A3E"/>
    <w:rsid w:val="00141A9F"/>
    <w:rsid w:val="00141B09"/>
    <w:rsid w:val="00141B34"/>
    <w:rsid w:val="00141B90"/>
    <w:rsid w:val="00141CDB"/>
    <w:rsid w:val="00141D6E"/>
    <w:rsid w:val="00141F07"/>
    <w:rsid w:val="00141F70"/>
    <w:rsid w:val="00141F94"/>
    <w:rsid w:val="00141FA1"/>
    <w:rsid w:val="0014207D"/>
    <w:rsid w:val="001421E5"/>
    <w:rsid w:val="001421F8"/>
    <w:rsid w:val="00142277"/>
    <w:rsid w:val="00142298"/>
    <w:rsid w:val="0014237B"/>
    <w:rsid w:val="00142432"/>
    <w:rsid w:val="001425DD"/>
    <w:rsid w:val="00142641"/>
    <w:rsid w:val="001427BD"/>
    <w:rsid w:val="00142884"/>
    <w:rsid w:val="001428D5"/>
    <w:rsid w:val="0014291B"/>
    <w:rsid w:val="001429D1"/>
    <w:rsid w:val="00142A91"/>
    <w:rsid w:val="00142A9B"/>
    <w:rsid w:val="00142BEA"/>
    <w:rsid w:val="00142CAE"/>
    <w:rsid w:val="00142D1C"/>
    <w:rsid w:val="00142E35"/>
    <w:rsid w:val="00142F3E"/>
    <w:rsid w:val="00142F68"/>
    <w:rsid w:val="00143005"/>
    <w:rsid w:val="001430E1"/>
    <w:rsid w:val="0014311E"/>
    <w:rsid w:val="00143131"/>
    <w:rsid w:val="001431BC"/>
    <w:rsid w:val="00143259"/>
    <w:rsid w:val="001433E3"/>
    <w:rsid w:val="00143404"/>
    <w:rsid w:val="00143555"/>
    <w:rsid w:val="001437C3"/>
    <w:rsid w:val="0014380F"/>
    <w:rsid w:val="0014383C"/>
    <w:rsid w:val="0014385F"/>
    <w:rsid w:val="00143873"/>
    <w:rsid w:val="001438A5"/>
    <w:rsid w:val="00143926"/>
    <w:rsid w:val="00143B11"/>
    <w:rsid w:val="00143C3C"/>
    <w:rsid w:val="00143C85"/>
    <w:rsid w:val="00143CED"/>
    <w:rsid w:val="001442A2"/>
    <w:rsid w:val="00144435"/>
    <w:rsid w:val="001444CD"/>
    <w:rsid w:val="001446B5"/>
    <w:rsid w:val="001447B2"/>
    <w:rsid w:val="001447BC"/>
    <w:rsid w:val="001447C0"/>
    <w:rsid w:val="001447C1"/>
    <w:rsid w:val="0014483D"/>
    <w:rsid w:val="0014494D"/>
    <w:rsid w:val="00144AA8"/>
    <w:rsid w:val="00144B50"/>
    <w:rsid w:val="00144BEB"/>
    <w:rsid w:val="00144C14"/>
    <w:rsid w:val="00144CED"/>
    <w:rsid w:val="00144DBD"/>
    <w:rsid w:val="00145041"/>
    <w:rsid w:val="0014506A"/>
    <w:rsid w:val="001450AB"/>
    <w:rsid w:val="0014513E"/>
    <w:rsid w:val="00145182"/>
    <w:rsid w:val="001451AD"/>
    <w:rsid w:val="0014537A"/>
    <w:rsid w:val="001453CF"/>
    <w:rsid w:val="00145414"/>
    <w:rsid w:val="00145430"/>
    <w:rsid w:val="0014544B"/>
    <w:rsid w:val="00145464"/>
    <w:rsid w:val="0014562C"/>
    <w:rsid w:val="00145727"/>
    <w:rsid w:val="0014584E"/>
    <w:rsid w:val="00145870"/>
    <w:rsid w:val="001458D2"/>
    <w:rsid w:val="001459CB"/>
    <w:rsid w:val="00145A29"/>
    <w:rsid w:val="00145A3F"/>
    <w:rsid w:val="00145A49"/>
    <w:rsid w:val="00145A4A"/>
    <w:rsid w:val="00145AFB"/>
    <w:rsid w:val="00145CA0"/>
    <w:rsid w:val="00145D82"/>
    <w:rsid w:val="00145F42"/>
    <w:rsid w:val="00145FFF"/>
    <w:rsid w:val="001461AC"/>
    <w:rsid w:val="001461B4"/>
    <w:rsid w:val="001461E7"/>
    <w:rsid w:val="0014620F"/>
    <w:rsid w:val="001463EC"/>
    <w:rsid w:val="0014651D"/>
    <w:rsid w:val="0014670F"/>
    <w:rsid w:val="00146778"/>
    <w:rsid w:val="001467FD"/>
    <w:rsid w:val="0014682D"/>
    <w:rsid w:val="001469F0"/>
    <w:rsid w:val="00146AFE"/>
    <w:rsid w:val="00146B22"/>
    <w:rsid w:val="00146BB0"/>
    <w:rsid w:val="00146C1E"/>
    <w:rsid w:val="00146C2E"/>
    <w:rsid w:val="00146C51"/>
    <w:rsid w:val="00146F1E"/>
    <w:rsid w:val="001470C5"/>
    <w:rsid w:val="001471F6"/>
    <w:rsid w:val="001472B6"/>
    <w:rsid w:val="001473C0"/>
    <w:rsid w:val="00147763"/>
    <w:rsid w:val="001477E2"/>
    <w:rsid w:val="001477FB"/>
    <w:rsid w:val="0014786A"/>
    <w:rsid w:val="0014788F"/>
    <w:rsid w:val="00147A4F"/>
    <w:rsid w:val="00147ACD"/>
    <w:rsid w:val="00147B6F"/>
    <w:rsid w:val="00147C1F"/>
    <w:rsid w:val="00147C58"/>
    <w:rsid w:val="00147D8E"/>
    <w:rsid w:val="00147E95"/>
    <w:rsid w:val="00147EF8"/>
    <w:rsid w:val="00147F9E"/>
    <w:rsid w:val="00150103"/>
    <w:rsid w:val="00150154"/>
    <w:rsid w:val="001501A5"/>
    <w:rsid w:val="001501B5"/>
    <w:rsid w:val="00150271"/>
    <w:rsid w:val="00150387"/>
    <w:rsid w:val="001503D7"/>
    <w:rsid w:val="001503F6"/>
    <w:rsid w:val="00150474"/>
    <w:rsid w:val="00150574"/>
    <w:rsid w:val="001505A9"/>
    <w:rsid w:val="001505AF"/>
    <w:rsid w:val="001505B1"/>
    <w:rsid w:val="00150613"/>
    <w:rsid w:val="00150685"/>
    <w:rsid w:val="001506EA"/>
    <w:rsid w:val="0015094A"/>
    <w:rsid w:val="00150B51"/>
    <w:rsid w:val="00150BAE"/>
    <w:rsid w:val="00150CAD"/>
    <w:rsid w:val="00150D91"/>
    <w:rsid w:val="00150E2F"/>
    <w:rsid w:val="00150FB6"/>
    <w:rsid w:val="0015111E"/>
    <w:rsid w:val="0015125B"/>
    <w:rsid w:val="00151270"/>
    <w:rsid w:val="001513C4"/>
    <w:rsid w:val="001513EF"/>
    <w:rsid w:val="001513FC"/>
    <w:rsid w:val="0015159A"/>
    <w:rsid w:val="0015159E"/>
    <w:rsid w:val="00151679"/>
    <w:rsid w:val="0015175E"/>
    <w:rsid w:val="00151800"/>
    <w:rsid w:val="00151927"/>
    <w:rsid w:val="00151984"/>
    <w:rsid w:val="001519E4"/>
    <w:rsid w:val="00151B91"/>
    <w:rsid w:val="00151BA7"/>
    <w:rsid w:val="00151DE7"/>
    <w:rsid w:val="00151DFB"/>
    <w:rsid w:val="00152035"/>
    <w:rsid w:val="00152083"/>
    <w:rsid w:val="001520B8"/>
    <w:rsid w:val="001522DA"/>
    <w:rsid w:val="00152360"/>
    <w:rsid w:val="00152390"/>
    <w:rsid w:val="001524B2"/>
    <w:rsid w:val="00152507"/>
    <w:rsid w:val="001525B5"/>
    <w:rsid w:val="0015272A"/>
    <w:rsid w:val="0015280C"/>
    <w:rsid w:val="00152B4A"/>
    <w:rsid w:val="00152BBD"/>
    <w:rsid w:val="00152CCB"/>
    <w:rsid w:val="00152CEE"/>
    <w:rsid w:val="00152E56"/>
    <w:rsid w:val="00152E89"/>
    <w:rsid w:val="00152EA9"/>
    <w:rsid w:val="00152EB5"/>
    <w:rsid w:val="00152EEA"/>
    <w:rsid w:val="00152F2E"/>
    <w:rsid w:val="00152FB5"/>
    <w:rsid w:val="001530B3"/>
    <w:rsid w:val="001531D6"/>
    <w:rsid w:val="0015333E"/>
    <w:rsid w:val="00153419"/>
    <w:rsid w:val="001536A9"/>
    <w:rsid w:val="001537C4"/>
    <w:rsid w:val="00153803"/>
    <w:rsid w:val="00153959"/>
    <w:rsid w:val="001539E3"/>
    <w:rsid w:val="00153A40"/>
    <w:rsid w:val="00153A6A"/>
    <w:rsid w:val="00153B9F"/>
    <w:rsid w:val="00153C73"/>
    <w:rsid w:val="00153C91"/>
    <w:rsid w:val="00153D19"/>
    <w:rsid w:val="00153E67"/>
    <w:rsid w:val="00153EF2"/>
    <w:rsid w:val="00153F16"/>
    <w:rsid w:val="00153FDF"/>
    <w:rsid w:val="00154185"/>
    <w:rsid w:val="00154246"/>
    <w:rsid w:val="001542DD"/>
    <w:rsid w:val="00154388"/>
    <w:rsid w:val="001543A0"/>
    <w:rsid w:val="001543C9"/>
    <w:rsid w:val="001544A0"/>
    <w:rsid w:val="001545B0"/>
    <w:rsid w:val="001545F7"/>
    <w:rsid w:val="00154602"/>
    <w:rsid w:val="00154612"/>
    <w:rsid w:val="00154649"/>
    <w:rsid w:val="0015475F"/>
    <w:rsid w:val="0015487D"/>
    <w:rsid w:val="0015490B"/>
    <w:rsid w:val="00154958"/>
    <w:rsid w:val="001549E6"/>
    <w:rsid w:val="00154B0E"/>
    <w:rsid w:val="00154BFB"/>
    <w:rsid w:val="00154CF1"/>
    <w:rsid w:val="00154D4B"/>
    <w:rsid w:val="00154DAB"/>
    <w:rsid w:val="00154DB5"/>
    <w:rsid w:val="00154E66"/>
    <w:rsid w:val="00154FF0"/>
    <w:rsid w:val="00155013"/>
    <w:rsid w:val="0015509B"/>
    <w:rsid w:val="0015509C"/>
    <w:rsid w:val="001551B7"/>
    <w:rsid w:val="00155236"/>
    <w:rsid w:val="00155256"/>
    <w:rsid w:val="00155278"/>
    <w:rsid w:val="001552BF"/>
    <w:rsid w:val="001553B7"/>
    <w:rsid w:val="0015555C"/>
    <w:rsid w:val="00155583"/>
    <w:rsid w:val="001555C9"/>
    <w:rsid w:val="00155658"/>
    <w:rsid w:val="001556BD"/>
    <w:rsid w:val="001556FF"/>
    <w:rsid w:val="001557AC"/>
    <w:rsid w:val="00155862"/>
    <w:rsid w:val="00155957"/>
    <w:rsid w:val="00155A1C"/>
    <w:rsid w:val="00155A61"/>
    <w:rsid w:val="00155ADC"/>
    <w:rsid w:val="00155C21"/>
    <w:rsid w:val="00155C7B"/>
    <w:rsid w:val="00155D1F"/>
    <w:rsid w:val="00155DEE"/>
    <w:rsid w:val="00155E81"/>
    <w:rsid w:val="0015601B"/>
    <w:rsid w:val="0015624B"/>
    <w:rsid w:val="00156275"/>
    <w:rsid w:val="0015630F"/>
    <w:rsid w:val="00156387"/>
    <w:rsid w:val="001563A7"/>
    <w:rsid w:val="001563EF"/>
    <w:rsid w:val="00156534"/>
    <w:rsid w:val="001565B2"/>
    <w:rsid w:val="00156617"/>
    <w:rsid w:val="00156808"/>
    <w:rsid w:val="00156912"/>
    <w:rsid w:val="00156974"/>
    <w:rsid w:val="00156A2A"/>
    <w:rsid w:val="00156A32"/>
    <w:rsid w:val="00156A3A"/>
    <w:rsid w:val="00156B9C"/>
    <w:rsid w:val="00156D39"/>
    <w:rsid w:val="00156D58"/>
    <w:rsid w:val="00156D75"/>
    <w:rsid w:val="00156D77"/>
    <w:rsid w:val="00156E49"/>
    <w:rsid w:val="0015714A"/>
    <w:rsid w:val="00157185"/>
    <w:rsid w:val="00157315"/>
    <w:rsid w:val="00157381"/>
    <w:rsid w:val="0015742D"/>
    <w:rsid w:val="001574EA"/>
    <w:rsid w:val="001576C5"/>
    <w:rsid w:val="001576E7"/>
    <w:rsid w:val="0015782E"/>
    <w:rsid w:val="00157915"/>
    <w:rsid w:val="00157926"/>
    <w:rsid w:val="0015796F"/>
    <w:rsid w:val="00157B49"/>
    <w:rsid w:val="00157C10"/>
    <w:rsid w:val="00157E39"/>
    <w:rsid w:val="0016017D"/>
    <w:rsid w:val="00160204"/>
    <w:rsid w:val="00160295"/>
    <w:rsid w:val="0016029E"/>
    <w:rsid w:val="001602E9"/>
    <w:rsid w:val="00160414"/>
    <w:rsid w:val="00160477"/>
    <w:rsid w:val="001604EE"/>
    <w:rsid w:val="00160621"/>
    <w:rsid w:val="001606BC"/>
    <w:rsid w:val="0016080A"/>
    <w:rsid w:val="00160ADD"/>
    <w:rsid w:val="00160B20"/>
    <w:rsid w:val="00160C36"/>
    <w:rsid w:val="00160D4C"/>
    <w:rsid w:val="00160E25"/>
    <w:rsid w:val="00160E79"/>
    <w:rsid w:val="00160E86"/>
    <w:rsid w:val="00161038"/>
    <w:rsid w:val="001610ED"/>
    <w:rsid w:val="001611AF"/>
    <w:rsid w:val="00161297"/>
    <w:rsid w:val="001612CB"/>
    <w:rsid w:val="0016150E"/>
    <w:rsid w:val="00161602"/>
    <w:rsid w:val="00161749"/>
    <w:rsid w:val="0016175B"/>
    <w:rsid w:val="001618D8"/>
    <w:rsid w:val="00161A5D"/>
    <w:rsid w:val="00161A69"/>
    <w:rsid w:val="00161B05"/>
    <w:rsid w:val="00161B6B"/>
    <w:rsid w:val="00161C01"/>
    <w:rsid w:val="00161C87"/>
    <w:rsid w:val="00161D6C"/>
    <w:rsid w:val="00161ED1"/>
    <w:rsid w:val="00161F85"/>
    <w:rsid w:val="00161FA1"/>
    <w:rsid w:val="00162207"/>
    <w:rsid w:val="0016225D"/>
    <w:rsid w:val="001622F5"/>
    <w:rsid w:val="001623B4"/>
    <w:rsid w:val="00162469"/>
    <w:rsid w:val="0016251C"/>
    <w:rsid w:val="00162570"/>
    <w:rsid w:val="001625D1"/>
    <w:rsid w:val="00162AE2"/>
    <w:rsid w:val="00162B88"/>
    <w:rsid w:val="00162B9E"/>
    <w:rsid w:val="00162BD9"/>
    <w:rsid w:val="00162C95"/>
    <w:rsid w:val="00162E7B"/>
    <w:rsid w:val="00162EFB"/>
    <w:rsid w:val="0016312D"/>
    <w:rsid w:val="00163176"/>
    <w:rsid w:val="001631E1"/>
    <w:rsid w:val="00163280"/>
    <w:rsid w:val="00163416"/>
    <w:rsid w:val="00163491"/>
    <w:rsid w:val="001635B1"/>
    <w:rsid w:val="0016363A"/>
    <w:rsid w:val="001636A5"/>
    <w:rsid w:val="001636FD"/>
    <w:rsid w:val="001637A2"/>
    <w:rsid w:val="0016392A"/>
    <w:rsid w:val="00163931"/>
    <w:rsid w:val="00163974"/>
    <w:rsid w:val="00163B87"/>
    <w:rsid w:val="00163C32"/>
    <w:rsid w:val="00163D10"/>
    <w:rsid w:val="00163E8F"/>
    <w:rsid w:val="00164198"/>
    <w:rsid w:val="001641A5"/>
    <w:rsid w:val="0016439D"/>
    <w:rsid w:val="00164514"/>
    <w:rsid w:val="0016453F"/>
    <w:rsid w:val="001645B7"/>
    <w:rsid w:val="0016462D"/>
    <w:rsid w:val="00164643"/>
    <w:rsid w:val="00164665"/>
    <w:rsid w:val="001647FF"/>
    <w:rsid w:val="00164830"/>
    <w:rsid w:val="00164A54"/>
    <w:rsid w:val="00164A76"/>
    <w:rsid w:val="00164A84"/>
    <w:rsid w:val="00164A98"/>
    <w:rsid w:val="00164AEA"/>
    <w:rsid w:val="00164C8B"/>
    <w:rsid w:val="00164CF3"/>
    <w:rsid w:val="00164DA5"/>
    <w:rsid w:val="00164DE9"/>
    <w:rsid w:val="00164DEC"/>
    <w:rsid w:val="00164DFF"/>
    <w:rsid w:val="00164E82"/>
    <w:rsid w:val="00164F54"/>
    <w:rsid w:val="00165030"/>
    <w:rsid w:val="001650D9"/>
    <w:rsid w:val="001650F1"/>
    <w:rsid w:val="001651A5"/>
    <w:rsid w:val="001651CF"/>
    <w:rsid w:val="00165210"/>
    <w:rsid w:val="00165253"/>
    <w:rsid w:val="0016525A"/>
    <w:rsid w:val="0016525F"/>
    <w:rsid w:val="0016535E"/>
    <w:rsid w:val="00165382"/>
    <w:rsid w:val="001653CC"/>
    <w:rsid w:val="00165584"/>
    <w:rsid w:val="001655F5"/>
    <w:rsid w:val="00165617"/>
    <w:rsid w:val="0016561E"/>
    <w:rsid w:val="00165632"/>
    <w:rsid w:val="001656B9"/>
    <w:rsid w:val="001656E1"/>
    <w:rsid w:val="00165729"/>
    <w:rsid w:val="001657A1"/>
    <w:rsid w:val="001658D2"/>
    <w:rsid w:val="00165995"/>
    <w:rsid w:val="001659C5"/>
    <w:rsid w:val="00165A02"/>
    <w:rsid w:val="00165D97"/>
    <w:rsid w:val="00165FFD"/>
    <w:rsid w:val="00166061"/>
    <w:rsid w:val="001660AB"/>
    <w:rsid w:val="00166130"/>
    <w:rsid w:val="00166360"/>
    <w:rsid w:val="001663FC"/>
    <w:rsid w:val="0016646A"/>
    <w:rsid w:val="001664AF"/>
    <w:rsid w:val="001664B1"/>
    <w:rsid w:val="00166541"/>
    <w:rsid w:val="001666B4"/>
    <w:rsid w:val="0016681D"/>
    <w:rsid w:val="00166998"/>
    <w:rsid w:val="001669A5"/>
    <w:rsid w:val="00166A63"/>
    <w:rsid w:val="00166A6B"/>
    <w:rsid w:val="00166ACD"/>
    <w:rsid w:val="00166BB1"/>
    <w:rsid w:val="00166BC3"/>
    <w:rsid w:val="00166CCD"/>
    <w:rsid w:val="00166FD0"/>
    <w:rsid w:val="001671AA"/>
    <w:rsid w:val="001673AB"/>
    <w:rsid w:val="00167432"/>
    <w:rsid w:val="0016746B"/>
    <w:rsid w:val="001674EF"/>
    <w:rsid w:val="00167546"/>
    <w:rsid w:val="0016765C"/>
    <w:rsid w:val="00167667"/>
    <w:rsid w:val="0016769E"/>
    <w:rsid w:val="001677D3"/>
    <w:rsid w:val="00167909"/>
    <w:rsid w:val="00167A73"/>
    <w:rsid w:val="00167A87"/>
    <w:rsid w:val="00167C5F"/>
    <w:rsid w:val="00167C69"/>
    <w:rsid w:val="00167D4D"/>
    <w:rsid w:val="00167E5B"/>
    <w:rsid w:val="00167EAE"/>
    <w:rsid w:val="00167FA2"/>
    <w:rsid w:val="001700A1"/>
    <w:rsid w:val="00170139"/>
    <w:rsid w:val="00170190"/>
    <w:rsid w:val="00170282"/>
    <w:rsid w:val="00170336"/>
    <w:rsid w:val="001703AB"/>
    <w:rsid w:val="001703AE"/>
    <w:rsid w:val="001704F4"/>
    <w:rsid w:val="001705C3"/>
    <w:rsid w:val="00170668"/>
    <w:rsid w:val="00170717"/>
    <w:rsid w:val="0017079B"/>
    <w:rsid w:val="00170843"/>
    <w:rsid w:val="00170911"/>
    <w:rsid w:val="001709E9"/>
    <w:rsid w:val="00170A2C"/>
    <w:rsid w:val="00170A34"/>
    <w:rsid w:val="00170B26"/>
    <w:rsid w:val="00170B4D"/>
    <w:rsid w:val="00170BB5"/>
    <w:rsid w:val="00170D1F"/>
    <w:rsid w:val="00170F0E"/>
    <w:rsid w:val="00170F2B"/>
    <w:rsid w:val="00170FF3"/>
    <w:rsid w:val="00170FF4"/>
    <w:rsid w:val="0017111A"/>
    <w:rsid w:val="00171166"/>
    <w:rsid w:val="001711AD"/>
    <w:rsid w:val="0017125D"/>
    <w:rsid w:val="00171345"/>
    <w:rsid w:val="001713D4"/>
    <w:rsid w:val="00171491"/>
    <w:rsid w:val="001714E7"/>
    <w:rsid w:val="001719C0"/>
    <w:rsid w:val="00171B90"/>
    <w:rsid w:val="00171BA3"/>
    <w:rsid w:val="00171C0A"/>
    <w:rsid w:val="00171DC7"/>
    <w:rsid w:val="00171DCE"/>
    <w:rsid w:val="00171DEE"/>
    <w:rsid w:val="00171DFD"/>
    <w:rsid w:val="00171EFE"/>
    <w:rsid w:val="00171F7D"/>
    <w:rsid w:val="00172008"/>
    <w:rsid w:val="00172023"/>
    <w:rsid w:val="001720F2"/>
    <w:rsid w:val="001722A0"/>
    <w:rsid w:val="0017243C"/>
    <w:rsid w:val="001726F5"/>
    <w:rsid w:val="001727F0"/>
    <w:rsid w:val="00172959"/>
    <w:rsid w:val="00172A46"/>
    <w:rsid w:val="00172B78"/>
    <w:rsid w:val="00172BC4"/>
    <w:rsid w:val="00172D2F"/>
    <w:rsid w:val="00172E60"/>
    <w:rsid w:val="00173029"/>
    <w:rsid w:val="0017305D"/>
    <w:rsid w:val="001730B4"/>
    <w:rsid w:val="0017311E"/>
    <w:rsid w:val="0017315D"/>
    <w:rsid w:val="0017321F"/>
    <w:rsid w:val="00173271"/>
    <w:rsid w:val="00173369"/>
    <w:rsid w:val="001733CA"/>
    <w:rsid w:val="001733D3"/>
    <w:rsid w:val="001733FF"/>
    <w:rsid w:val="00173520"/>
    <w:rsid w:val="0017358A"/>
    <w:rsid w:val="0017360D"/>
    <w:rsid w:val="00173660"/>
    <w:rsid w:val="00173693"/>
    <w:rsid w:val="0017375B"/>
    <w:rsid w:val="00173782"/>
    <w:rsid w:val="0017385F"/>
    <w:rsid w:val="001738B9"/>
    <w:rsid w:val="00173903"/>
    <w:rsid w:val="00173A75"/>
    <w:rsid w:val="00173BD6"/>
    <w:rsid w:val="00173C76"/>
    <w:rsid w:val="00173D13"/>
    <w:rsid w:val="00173D80"/>
    <w:rsid w:val="00173E2E"/>
    <w:rsid w:val="00173ED9"/>
    <w:rsid w:val="0017402E"/>
    <w:rsid w:val="001740AA"/>
    <w:rsid w:val="001740C6"/>
    <w:rsid w:val="001740C7"/>
    <w:rsid w:val="00174100"/>
    <w:rsid w:val="001742D8"/>
    <w:rsid w:val="00174363"/>
    <w:rsid w:val="0017447C"/>
    <w:rsid w:val="001745C8"/>
    <w:rsid w:val="001746C2"/>
    <w:rsid w:val="0017484F"/>
    <w:rsid w:val="00174A0A"/>
    <w:rsid w:val="00174A51"/>
    <w:rsid w:val="00174A94"/>
    <w:rsid w:val="00174CC8"/>
    <w:rsid w:val="00174D4D"/>
    <w:rsid w:val="00174DA5"/>
    <w:rsid w:val="00174DDB"/>
    <w:rsid w:val="00174E06"/>
    <w:rsid w:val="0017510F"/>
    <w:rsid w:val="0017515E"/>
    <w:rsid w:val="00175315"/>
    <w:rsid w:val="00175426"/>
    <w:rsid w:val="00175479"/>
    <w:rsid w:val="0017561D"/>
    <w:rsid w:val="00175670"/>
    <w:rsid w:val="00175694"/>
    <w:rsid w:val="00175778"/>
    <w:rsid w:val="001757B5"/>
    <w:rsid w:val="001757BC"/>
    <w:rsid w:val="001757E6"/>
    <w:rsid w:val="00175981"/>
    <w:rsid w:val="001759AE"/>
    <w:rsid w:val="001759B7"/>
    <w:rsid w:val="00175A21"/>
    <w:rsid w:val="00175A7E"/>
    <w:rsid w:val="00175A90"/>
    <w:rsid w:val="00175A9D"/>
    <w:rsid w:val="00175B27"/>
    <w:rsid w:val="00175B40"/>
    <w:rsid w:val="00175CEA"/>
    <w:rsid w:val="001760C9"/>
    <w:rsid w:val="0017612D"/>
    <w:rsid w:val="001761CB"/>
    <w:rsid w:val="0017620F"/>
    <w:rsid w:val="00176271"/>
    <w:rsid w:val="00176273"/>
    <w:rsid w:val="00176281"/>
    <w:rsid w:val="001762D9"/>
    <w:rsid w:val="001762E4"/>
    <w:rsid w:val="0017637A"/>
    <w:rsid w:val="001763B0"/>
    <w:rsid w:val="0017640D"/>
    <w:rsid w:val="0017649D"/>
    <w:rsid w:val="00176669"/>
    <w:rsid w:val="001766E2"/>
    <w:rsid w:val="00176821"/>
    <w:rsid w:val="00176977"/>
    <w:rsid w:val="0017697F"/>
    <w:rsid w:val="001769C4"/>
    <w:rsid w:val="00176A00"/>
    <w:rsid w:val="00176A64"/>
    <w:rsid w:val="00176AE1"/>
    <w:rsid w:val="00176AF4"/>
    <w:rsid w:val="00176B49"/>
    <w:rsid w:val="00176C8F"/>
    <w:rsid w:val="00176CAA"/>
    <w:rsid w:val="00176DA2"/>
    <w:rsid w:val="00176E03"/>
    <w:rsid w:val="00176EB1"/>
    <w:rsid w:val="00176F7F"/>
    <w:rsid w:val="00176FB3"/>
    <w:rsid w:val="0017706B"/>
    <w:rsid w:val="0017706D"/>
    <w:rsid w:val="0017709F"/>
    <w:rsid w:val="001770AE"/>
    <w:rsid w:val="001771F8"/>
    <w:rsid w:val="00177202"/>
    <w:rsid w:val="00177270"/>
    <w:rsid w:val="0017745D"/>
    <w:rsid w:val="001774CB"/>
    <w:rsid w:val="001774CC"/>
    <w:rsid w:val="001774E6"/>
    <w:rsid w:val="001777C4"/>
    <w:rsid w:val="00177945"/>
    <w:rsid w:val="001779C9"/>
    <w:rsid w:val="00177AE4"/>
    <w:rsid w:val="00177B68"/>
    <w:rsid w:val="00177B82"/>
    <w:rsid w:val="00177C56"/>
    <w:rsid w:val="00177E00"/>
    <w:rsid w:val="00177E55"/>
    <w:rsid w:val="00177E8D"/>
    <w:rsid w:val="00177F1E"/>
    <w:rsid w:val="00177F21"/>
    <w:rsid w:val="00180031"/>
    <w:rsid w:val="00180081"/>
    <w:rsid w:val="00180085"/>
    <w:rsid w:val="00180160"/>
    <w:rsid w:val="001801C6"/>
    <w:rsid w:val="00180244"/>
    <w:rsid w:val="001802F9"/>
    <w:rsid w:val="0018032B"/>
    <w:rsid w:val="0018036E"/>
    <w:rsid w:val="001803A4"/>
    <w:rsid w:val="001804C1"/>
    <w:rsid w:val="001804D1"/>
    <w:rsid w:val="001804EB"/>
    <w:rsid w:val="0018050B"/>
    <w:rsid w:val="00180774"/>
    <w:rsid w:val="00180785"/>
    <w:rsid w:val="00180857"/>
    <w:rsid w:val="00180918"/>
    <w:rsid w:val="00180B28"/>
    <w:rsid w:val="00180C23"/>
    <w:rsid w:val="00180CB6"/>
    <w:rsid w:val="00180CE0"/>
    <w:rsid w:val="00180E50"/>
    <w:rsid w:val="00180E7F"/>
    <w:rsid w:val="00180F0C"/>
    <w:rsid w:val="00181066"/>
    <w:rsid w:val="001810B1"/>
    <w:rsid w:val="00181107"/>
    <w:rsid w:val="0018113C"/>
    <w:rsid w:val="001811FE"/>
    <w:rsid w:val="0018123A"/>
    <w:rsid w:val="0018123F"/>
    <w:rsid w:val="0018127F"/>
    <w:rsid w:val="001812A6"/>
    <w:rsid w:val="0018140E"/>
    <w:rsid w:val="001814D5"/>
    <w:rsid w:val="0018157A"/>
    <w:rsid w:val="00181609"/>
    <w:rsid w:val="001816A9"/>
    <w:rsid w:val="001816C9"/>
    <w:rsid w:val="001816CD"/>
    <w:rsid w:val="0018172C"/>
    <w:rsid w:val="00181753"/>
    <w:rsid w:val="00181789"/>
    <w:rsid w:val="00181793"/>
    <w:rsid w:val="00181837"/>
    <w:rsid w:val="0018187B"/>
    <w:rsid w:val="001818BD"/>
    <w:rsid w:val="0018196D"/>
    <w:rsid w:val="00181B5B"/>
    <w:rsid w:val="00181B5D"/>
    <w:rsid w:val="00181B80"/>
    <w:rsid w:val="00181BA4"/>
    <w:rsid w:val="00181C2C"/>
    <w:rsid w:val="00181D75"/>
    <w:rsid w:val="00181E23"/>
    <w:rsid w:val="00181EB7"/>
    <w:rsid w:val="00181F1A"/>
    <w:rsid w:val="00181F38"/>
    <w:rsid w:val="00181FB7"/>
    <w:rsid w:val="00181FD8"/>
    <w:rsid w:val="0018206C"/>
    <w:rsid w:val="00182163"/>
    <w:rsid w:val="00182308"/>
    <w:rsid w:val="00182336"/>
    <w:rsid w:val="0018236E"/>
    <w:rsid w:val="0018238D"/>
    <w:rsid w:val="001824D7"/>
    <w:rsid w:val="001826D8"/>
    <w:rsid w:val="001826DA"/>
    <w:rsid w:val="00182783"/>
    <w:rsid w:val="001827CD"/>
    <w:rsid w:val="001828EE"/>
    <w:rsid w:val="00182909"/>
    <w:rsid w:val="00182967"/>
    <w:rsid w:val="0018297A"/>
    <w:rsid w:val="001829CF"/>
    <w:rsid w:val="00182A68"/>
    <w:rsid w:val="00182B17"/>
    <w:rsid w:val="00182BC3"/>
    <w:rsid w:val="00182BD2"/>
    <w:rsid w:val="00182CEB"/>
    <w:rsid w:val="00182E74"/>
    <w:rsid w:val="00182EB8"/>
    <w:rsid w:val="00182F87"/>
    <w:rsid w:val="00183084"/>
    <w:rsid w:val="0018308E"/>
    <w:rsid w:val="001830EA"/>
    <w:rsid w:val="0018310C"/>
    <w:rsid w:val="00183174"/>
    <w:rsid w:val="001832BE"/>
    <w:rsid w:val="001832D5"/>
    <w:rsid w:val="00183390"/>
    <w:rsid w:val="0018345C"/>
    <w:rsid w:val="001834C4"/>
    <w:rsid w:val="001835AA"/>
    <w:rsid w:val="001836D1"/>
    <w:rsid w:val="00183804"/>
    <w:rsid w:val="00183951"/>
    <w:rsid w:val="0018398F"/>
    <w:rsid w:val="00183A4C"/>
    <w:rsid w:val="00183B85"/>
    <w:rsid w:val="00183BC7"/>
    <w:rsid w:val="00183BC8"/>
    <w:rsid w:val="00183BCF"/>
    <w:rsid w:val="00183D14"/>
    <w:rsid w:val="00183D61"/>
    <w:rsid w:val="00183EF8"/>
    <w:rsid w:val="00183FA4"/>
    <w:rsid w:val="00184023"/>
    <w:rsid w:val="00184078"/>
    <w:rsid w:val="001840EE"/>
    <w:rsid w:val="0018414B"/>
    <w:rsid w:val="00184169"/>
    <w:rsid w:val="00184175"/>
    <w:rsid w:val="001841BF"/>
    <w:rsid w:val="001841C1"/>
    <w:rsid w:val="0018428B"/>
    <w:rsid w:val="001843B7"/>
    <w:rsid w:val="00184462"/>
    <w:rsid w:val="00184504"/>
    <w:rsid w:val="0018451B"/>
    <w:rsid w:val="00184573"/>
    <w:rsid w:val="00184632"/>
    <w:rsid w:val="00184731"/>
    <w:rsid w:val="00184823"/>
    <w:rsid w:val="0018483C"/>
    <w:rsid w:val="001849CB"/>
    <w:rsid w:val="00184A76"/>
    <w:rsid w:val="00184B81"/>
    <w:rsid w:val="00184BA9"/>
    <w:rsid w:val="00184C30"/>
    <w:rsid w:val="00184C8F"/>
    <w:rsid w:val="00184D8E"/>
    <w:rsid w:val="00184E7F"/>
    <w:rsid w:val="001852CB"/>
    <w:rsid w:val="001852ED"/>
    <w:rsid w:val="00185300"/>
    <w:rsid w:val="00185436"/>
    <w:rsid w:val="00185565"/>
    <w:rsid w:val="0018560A"/>
    <w:rsid w:val="00185636"/>
    <w:rsid w:val="0018563B"/>
    <w:rsid w:val="0018564E"/>
    <w:rsid w:val="0018568D"/>
    <w:rsid w:val="001856DF"/>
    <w:rsid w:val="001857B1"/>
    <w:rsid w:val="001857CC"/>
    <w:rsid w:val="001857FE"/>
    <w:rsid w:val="001858EC"/>
    <w:rsid w:val="001859C9"/>
    <w:rsid w:val="00185ACE"/>
    <w:rsid w:val="00185C00"/>
    <w:rsid w:val="00185F41"/>
    <w:rsid w:val="00185F98"/>
    <w:rsid w:val="00186008"/>
    <w:rsid w:val="00186188"/>
    <w:rsid w:val="00186342"/>
    <w:rsid w:val="0018634D"/>
    <w:rsid w:val="00186446"/>
    <w:rsid w:val="00186450"/>
    <w:rsid w:val="0018663F"/>
    <w:rsid w:val="00186954"/>
    <w:rsid w:val="001869A3"/>
    <w:rsid w:val="00186A0E"/>
    <w:rsid w:val="00186A2B"/>
    <w:rsid w:val="00186B6A"/>
    <w:rsid w:val="00186C6D"/>
    <w:rsid w:val="00186CA3"/>
    <w:rsid w:val="00186CD3"/>
    <w:rsid w:val="00186CE9"/>
    <w:rsid w:val="00186D19"/>
    <w:rsid w:val="00186DBF"/>
    <w:rsid w:val="00186DFF"/>
    <w:rsid w:val="00186EA0"/>
    <w:rsid w:val="00186ECF"/>
    <w:rsid w:val="00186F24"/>
    <w:rsid w:val="00186FDA"/>
    <w:rsid w:val="00186FFE"/>
    <w:rsid w:val="0018703B"/>
    <w:rsid w:val="001870B1"/>
    <w:rsid w:val="00187202"/>
    <w:rsid w:val="001873C7"/>
    <w:rsid w:val="0018740A"/>
    <w:rsid w:val="00187499"/>
    <w:rsid w:val="001875F2"/>
    <w:rsid w:val="00187878"/>
    <w:rsid w:val="0018799F"/>
    <w:rsid w:val="00187A3A"/>
    <w:rsid w:val="00187AB0"/>
    <w:rsid w:val="00187B7A"/>
    <w:rsid w:val="00187BC4"/>
    <w:rsid w:val="00187BE0"/>
    <w:rsid w:val="00187C88"/>
    <w:rsid w:val="00187D4A"/>
    <w:rsid w:val="00187DA8"/>
    <w:rsid w:val="00187E00"/>
    <w:rsid w:val="00187E6E"/>
    <w:rsid w:val="00187EAC"/>
    <w:rsid w:val="0019001C"/>
    <w:rsid w:val="001900A9"/>
    <w:rsid w:val="00190254"/>
    <w:rsid w:val="00190412"/>
    <w:rsid w:val="00190496"/>
    <w:rsid w:val="00190514"/>
    <w:rsid w:val="00190573"/>
    <w:rsid w:val="00190877"/>
    <w:rsid w:val="001908C7"/>
    <w:rsid w:val="00190925"/>
    <w:rsid w:val="001909A5"/>
    <w:rsid w:val="00190B07"/>
    <w:rsid w:val="00190BD0"/>
    <w:rsid w:val="00190BDB"/>
    <w:rsid w:val="00190CB9"/>
    <w:rsid w:val="00190DE6"/>
    <w:rsid w:val="00190ED4"/>
    <w:rsid w:val="00190EE9"/>
    <w:rsid w:val="00190EF7"/>
    <w:rsid w:val="00190F2B"/>
    <w:rsid w:val="00190FC4"/>
    <w:rsid w:val="0019103B"/>
    <w:rsid w:val="00191140"/>
    <w:rsid w:val="001911B7"/>
    <w:rsid w:val="00191284"/>
    <w:rsid w:val="00191346"/>
    <w:rsid w:val="00191382"/>
    <w:rsid w:val="00191426"/>
    <w:rsid w:val="001914BF"/>
    <w:rsid w:val="001915E3"/>
    <w:rsid w:val="001915FC"/>
    <w:rsid w:val="0019160B"/>
    <w:rsid w:val="0019161A"/>
    <w:rsid w:val="00191659"/>
    <w:rsid w:val="001916A9"/>
    <w:rsid w:val="00191754"/>
    <w:rsid w:val="00191834"/>
    <w:rsid w:val="001919F9"/>
    <w:rsid w:val="00191BE1"/>
    <w:rsid w:val="00191C09"/>
    <w:rsid w:val="00191CBE"/>
    <w:rsid w:val="00191DAA"/>
    <w:rsid w:val="00191E08"/>
    <w:rsid w:val="00191E61"/>
    <w:rsid w:val="00191F59"/>
    <w:rsid w:val="00192144"/>
    <w:rsid w:val="00192165"/>
    <w:rsid w:val="00192258"/>
    <w:rsid w:val="001923C3"/>
    <w:rsid w:val="001923CD"/>
    <w:rsid w:val="00192404"/>
    <w:rsid w:val="00192465"/>
    <w:rsid w:val="001924A5"/>
    <w:rsid w:val="001925C6"/>
    <w:rsid w:val="00192689"/>
    <w:rsid w:val="001926F8"/>
    <w:rsid w:val="00192BCC"/>
    <w:rsid w:val="00192C9E"/>
    <w:rsid w:val="00192DCE"/>
    <w:rsid w:val="00192DD8"/>
    <w:rsid w:val="00192E50"/>
    <w:rsid w:val="00192F58"/>
    <w:rsid w:val="0019304A"/>
    <w:rsid w:val="00193073"/>
    <w:rsid w:val="001930B4"/>
    <w:rsid w:val="001930E5"/>
    <w:rsid w:val="00193119"/>
    <w:rsid w:val="001931F5"/>
    <w:rsid w:val="00193257"/>
    <w:rsid w:val="0019331A"/>
    <w:rsid w:val="0019339E"/>
    <w:rsid w:val="001934C3"/>
    <w:rsid w:val="00193521"/>
    <w:rsid w:val="00193565"/>
    <w:rsid w:val="0019371A"/>
    <w:rsid w:val="001937D9"/>
    <w:rsid w:val="00193827"/>
    <w:rsid w:val="001938E4"/>
    <w:rsid w:val="0019399A"/>
    <w:rsid w:val="001939EC"/>
    <w:rsid w:val="001939EE"/>
    <w:rsid w:val="00193A08"/>
    <w:rsid w:val="00193AD5"/>
    <w:rsid w:val="00193AD9"/>
    <w:rsid w:val="00193AF6"/>
    <w:rsid w:val="00193B09"/>
    <w:rsid w:val="00193B13"/>
    <w:rsid w:val="00193C30"/>
    <w:rsid w:val="00193D37"/>
    <w:rsid w:val="00193E47"/>
    <w:rsid w:val="00193EBB"/>
    <w:rsid w:val="00193F48"/>
    <w:rsid w:val="00193F70"/>
    <w:rsid w:val="00194019"/>
    <w:rsid w:val="00194129"/>
    <w:rsid w:val="0019417D"/>
    <w:rsid w:val="00194253"/>
    <w:rsid w:val="0019425C"/>
    <w:rsid w:val="001942E5"/>
    <w:rsid w:val="0019431A"/>
    <w:rsid w:val="001943FE"/>
    <w:rsid w:val="0019463F"/>
    <w:rsid w:val="00194663"/>
    <w:rsid w:val="001946FB"/>
    <w:rsid w:val="00194769"/>
    <w:rsid w:val="00194799"/>
    <w:rsid w:val="0019479E"/>
    <w:rsid w:val="0019487A"/>
    <w:rsid w:val="001948A2"/>
    <w:rsid w:val="001949EC"/>
    <w:rsid w:val="001949F1"/>
    <w:rsid w:val="00194A4A"/>
    <w:rsid w:val="00194B37"/>
    <w:rsid w:val="00194B7C"/>
    <w:rsid w:val="00194C4E"/>
    <w:rsid w:val="00194D29"/>
    <w:rsid w:val="00194D83"/>
    <w:rsid w:val="00194F07"/>
    <w:rsid w:val="00194F16"/>
    <w:rsid w:val="00194FE8"/>
    <w:rsid w:val="001950BE"/>
    <w:rsid w:val="001950E0"/>
    <w:rsid w:val="001951BB"/>
    <w:rsid w:val="00195202"/>
    <w:rsid w:val="001953A4"/>
    <w:rsid w:val="001956FB"/>
    <w:rsid w:val="0019572D"/>
    <w:rsid w:val="00195776"/>
    <w:rsid w:val="0019577A"/>
    <w:rsid w:val="00195984"/>
    <w:rsid w:val="00195C34"/>
    <w:rsid w:val="00195C59"/>
    <w:rsid w:val="00195D01"/>
    <w:rsid w:val="00195D06"/>
    <w:rsid w:val="00195D62"/>
    <w:rsid w:val="00195DE4"/>
    <w:rsid w:val="00195EFC"/>
    <w:rsid w:val="00196032"/>
    <w:rsid w:val="00196298"/>
    <w:rsid w:val="001962CF"/>
    <w:rsid w:val="001964D9"/>
    <w:rsid w:val="0019656C"/>
    <w:rsid w:val="0019662B"/>
    <w:rsid w:val="00196681"/>
    <w:rsid w:val="001967A4"/>
    <w:rsid w:val="00196815"/>
    <w:rsid w:val="001969FA"/>
    <w:rsid w:val="00196A80"/>
    <w:rsid w:val="00196A8D"/>
    <w:rsid w:val="00196B3F"/>
    <w:rsid w:val="00196C0E"/>
    <w:rsid w:val="00196CD7"/>
    <w:rsid w:val="00196D1C"/>
    <w:rsid w:val="00196D93"/>
    <w:rsid w:val="00196EF8"/>
    <w:rsid w:val="00196FCD"/>
    <w:rsid w:val="001970EF"/>
    <w:rsid w:val="00197192"/>
    <w:rsid w:val="00197259"/>
    <w:rsid w:val="001973D8"/>
    <w:rsid w:val="0019758C"/>
    <w:rsid w:val="00197626"/>
    <w:rsid w:val="001977E2"/>
    <w:rsid w:val="001979E5"/>
    <w:rsid w:val="00197A4F"/>
    <w:rsid w:val="00197ACF"/>
    <w:rsid w:val="00197BD1"/>
    <w:rsid w:val="00197CA2"/>
    <w:rsid w:val="00197D5A"/>
    <w:rsid w:val="00197E55"/>
    <w:rsid w:val="00197E76"/>
    <w:rsid w:val="00197ED9"/>
    <w:rsid w:val="00197F0C"/>
    <w:rsid w:val="001A00C0"/>
    <w:rsid w:val="001A01FC"/>
    <w:rsid w:val="001A0274"/>
    <w:rsid w:val="001A029B"/>
    <w:rsid w:val="001A02D0"/>
    <w:rsid w:val="001A0357"/>
    <w:rsid w:val="001A040F"/>
    <w:rsid w:val="001A0480"/>
    <w:rsid w:val="001A04E1"/>
    <w:rsid w:val="001A0582"/>
    <w:rsid w:val="001A0591"/>
    <w:rsid w:val="001A05DA"/>
    <w:rsid w:val="001A0615"/>
    <w:rsid w:val="001A0655"/>
    <w:rsid w:val="001A083C"/>
    <w:rsid w:val="001A08FB"/>
    <w:rsid w:val="001A0905"/>
    <w:rsid w:val="001A097D"/>
    <w:rsid w:val="001A0A0B"/>
    <w:rsid w:val="001A0A28"/>
    <w:rsid w:val="001A0AA9"/>
    <w:rsid w:val="001A0B0A"/>
    <w:rsid w:val="001A0C16"/>
    <w:rsid w:val="001A0C3B"/>
    <w:rsid w:val="001A0DBB"/>
    <w:rsid w:val="001A0FB4"/>
    <w:rsid w:val="001A0FEA"/>
    <w:rsid w:val="001A1097"/>
    <w:rsid w:val="001A110E"/>
    <w:rsid w:val="001A1124"/>
    <w:rsid w:val="001A1160"/>
    <w:rsid w:val="001A119C"/>
    <w:rsid w:val="001A12E6"/>
    <w:rsid w:val="001A1340"/>
    <w:rsid w:val="001A13CE"/>
    <w:rsid w:val="001A1488"/>
    <w:rsid w:val="001A15C6"/>
    <w:rsid w:val="001A15C9"/>
    <w:rsid w:val="001A1637"/>
    <w:rsid w:val="001A16D0"/>
    <w:rsid w:val="001A17F1"/>
    <w:rsid w:val="001A17F9"/>
    <w:rsid w:val="001A1934"/>
    <w:rsid w:val="001A1AE6"/>
    <w:rsid w:val="001A1BDD"/>
    <w:rsid w:val="001A1C4A"/>
    <w:rsid w:val="001A1D40"/>
    <w:rsid w:val="001A1E81"/>
    <w:rsid w:val="001A1E8A"/>
    <w:rsid w:val="001A1EE9"/>
    <w:rsid w:val="001A1F0E"/>
    <w:rsid w:val="001A206A"/>
    <w:rsid w:val="001A20D5"/>
    <w:rsid w:val="001A20E3"/>
    <w:rsid w:val="001A20EE"/>
    <w:rsid w:val="001A210F"/>
    <w:rsid w:val="001A213E"/>
    <w:rsid w:val="001A21DB"/>
    <w:rsid w:val="001A224B"/>
    <w:rsid w:val="001A224E"/>
    <w:rsid w:val="001A234D"/>
    <w:rsid w:val="001A2367"/>
    <w:rsid w:val="001A242D"/>
    <w:rsid w:val="001A2507"/>
    <w:rsid w:val="001A2583"/>
    <w:rsid w:val="001A25CE"/>
    <w:rsid w:val="001A2655"/>
    <w:rsid w:val="001A268F"/>
    <w:rsid w:val="001A26D7"/>
    <w:rsid w:val="001A26FD"/>
    <w:rsid w:val="001A2878"/>
    <w:rsid w:val="001A28C6"/>
    <w:rsid w:val="001A2AD2"/>
    <w:rsid w:val="001A2BA4"/>
    <w:rsid w:val="001A2C27"/>
    <w:rsid w:val="001A2D17"/>
    <w:rsid w:val="001A2D56"/>
    <w:rsid w:val="001A2D64"/>
    <w:rsid w:val="001A2EC3"/>
    <w:rsid w:val="001A2F40"/>
    <w:rsid w:val="001A2FE1"/>
    <w:rsid w:val="001A2FED"/>
    <w:rsid w:val="001A305D"/>
    <w:rsid w:val="001A327A"/>
    <w:rsid w:val="001A32AB"/>
    <w:rsid w:val="001A32E2"/>
    <w:rsid w:val="001A3306"/>
    <w:rsid w:val="001A33C9"/>
    <w:rsid w:val="001A3427"/>
    <w:rsid w:val="001A3551"/>
    <w:rsid w:val="001A357D"/>
    <w:rsid w:val="001A3659"/>
    <w:rsid w:val="001A387B"/>
    <w:rsid w:val="001A38D5"/>
    <w:rsid w:val="001A3A54"/>
    <w:rsid w:val="001A3B42"/>
    <w:rsid w:val="001A3BCB"/>
    <w:rsid w:val="001A3C40"/>
    <w:rsid w:val="001A3D0D"/>
    <w:rsid w:val="001A3D36"/>
    <w:rsid w:val="001A3DBB"/>
    <w:rsid w:val="001A3F29"/>
    <w:rsid w:val="001A401B"/>
    <w:rsid w:val="001A40A7"/>
    <w:rsid w:val="001A4114"/>
    <w:rsid w:val="001A4141"/>
    <w:rsid w:val="001A443D"/>
    <w:rsid w:val="001A449B"/>
    <w:rsid w:val="001A44C6"/>
    <w:rsid w:val="001A44D0"/>
    <w:rsid w:val="001A455E"/>
    <w:rsid w:val="001A4560"/>
    <w:rsid w:val="001A45BC"/>
    <w:rsid w:val="001A45DB"/>
    <w:rsid w:val="001A45FC"/>
    <w:rsid w:val="001A4619"/>
    <w:rsid w:val="001A469A"/>
    <w:rsid w:val="001A47C2"/>
    <w:rsid w:val="001A48E9"/>
    <w:rsid w:val="001A4A97"/>
    <w:rsid w:val="001A4AB7"/>
    <w:rsid w:val="001A4B48"/>
    <w:rsid w:val="001A4BF8"/>
    <w:rsid w:val="001A4DC9"/>
    <w:rsid w:val="001A4F7E"/>
    <w:rsid w:val="001A50AF"/>
    <w:rsid w:val="001A516D"/>
    <w:rsid w:val="001A51BB"/>
    <w:rsid w:val="001A527D"/>
    <w:rsid w:val="001A5315"/>
    <w:rsid w:val="001A539B"/>
    <w:rsid w:val="001A53BA"/>
    <w:rsid w:val="001A572D"/>
    <w:rsid w:val="001A580A"/>
    <w:rsid w:val="001A586E"/>
    <w:rsid w:val="001A5981"/>
    <w:rsid w:val="001A5A24"/>
    <w:rsid w:val="001A5AEB"/>
    <w:rsid w:val="001A5C89"/>
    <w:rsid w:val="001A5DCA"/>
    <w:rsid w:val="001A5DEA"/>
    <w:rsid w:val="001A5E71"/>
    <w:rsid w:val="001A5EB8"/>
    <w:rsid w:val="001A5EBE"/>
    <w:rsid w:val="001A5FE9"/>
    <w:rsid w:val="001A600D"/>
    <w:rsid w:val="001A6050"/>
    <w:rsid w:val="001A60DA"/>
    <w:rsid w:val="001A61D8"/>
    <w:rsid w:val="001A6249"/>
    <w:rsid w:val="001A6259"/>
    <w:rsid w:val="001A6279"/>
    <w:rsid w:val="001A62B5"/>
    <w:rsid w:val="001A6374"/>
    <w:rsid w:val="001A649A"/>
    <w:rsid w:val="001A64F9"/>
    <w:rsid w:val="001A66AB"/>
    <w:rsid w:val="001A683A"/>
    <w:rsid w:val="001A686B"/>
    <w:rsid w:val="001A6887"/>
    <w:rsid w:val="001A6915"/>
    <w:rsid w:val="001A6A8B"/>
    <w:rsid w:val="001A6C8E"/>
    <w:rsid w:val="001A6DD3"/>
    <w:rsid w:val="001A6E1C"/>
    <w:rsid w:val="001A6F03"/>
    <w:rsid w:val="001A6F9C"/>
    <w:rsid w:val="001A6FEB"/>
    <w:rsid w:val="001A713B"/>
    <w:rsid w:val="001A723C"/>
    <w:rsid w:val="001A7291"/>
    <w:rsid w:val="001A730D"/>
    <w:rsid w:val="001A776D"/>
    <w:rsid w:val="001A78A3"/>
    <w:rsid w:val="001A7997"/>
    <w:rsid w:val="001A79B7"/>
    <w:rsid w:val="001A7A0F"/>
    <w:rsid w:val="001A7A3F"/>
    <w:rsid w:val="001A7B1E"/>
    <w:rsid w:val="001A7B43"/>
    <w:rsid w:val="001A7D98"/>
    <w:rsid w:val="001A7DBA"/>
    <w:rsid w:val="001A7F05"/>
    <w:rsid w:val="001A7FEA"/>
    <w:rsid w:val="001B02D3"/>
    <w:rsid w:val="001B0452"/>
    <w:rsid w:val="001B04B6"/>
    <w:rsid w:val="001B04BA"/>
    <w:rsid w:val="001B055B"/>
    <w:rsid w:val="001B059C"/>
    <w:rsid w:val="001B05C7"/>
    <w:rsid w:val="001B063E"/>
    <w:rsid w:val="001B0713"/>
    <w:rsid w:val="001B075B"/>
    <w:rsid w:val="001B0A8B"/>
    <w:rsid w:val="001B0B52"/>
    <w:rsid w:val="001B0D15"/>
    <w:rsid w:val="001B0D2E"/>
    <w:rsid w:val="001B0D73"/>
    <w:rsid w:val="001B0DF8"/>
    <w:rsid w:val="001B0E46"/>
    <w:rsid w:val="001B0EA9"/>
    <w:rsid w:val="001B0ED4"/>
    <w:rsid w:val="001B0EE5"/>
    <w:rsid w:val="001B0F14"/>
    <w:rsid w:val="001B0F63"/>
    <w:rsid w:val="001B0F94"/>
    <w:rsid w:val="001B105A"/>
    <w:rsid w:val="001B108D"/>
    <w:rsid w:val="001B10F9"/>
    <w:rsid w:val="001B112B"/>
    <w:rsid w:val="001B120F"/>
    <w:rsid w:val="001B12BC"/>
    <w:rsid w:val="001B1348"/>
    <w:rsid w:val="001B1380"/>
    <w:rsid w:val="001B13A8"/>
    <w:rsid w:val="001B13B7"/>
    <w:rsid w:val="001B1421"/>
    <w:rsid w:val="001B14E8"/>
    <w:rsid w:val="001B1585"/>
    <w:rsid w:val="001B1607"/>
    <w:rsid w:val="001B161B"/>
    <w:rsid w:val="001B16DB"/>
    <w:rsid w:val="001B1713"/>
    <w:rsid w:val="001B1783"/>
    <w:rsid w:val="001B17C3"/>
    <w:rsid w:val="001B17FF"/>
    <w:rsid w:val="001B18E7"/>
    <w:rsid w:val="001B1AED"/>
    <w:rsid w:val="001B1C3E"/>
    <w:rsid w:val="001B1D48"/>
    <w:rsid w:val="001B1D59"/>
    <w:rsid w:val="001B1E85"/>
    <w:rsid w:val="001B1E8C"/>
    <w:rsid w:val="001B1E9E"/>
    <w:rsid w:val="001B1ECB"/>
    <w:rsid w:val="001B1EE4"/>
    <w:rsid w:val="001B1F15"/>
    <w:rsid w:val="001B1F30"/>
    <w:rsid w:val="001B20E0"/>
    <w:rsid w:val="001B2127"/>
    <w:rsid w:val="001B21A2"/>
    <w:rsid w:val="001B21C2"/>
    <w:rsid w:val="001B228B"/>
    <w:rsid w:val="001B22B1"/>
    <w:rsid w:val="001B22B2"/>
    <w:rsid w:val="001B2397"/>
    <w:rsid w:val="001B23E6"/>
    <w:rsid w:val="001B2422"/>
    <w:rsid w:val="001B2521"/>
    <w:rsid w:val="001B2692"/>
    <w:rsid w:val="001B278F"/>
    <w:rsid w:val="001B2881"/>
    <w:rsid w:val="001B2B29"/>
    <w:rsid w:val="001B2BFF"/>
    <w:rsid w:val="001B2CD6"/>
    <w:rsid w:val="001B2F15"/>
    <w:rsid w:val="001B3019"/>
    <w:rsid w:val="001B3043"/>
    <w:rsid w:val="001B3054"/>
    <w:rsid w:val="001B3091"/>
    <w:rsid w:val="001B30EB"/>
    <w:rsid w:val="001B3108"/>
    <w:rsid w:val="001B311E"/>
    <w:rsid w:val="001B31FB"/>
    <w:rsid w:val="001B32F3"/>
    <w:rsid w:val="001B33A2"/>
    <w:rsid w:val="001B33CF"/>
    <w:rsid w:val="001B3421"/>
    <w:rsid w:val="001B347C"/>
    <w:rsid w:val="001B35F2"/>
    <w:rsid w:val="001B369E"/>
    <w:rsid w:val="001B3772"/>
    <w:rsid w:val="001B37E3"/>
    <w:rsid w:val="001B37F0"/>
    <w:rsid w:val="001B37FB"/>
    <w:rsid w:val="001B3827"/>
    <w:rsid w:val="001B3957"/>
    <w:rsid w:val="001B3961"/>
    <w:rsid w:val="001B3A4B"/>
    <w:rsid w:val="001B3BF9"/>
    <w:rsid w:val="001B3D53"/>
    <w:rsid w:val="001B3D6C"/>
    <w:rsid w:val="001B3DA7"/>
    <w:rsid w:val="001B3DB5"/>
    <w:rsid w:val="001B3E8A"/>
    <w:rsid w:val="001B3EEF"/>
    <w:rsid w:val="001B3F05"/>
    <w:rsid w:val="001B3F22"/>
    <w:rsid w:val="001B3F4F"/>
    <w:rsid w:val="001B4010"/>
    <w:rsid w:val="001B401F"/>
    <w:rsid w:val="001B4125"/>
    <w:rsid w:val="001B41E5"/>
    <w:rsid w:val="001B4265"/>
    <w:rsid w:val="001B426A"/>
    <w:rsid w:val="001B43B6"/>
    <w:rsid w:val="001B46DA"/>
    <w:rsid w:val="001B4858"/>
    <w:rsid w:val="001B494B"/>
    <w:rsid w:val="001B4A92"/>
    <w:rsid w:val="001B4C3E"/>
    <w:rsid w:val="001B4D30"/>
    <w:rsid w:val="001B4E9E"/>
    <w:rsid w:val="001B4F32"/>
    <w:rsid w:val="001B4F42"/>
    <w:rsid w:val="001B4FBF"/>
    <w:rsid w:val="001B501D"/>
    <w:rsid w:val="001B5027"/>
    <w:rsid w:val="001B5385"/>
    <w:rsid w:val="001B53C6"/>
    <w:rsid w:val="001B53D5"/>
    <w:rsid w:val="001B53E7"/>
    <w:rsid w:val="001B54CB"/>
    <w:rsid w:val="001B5503"/>
    <w:rsid w:val="001B5579"/>
    <w:rsid w:val="001B56F0"/>
    <w:rsid w:val="001B5837"/>
    <w:rsid w:val="001B58EF"/>
    <w:rsid w:val="001B58F8"/>
    <w:rsid w:val="001B5900"/>
    <w:rsid w:val="001B5942"/>
    <w:rsid w:val="001B59C6"/>
    <w:rsid w:val="001B59DE"/>
    <w:rsid w:val="001B5A0B"/>
    <w:rsid w:val="001B5CEC"/>
    <w:rsid w:val="001B5D44"/>
    <w:rsid w:val="001B5DFC"/>
    <w:rsid w:val="001B61B5"/>
    <w:rsid w:val="001B61E0"/>
    <w:rsid w:val="001B61F6"/>
    <w:rsid w:val="001B6288"/>
    <w:rsid w:val="001B62A6"/>
    <w:rsid w:val="001B6384"/>
    <w:rsid w:val="001B63AC"/>
    <w:rsid w:val="001B63AF"/>
    <w:rsid w:val="001B64A6"/>
    <w:rsid w:val="001B6798"/>
    <w:rsid w:val="001B67A8"/>
    <w:rsid w:val="001B6A42"/>
    <w:rsid w:val="001B6AE6"/>
    <w:rsid w:val="001B6CA5"/>
    <w:rsid w:val="001B6CD3"/>
    <w:rsid w:val="001B6D7D"/>
    <w:rsid w:val="001B6EAC"/>
    <w:rsid w:val="001B6FC3"/>
    <w:rsid w:val="001B6FD0"/>
    <w:rsid w:val="001B710A"/>
    <w:rsid w:val="001B7183"/>
    <w:rsid w:val="001B7219"/>
    <w:rsid w:val="001B7234"/>
    <w:rsid w:val="001B72F9"/>
    <w:rsid w:val="001B7406"/>
    <w:rsid w:val="001B767C"/>
    <w:rsid w:val="001B76AB"/>
    <w:rsid w:val="001B7711"/>
    <w:rsid w:val="001B7831"/>
    <w:rsid w:val="001B785F"/>
    <w:rsid w:val="001B7BF0"/>
    <w:rsid w:val="001B7C3E"/>
    <w:rsid w:val="001B7C43"/>
    <w:rsid w:val="001B7C8B"/>
    <w:rsid w:val="001B7DB1"/>
    <w:rsid w:val="001B7E2E"/>
    <w:rsid w:val="001B7E73"/>
    <w:rsid w:val="001B7E85"/>
    <w:rsid w:val="001B7F30"/>
    <w:rsid w:val="001B7FE6"/>
    <w:rsid w:val="001C0047"/>
    <w:rsid w:val="001C0149"/>
    <w:rsid w:val="001C0201"/>
    <w:rsid w:val="001C060A"/>
    <w:rsid w:val="001C067A"/>
    <w:rsid w:val="001C0746"/>
    <w:rsid w:val="001C07BD"/>
    <w:rsid w:val="001C0963"/>
    <w:rsid w:val="001C0A9C"/>
    <w:rsid w:val="001C0AA0"/>
    <w:rsid w:val="001C0AC1"/>
    <w:rsid w:val="001C0CB0"/>
    <w:rsid w:val="001C0E11"/>
    <w:rsid w:val="001C0E2C"/>
    <w:rsid w:val="001C0E57"/>
    <w:rsid w:val="001C0F0E"/>
    <w:rsid w:val="001C1140"/>
    <w:rsid w:val="001C1143"/>
    <w:rsid w:val="001C11B9"/>
    <w:rsid w:val="001C11E2"/>
    <w:rsid w:val="001C1272"/>
    <w:rsid w:val="001C12C0"/>
    <w:rsid w:val="001C12D1"/>
    <w:rsid w:val="001C1336"/>
    <w:rsid w:val="001C13E2"/>
    <w:rsid w:val="001C14C6"/>
    <w:rsid w:val="001C18AA"/>
    <w:rsid w:val="001C194C"/>
    <w:rsid w:val="001C1CE1"/>
    <w:rsid w:val="001C1DE1"/>
    <w:rsid w:val="001C1E52"/>
    <w:rsid w:val="001C1EBE"/>
    <w:rsid w:val="001C1FCF"/>
    <w:rsid w:val="001C2056"/>
    <w:rsid w:val="001C2164"/>
    <w:rsid w:val="001C21A1"/>
    <w:rsid w:val="001C21FE"/>
    <w:rsid w:val="001C2344"/>
    <w:rsid w:val="001C2416"/>
    <w:rsid w:val="001C242E"/>
    <w:rsid w:val="001C2541"/>
    <w:rsid w:val="001C259E"/>
    <w:rsid w:val="001C2718"/>
    <w:rsid w:val="001C27F7"/>
    <w:rsid w:val="001C27FD"/>
    <w:rsid w:val="001C2855"/>
    <w:rsid w:val="001C28A8"/>
    <w:rsid w:val="001C29DF"/>
    <w:rsid w:val="001C2A6A"/>
    <w:rsid w:val="001C2AC1"/>
    <w:rsid w:val="001C2C07"/>
    <w:rsid w:val="001C2C55"/>
    <w:rsid w:val="001C2C7D"/>
    <w:rsid w:val="001C2EEF"/>
    <w:rsid w:val="001C2F8B"/>
    <w:rsid w:val="001C302E"/>
    <w:rsid w:val="001C307E"/>
    <w:rsid w:val="001C3203"/>
    <w:rsid w:val="001C326B"/>
    <w:rsid w:val="001C32FF"/>
    <w:rsid w:val="001C3307"/>
    <w:rsid w:val="001C3388"/>
    <w:rsid w:val="001C345C"/>
    <w:rsid w:val="001C34A2"/>
    <w:rsid w:val="001C35C7"/>
    <w:rsid w:val="001C372A"/>
    <w:rsid w:val="001C37E6"/>
    <w:rsid w:val="001C3819"/>
    <w:rsid w:val="001C3821"/>
    <w:rsid w:val="001C38F1"/>
    <w:rsid w:val="001C3AA3"/>
    <w:rsid w:val="001C3B6F"/>
    <w:rsid w:val="001C3BB3"/>
    <w:rsid w:val="001C3BC7"/>
    <w:rsid w:val="001C3BD2"/>
    <w:rsid w:val="001C3BD5"/>
    <w:rsid w:val="001C3C3D"/>
    <w:rsid w:val="001C3F76"/>
    <w:rsid w:val="001C4119"/>
    <w:rsid w:val="001C4151"/>
    <w:rsid w:val="001C4222"/>
    <w:rsid w:val="001C45E8"/>
    <w:rsid w:val="001C46C6"/>
    <w:rsid w:val="001C47C3"/>
    <w:rsid w:val="001C489F"/>
    <w:rsid w:val="001C4AB4"/>
    <w:rsid w:val="001C4BED"/>
    <w:rsid w:val="001C4CC4"/>
    <w:rsid w:val="001C4CE1"/>
    <w:rsid w:val="001C4E5B"/>
    <w:rsid w:val="001C4FB0"/>
    <w:rsid w:val="001C5193"/>
    <w:rsid w:val="001C5294"/>
    <w:rsid w:val="001C52B8"/>
    <w:rsid w:val="001C52E2"/>
    <w:rsid w:val="001C533F"/>
    <w:rsid w:val="001C5377"/>
    <w:rsid w:val="001C53A5"/>
    <w:rsid w:val="001C53FD"/>
    <w:rsid w:val="001C54EB"/>
    <w:rsid w:val="001C5580"/>
    <w:rsid w:val="001C56E0"/>
    <w:rsid w:val="001C5746"/>
    <w:rsid w:val="001C574B"/>
    <w:rsid w:val="001C5793"/>
    <w:rsid w:val="001C5814"/>
    <w:rsid w:val="001C58C1"/>
    <w:rsid w:val="001C5A95"/>
    <w:rsid w:val="001C5AC9"/>
    <w:rsid w:val="001C5ADD"/>
    <w:rsid w:val="001C5B6F"/>
    <w:rsid w:val="001C5B71"/>
    <w:rsid w:val="001C5DA8"/>
    <w:rsid w:val="001C5DE4"/>
    <w:rsid w:val="001C5F36"/>
    <w:rsid w:val="001C5F62"/>
    <w:rsid w:val="001C5F97"/>
    <w:rsid w:val="001C60AE"/>
    <w:rsid w:val="001C60C9"/>
    <w:rsid w:val="001C62DA"/>
    <w:rsid w:val="001C6341"/>
    <w:rsid w:val="001C6370"/>
    <w:rsid w:val="001C637C"/>
    <w:rsid w:val="001C644A"/>
    <w:rsid w:val="001C64AF"/>
    <w:rsid w:val="001C655F"/>
    <w:rsid w:val="001C658F"/>
    <w:rsid w:val="001C65DB"/>
    <w:rsid w:val="001C6769"/>
    <w:rsid w:val="001C67B0"/>
    <w:rsid w:val="001C6814"/>
    <w:rsid w:val="001C68DC"/>
    <w:rsid w:val="001C68ED"/>
    <w:rsid w:val="001C6950"/>
    <w:rsid w:val="001C69F1"/>
    <w:rsid w:val="001C69F2"/>
    <w:rsid w:val="001C6A35"/>
    <w:rsid w:val="001C6A52"/>
    <w:rsid w:val="001C6B3D"/>
    <w:rsid w:val="001C6BD8"/>
    <w:rsid w:val="001C6BFC"/>
    <w:rsid w:val="001C6C29"/>
    <w:rsid w:val="001C6CB8"/>
    <w:rsid w:val="001C6D08"/>
    <w:rsid w:val="001C6E9D"/>
    <w:rsid w:val="001C71F6"/>
    <w:rsid w:val="001C7255"/>
    <w:rsid w:val="001C72AE"/>
    <w:rsid w:val="001C7318"/>
    <w:rsid w:val="001C73C0"/>
    <w:rsid w:val="001C7408"/>
    <w:rsid w:val="001C7666"/>
    <w:rsid w:val="001C772B"/>
    <w:rsid w:val="001C7753"/>
    <w:rsid w:val="001C77C7"/>
    <w:rsid w:val="001C7896"/>
    <w:rsid w:val="001C7953"/>
    <w:rsid w:val="001C79C0"/>
    <w:rsid w:val="001C7A3D"/>
    <w:rsid w:val="001C7C78"/>
    <w:rsid w:val="001C7D02"/>
    <w:rsid w:val="001C7E32"/>
    <w:rsid w:val="001C7E68"/>
    <w:rsid w:val="001D0296"/>
    <w:rsid w:val="001D03F6"/>
    <w:rsid w:val="001D048B"/>
    <w:rsid w:val="001D0516"/>
    <w:rsid w:val="001D0525"/>
    <w:rsid w:val="001D0761"/>
    <w:rsid w:val="001D0762"/>
    <w:rsid w:val="001D07AD"/>
    <w:rsid w:val="001D07B1"/>
    <w:rsid w:val="001D093D"/>
    <w:rsid w:val="001D097E"/>
    <w:rsid w:val="001D09EF"/>
    <w:rsid w:val="001D0A3D"/>
    <w:rsid w:val="001D0A93"/>
    <w:rsid w:val="001D0ACE"/>
    <w:rsid w:val="001D0B85"/>
    <w:rsid w:val="001D0BF2"/>
    <w:rsid w:val="001D0CEF"/>
    <w:rsid w:val="001D0CFF"/>
    <w:rsid w:val="001D0E8C"/>
    <w:rsid w:val="001D0F77"/>
    <w:rsid w:val="001D0FF4"/>
    <w:rsid w:val="001D100C"/>
    <w:rsid w:val="001D1012"/>
    <w:rsid w:val="001D1053"/>
    <w:rsid w:val="001D10C7"/>
    <w:rsid w:val="001D12C8"/>
    <w:rsid w:val="001D12D2"/>
    <w:rsid w:val="001D12E9"/>
    <w:rsid w:val="001D1324"/>
    <w:rsid w:val="001D1415"/>
    <w:rsid w:val="001D141E"/>
    <w:rsid w:val="001D150E"/>
    <w:rsid w:val="001D1534"/>
    <w:rsid w:val="001D153A"/>
    <w:rsid w:val="001D155A"/>
    <w:rsid w:val="001D15B4"/>
    <w:rsid w:val="001D1620"/>
    <w:rsid w:val="001D1672"/>
    <w:rsid w:val="001D175D"/>
    <w:rsid w:val="001D1802"/>
    <w:rsid w:val="001D1824"/>
    <w:rsid w:val="001D182A"/>
    <w:rsid w:val="001D1888"/>
    <w:rsid w:val="001D1962"/>
    <w:rsid w:val="001D1A60"/>
    <w:rsid w:val="001D1B4C"/>
    <w:rsid w:val="001D1BA8"/>
    <w:rsid w:val="001D1D13"/>
    <w:rsid w:val="001D1D9C"/>
    <w:rsid w:val="001D1F5A"/>
    <w:rsid w:val="001D1F5B"/>
    <w:rsid w:val="001D216E"/>
    <w:rsid w:val="001D22EB"/>
    <w:rsid w:val="001D2739"/>
    <w:rsid w:val="001D2742"/>
    <w:rsid w:val="001D27B7"/>
    <w:rsid w:val="001D2864"/>
    <w:rsid w:val="001D2928"/>
    <w:rsid w:val="001D29C3"/>
    <w:rsid w:val="001D29F6"/>
    <w:rsid w:val="001D2BE3"/>
    <w:rsid w:val="001D2CCC"/>
    <w:rsid w:val="001D2D8E"/>
    <w:rsid w:val="001D2E2A"/>
    <w:rsid w:val="001D2F37"/>
    <w:rsid w:val="001D3015"/>
    <w:rsid w:val="001D3032"/>
    <w:rsid w:val="001D311E"/>
    <w:rsid w:val="001D312E"/>
    <w:rsid w:val="001D3165"/>
    <w:rsid w:val="001D318F"/>
    <w:rsid w:val="001D3295"/>
    <w:rsid w:val="001D32A8"/>
    <w:rsid w:val="001D32B0"/>
    <w:rsid w:val="001D3370"/>
    <w:rsid w:val="001D35C2"/>
    <w:rsid w:val="001D368C"/>
    <w:rsid w:val="001D3732"/>
    <w:rsid w:val="001D395A"/>
    <w:rsid w:val="001D3C5B"/>
    <w:rsid w:val="001D3D15"/>
    <w:rsid w:val="001D3D5D"/>
    <w:rsid w:val="001D3F27"/>
    <w:rsid w:val="001D405F"/>
    <w:rsid w:val="001D4146"/>
    <w:rsid w:val="001D42A3"/>
    <w:rsid w:val="001D4319"/>
    <w:rsid w:val="001D4327"/>
    <w:rsid w:val="001D439A"/>
    <w:rsid w:val="001D43B4"/>
    <w:rsid w:val="001D4406"/>
    <w:rsid w:val="001D485C"/>
    <w:rsid w:val="001D4C88"/>
    <w:rsid w:val="001D4CFC"/>
    <w:rsid w:val="001D4D37"/>
    <w:rsid w:val="001D4D69"/>
    <w:rsid w:val="001D4E21"/>
    <w:rsid w:val="001D4E72"/>
    <w:rsid w:val="001D4EF5"/>
    <w:rsid w:val="001D4F38"/>
    <w:rsid w:val="001D4F79"/>
    <w:rsid w:val="001D5049"/>
    <w:rsid w:val="001D5095"/>
    <w:rsid w:val="001D50C2"/>
    <w:rsid w:val="001D50F4"/>
    <w:rsid w:val="001D5145"/>
    <w:rsid w:val="001D51CB"/>
    <w:rsid w:val="001D51F7"/>
    <w:rsid w:val="001D5229"/>
    <w:rsid w:val="001D5249"/>
    <w:rsid w:val="001D527E"/>
    <w:rsid w:val="001D5322"/>
    <w:rsid w:val="001D5345"/>
    <w:rsid w:val="001D57B0"/>
    <w:rsid w:val="001D57E0"/>
    <w:rsid w:val="001D57FF"/>
    <w:rsid w:val="001D5AAA"/>
    <w:rsid w:val="001D5AEE"/>
    <w:rsid w:val="001D5D4B"/>
    <w:rsid w:val="001D5DBE"/>
    <w:rsid w:val="001D5E84"/>
    <w:rsid w:val="001D5E97"/>
    <w:rsid w:val="001D5F77"/>
    <w:rsid w:val="001D6077"/>
    <w:rsid w:val="001D607C"/>
    <w:rsid w:val="001D6114"/>
    <w:rsid w:val="001D61B2"/>
    <w:rsid w:val="001D61FB"/>
    <w:rsid w:val="001D620F"/>
    <w:rsid w:val="001D62C5"/>
    <w:rsid w:val="001D6394"/>
    <w:rsid w:val="001D6445"/>
    <w:rsid w:val="001D64CA"/>
    <w:rsid w:val="001D6529"/>
    <w:rsid w:val="001D6622"/>
    <w:rsid w:val="001D6677"/>
    <w:rsid w:val="001D6765"/>
    <w:rsid w:val="001D68B3"/>
    <w:rsid w:val="001D69BD"/>
    <w:rsid w:val="001D6A14"/>
    <w:rsid w:val="001D6B32"/>
    <w:rsid w:val="001D6B72"/>
    <w:rsid w:val="001D6B9E"/>
    <w:rsid w:val="001D6C71"/>
    <w:rsid w:val="001D6CC8"/>
    <w:rsid w:val="001D6D6C"/>
    <w:rsid w:val="001D6D8A"/>
    <w:rsid w:val="001D6DF6"/>
    <w:rsid w:val="001D6E3A"/>
    <w:rsid w:val="001D6F3F"/>
    <w:rsid w:val="001D7035"/>
    <w:rsid w:val="001D7083"/>
    <w:rsid w:val="001D70B3"/>
    <w:rsid w:val="001D710D"/>
    <w:rsid w:val="001D7122"/>
    <w:rsid w:val="001D71A5"/>
    <w:rsid w:val="001D71AD"/>
    <w:rsid w:val="001D7294"/>
    <w:rsid w:val="001D7390"/>
    <w:rsid w:val="001D74CB"/>
    <w:rsid w:val="001D75C1"/>
    <w:rsid w:val="001D7688"/>
    <w:rsid w:val="001D76DD"/>
    <w:rsid w:val="001D76EF"/>
    <w:rsid w:val="001D776F"/>
    <w:rsid w:val="001D788A"/>
    <w:rsid w:val="001D7932"/>
    <w:rsid w:val="001D794F"/>
    <w:rsid w:val="001D7967"/>
    <w:rsid w:val="001D79C6"/>
    <w:rsid w:val="001D79EA"/>
    <w:rsid w:val="001D7B29"/>
    <w:rsid w:val="001D7EEC"/>
    <w:rsid w:val="001D7FB3"/>
    <w:rsid w:val="001D7FC4"/>
    <w:rsid w:val="001DA719"/>
    <w:rsid w:val="001E0013"/>
    <w:rsid w:val="001E0083"/>
    <w:rsid w:val="001E02F4"/>
    <w:rsid w:val="001E03C5"/>
    <w:rsid w:val="001E03CC"/>
    <w:rsid w:val="001E051D"/>
    <w:rsid w:val="001E061C"/>
    <w:rsid w:val="001E0634"/>
    <w:rsid w:val="001E0640"/>
    <w:rsid w:val="001E06BF"/>
    <w:rsid w:val="001E0778"/>
    <w:rsid w:val="001E085F"/>
    <w:rsid w:val="001E0899"/>
    <w:rsid w:val="001E0975"/>
    <w:rsid w:val="001E0B5D"/>
    <w:rsid w:val="001E0BFD"/>
    <w:rsid w:val="001E0D02"/>
    <w:rsid w:val="001E0D04"/>
    <w:rsid w:val="001E0E2F"/>
    <w:rsid w:val="001E0E5E"/>
    <w:rsid w:val="001E0F82"/>
    <w:rsid w:val="001E0F83"/>
    <w:rsid w:val="001E0FB4"/>
    <w:rsid w:val="001E12B3"/>
    <w:rsid w:val="001E146E"/>
    <w:rsid w:val="001E14EA"/>
    <w:rsid w:val="001E15E3"/>
    <w:rsid w:val="001E162D"/>
    <w:rsid w:val="001E165C"/>
    <w:rsid w:val="001E1884"/>
    <w:rsid w:val="001E1AC1"/>
    <w:rsid w:val="001E1B16"/>
    <w:rsid w:val="001E1B5C"/>
    <w:rsid w:val="001E1C5D"/>
    <w:rsid w:val="001E1D67"/>
    <w:rsid w:val="001E1D88"/>
    <w:rsid w:val="001E1E94"/>
    <w:rsid w:val="001E1F34"/>
    <w:rsid w:val="001E1F51"/>
    <w:rsid w:val="001E1FE9"/>
    <w:rsid w:val="001E2039"/>
    <w:rsid w:val="001E2084"/>
    <w:rsid w:val="001E216B"/>
    <w:rsid w:val="001E22AE"/>
    <w:rsid w:val="001E266E"/>
    <w:rsid w:val="001E269F"/>
    <w:rsid w:val="001E26F7"/>
    <w:rsid w:val="001E2703"/>
    <w:rsid w:val="001E272E"/>
    <w:rsid w:val="001E2767"/>
    <w:rsid w:val="001E280F"/>
    <w:rsid w:val="001E28C6"/>
    <w:rsid w:val="001E2A1D"/>
    <w:rsid w:val="001E2B7F"/>
    <w:rsid w:val="001E2BD5"/>
    <w:rsid w:val="001E2C1B"/>
    <w:rsid w:val="001E2C1D"/>
    <w:rsid w:val="001E2CA0"/>
    <w:rsid w:val="001E2D85"/>
    <w:rsid w:val="001E2DAA"/>
    <w:rsid w:val="001E2E81"/>
    <w:rsid w:val="001E2EA1"/>
    <w:rsid w:val="001E2F23"/>
    <w:rsid w:val="001E3169"/>
    <w:rsid w:val="001E358C"/>
    <w:rsid w:val="001E3595"/>
    <w:rsid w:val="001E35AE"/>
    <w:rsid w:val="001E363F"/>
    <w:rsid w:val="001E378E"/>
    <w:rsid w:val="001E3820"/>
    <w:rsid w:val="001E38B0"/>
    <w:rsid w:val="001E3907"/>
    <w:rsid w:val="001E3988"/>
    <w:rsid w:val="001E3A62"/>
    <w:rsid w:val="001E3A69"/>
    <w:rsid w:val="001E3A89"/>
    <w:rsid w:val="001E3A9F"/>
    <w:rsid w:val="001E3AAF"/>
    <w:rsid w:val="001E3B04"/>
    <w:rsid w:val="001E3B22"/>
    <w:rsid w:val="001E3B2E"/>
    <w:rsid w:val="001E3B4F"/>
    <w:rsid w:val="001E3CA3"/>
    <w:rsid w:val="001E3CE2"/>
    <w:rsid w:val="001E3D61"/>
    <w:rsid w:val="001E3E71"/>
    <w:rsid w:val="001E3ECE"/>
    <w:rsid w:val="001E3F31"/>
    <w:rsid w:val="001E3F7B"/>
    <w:rsid w:val="001E4041"/>
    <w:rsid w:val="001E4080"/>
    <w:rsid w:val="001E4108"/>
    <w:rsid w:val="001E4120"/>
    <w:rsid w:val="001E41D8"/>
    <w:rsid w:val="001E421B"/>
    <w:rsid w:val="001E4277"/>
    <w:rsid w:val="001E42FF"/>
    <w:rsid w:val="001E43BD"/>
    <w:rsid w:val="001E44B7"/>
    <w:rsid w:val="001E44EF"/>
    <w:rsid w:val="001E4501"/>
    <w:rsid w:val="001E4598"/>
    <w:rsid w:val="001E4608"/>
    <w:rsid w:val="001E4625"/>
    <w:rsid w:val="001E4655"/>
    <w:rsid w:val="001E4696"/>
    <w:rsid w:val="001E46C6"/>
    <w:rsid w:val="001E473B"/>
    <w:rsid w:val="001E48A8"/>
    <w:rsid w:val="001E4A39"/>
    <w:rsid w:val="001E4C1A"/>
    <w:rsid w:val="001E4C2F"/>
    <w:rsid w:val="001E4CD3"/>
    <w:rsid w:val="001E4DA8"/>
    <w:rsid w:val="001E4F44"/>
    <w:rsid w:val="001E4FCC"/>
    <w:rsid w:val="001E4FDA"/>
    <w:rsid w:val="001E5074"/>
    <w:rsid w:val="001E50DF"/>
    <w:rsid w:val="001E515F"/>
    <w:rsid w:val="001E5201"/>
    <w:rsid w:val="001E5246"/>
    <w:rsid w:val="001E5293"/>
    <w:rsid w:val="001E532E"/>
    <w:rsid w:val="001E539A"/>
    <w:rsid w:val="001E53AA"/>
    <w:rsid w:val="001E53DB"/>
    <w:rsid w:val="001E547C"/>
    <w:rsid w:val="001E5542"/>
    <w:rsid w:val="001E5618"/>
    <w:rsid w:val="001E568B"/>
    <w:rsid w:val="001E56B1"/>
    <w:rsid w:val="001E5730"/>
    <w:rsid w:val="001E5782"/>
    <w:rsid w:val="001E589D"/>
    <w:rsid w:val="001E58AD"/>
    <w:rsid w:val="001E5928"/>
    <w:rsid w:val="001E597C"/>
    <w:rsid w:val="001E5A00"/>
    <w:rsid w:val="001E5A27"/>
    <w:rsid w:val="001E5B24"/>
    <w:rsid w:val="001E5B5D"/>
    <w:rsid w:val="001E5B99"/>
    <w:rsid w:val="001E5BAC"/>
    <w:rsid w:val="001E5D78"/>
    <w:rsid w:val="001E5E50"/>
    <w:rsid w:val="001E5E86"/>
    <w:rsid w:val="001E5F6B"/>
    <w:rsid w:val="001E5FA5"/>
    <w:rsid w:val="001E5FA6"/>
    <w:rsid w:val="001E6009"/>
    <w:rsid w:val="001E60D5"/>
    <w:rsid w:val="001E6174"/>
    <w:rsid w:val="001E618D"/>
    <w:rsid w:val="001E621D"/>
    <w:rsid w:val="001E62D8"/>
    <w:rsid w:val="001E63A5"/>
    <w:rsid w:val="001E645F"/>
    <w:rsid w:val="001E647F"/>
    <w:rsid w:val="001E6486"/>
    <w:rsid w:val="001E655D"/>
    <w:rsid w:val="001E65AC"/>
    <w:rsid w:val="001E660D"/>
    <w:rsid w:val="001E66A2"/>
    <w:rsid w:val="001E66C8"/>
    <w:rsid w:val="001E66F5"/>
    <w:rsid w:val="001E685E"/>
    <w:rsid w:val="001E68DA"/>
    <w:rsid w:val="001E6A25"/>
    <w:rsid w:val="001E6A68"/>
    <w:rsid w:val="001E6AA9"/>
    <w:rsid w:val="001E6AC7"/>
    <w:rsid w:val="001E6B55"/>
    <w:rsid w:val="001E6B5A"/>
    <w:rsid w:val="001E6DAF"/>
    <w:rsid w:val="001E6E6A"/>
    <w:rsid w:val="001E6F49"/>
    <w:rsid w:val="001E6F87"/>
    <w:rsid w:val="001E6F9D"/>
    <w:rsid w:val="001E6FB9"/>
    <w:rsid w:val="001E7022"/>
    <w:rsid w:val="001E7080"/>
    <w:rsid w:val="001E7136"/>
    <w:rsid w:val="001E718B"/>
    <w:rsid w:val="001E71C2"/>
    <w:rsid w:val="001E71DE"/>
    <w:rsid w:val="001E730B"/>
    <w:rsid w:val="001E747B"/>
    <w:rsid w:val="001E749B"/>
    <w:rsid w:val="001E74EF"/>
    <w:rsid w:val="001E7502"/>
    <w:rsid w:val="001E7542"/>
    <w:rsid w:val="001E769B"/>
    <w:rsid w:val="001E7788"/>
    <w:rsid w:val="001E7B96"/>
    <w:rsid w:val="001E7C1B"/>
    <w:rsid w:val="001E7D33"/>
    <w:rsid w:val="001E7DD0"/>
    <w:rsid w:val="001E7DD1"/>
    <w:rsid w:val="001E7F6F"/>
    <w:rsid w:val="001F0016"/>
    <w:rsid w:val="001F0127"/>
    <w:rsid w:val="001F033A"/>
    <w:rsid w:val="001F0362"/>
    <w:rsid w:val="001F04C2"/>
    <w:rsid w:val="001F075E"/>
    <w:rsid w:val="001F07CC"/>
    <w:rsid w:val="001F0827"/>
    <w:rsid w:val="001F0958"/>
    <w:rsid w:val="001F09A0"/>
    <w:rsid w:val="001F0A63"/>
    <w:rsid w:val="001F0B16"/>
    <w:rsid w:val="001F0B79"/>
    <w:rsid w:val="001F0B7A"/>
    <w:rsid w:val="001F0DA8"/>
    <w:rsid w:val="001F0DF5"/>
    <w:rsid w:val="001F0E93"/>
    <w:rsid w:val="001F0EC5"/>
    <w:rsid w:val="001F0EE9"/>
    <w:rsid w:val="001F0FE9"/>
    <w:rsid w:val="001F11DE"/>
    <w:rsid w:val="001F11F5"/>
    <w:rsid w:val="001F1271"/>
    <w:rsid w:val="001F1283"/>
    <w:rsid w:val="001F13AC"/>
    <w:rsid w:val="001F1597"/>
    <w:rsid w:val="001F15A4"/>
    <w:rsid w:val="001F1622"/>
    <w:rsid w:val="001F1645"/>
    <w:rsid w:val="001F1739"/>
    <w:rsid w:val="001F1891"/>
    <w:rsid w:val="001F1933"/>
    <w:rsid w:val="001F1B4D"/>
    <w:rsid w:val="001F1D42"/>
    <w:rsid w:val="001F1DC5"/>
    <w:rsid w:val="001F1E4F"/>
    <w:rsid w:val="001F1F2E"/>
    <w:rsid w:val="001F1F50"/>
    <w:rsid w:val="001F213C"/>
    <w:rsid w:val="001F216E"/>
    <w:rsid w:val="001F2241"/>
    <w:rsid w:val="001F25D1"/>
    <w:rsid w:val="001F2859"/>
    <w:rsid w:val="001F289D"/>
    <w:rsid w:val="001F291F"/>
    <w:rsid w:val="001F2946"/>
    <w:rsid w:val="001F299D"/>
    <w:rsid w:val="001F29A1"/>
    <w:rsid w:val="001F2AF9"/>
    <w:rsid w:val="001F2B2E"/>
    <w:rsid w:val="001F2BCA"/>
    <w:rsid w:val="001F2BFF"/>
    <w:rsid w:val="001F2C52"/>
    <w:rsid w:val="001F2D85"/>
    <w:rsid w:val="001F2EA0"/>
    <w:rsid w:val="001F2EAD"/>
    <w:rsid w:val="001F2F39"/>
    <w:rsid w:val="001F2FCB"/>
    <w:rsid w:val="001F3027"/>
    <w:rsid w:val="001F3073"/>
    <w:rsid w:val="001F310B"/>
    <w:rsid w:val="001F31E5"/>
    <w:rsid w:val="001F35BC"/>
    <w:rsid w:val="001F3B3A"/>
    <w:rsid w:val="001F3CCE"/>
    <w:rsid w:val="001F3DD3"/>
    <w:rsid w:val="001F3E24"/>
    <w:rsid w:val="001F3E58"/>
    <w:rsid w:val="001F3E70"/>
    <w:rsid w:val="001F3EAD"/>
    <w:rsid w:val="001F3F30"/>
    <w:rsid w:val="001F3FFD"/>
    <w:rsid w:val="001F4087"/>
    <w:rsid w:val="001F40BA"/>
    <w:rsid w:val="001F4230"/>
    <w:rsid w:val="001F427B"/>
    <w:rsid w:val="001F429B"/>
    <w:rsid w:val="001F42E3"/>
    <w:rsid w:val="001F4357"/>
    <w:rsid w:val="001F43E8"/>
    <w:rsid w:val="001F44AB"/>
    <w:rsid w:val="001F44C7"/>
    <w:rsid w:val="001F473E"/>
    <w:rsid w:val="001F4796"/>
    <w:rsid w:val="001F4949"/>
    <w:rsid w:val="001F499D"/>
    <w:rsid w:val="001F49D6"/>
    <w:rsid w:val="001F4A0B"/>
    <w:rsid w:val="001F4AED"/>
    <w:rsid w:val="001F4B61"/>
    <w:rsid w:val="001F4C91"/>
    <w:rsid w:val="001F4CA9"/>
    <w:rsid w:val="001F4CBA"/>
    <w:rsid w:val="001F4CDB"/>
    <w:rsid w:val="001F4D32"/>
    <w:rsid w:val="001F4DDD"/>
    <w:rsid w:val="001F4E0C"/>
    <w:rsid w:val="001F4E70"/>
    <w:rsid w:val="001F5073"/>
    <w:rsid w:val="001F50A3"/>
    <w:rsid w:val="001F514B"/>
    <w:rsid w:val="001F515D"/>
    <w:rsid w:val="001F5165"/>
    <w:rsid w:val="001F5187"/>
    <w:rsid w:val="001F538B"/>
    <w:rsid w:val="001F53A2"/>
    <w:rsid w:val="001F540A"/>
    <w:rsid w:val="001F546B"/>
    <w:rsid w:val="001F5476"/>
    <w:rsid w:val="001F5847"/>
    <w:rsid w:val="001F58C4"/>
    <w:rsid w:val="001F58DE"/>
    <w:rsid w:val="001F59B3"/>
    <w:rsid w:val="001F59D2"/>
    <w:rsid w:val="001F5AEB"/>
    <w:rsid w:val="001F5D65"/>
    <w:rsid w:val="001F5F63"/>
    <w:rsid w:val="001F5F9A"/>
    <w:rsid w:val="001F5F9C"/>
    <w:rsid w:val="001F5FF9"/>
    <w:rsid w:val="001F6004"/>
    <w:rsid w:val="001F61E1"/>
    <w:rsid w:val="001F6274"/>
    <w:rsid w:val="001F633C"/>
    <w:rsid w:val="001F64F0"/>
    <w:rsid w:val="001F6567"/>
    <w:rsid w:val="001F673B"/>
    <w:rsid w:val="001F677C"/>
    <w:rsid w:val="001F6866"/>
    <w:rsid w:val="001F68FD"/>
    <w:rsid w:val="001F6982"/>
    <w:rsid w:val="001F6B1F"/>
    <w:rsid w:val="001F6BC1"/>
    <w:rsid w:val="001F6CAB"/>
    <w:rsid w:val="001F6D9A"/>
    <w:rsid w:val="001F6DEA"/>
    <w:rsid w:val="001F6F99"/>
    <w:rsid w:val="001F6FCB"/>
    <w:rsid w:val="001F712B"/>
    <w:rsid w:val="001F7194"/>
    <w:rsid w:val="001F722D"/>
    <w:rsid w:val="001F72CF"/>
    <w:rsid w:val="001F733F"/>
    <w:rsid w:val="001F736C"/>
    <w:rsid w:val="001F7377"/>
    <w:rsid w:val="001F73CF"/>
    <w:rsid w:val="001F742B"/>
    <w:rsid w:val="001F7625"/>
    <w:rsid w:val="001F76B9"/>
    <w:rsid w:val="001F76C4"/>
    <w:rsid w:val="001F7709"/>
    <w:rsid w:val="001F775C"/>
    <w:rsid w:val="001F776D"/>
    <w:rsid w:val="001F7863"/>
    <w:rsid w:val="001F797D"/>
    <w:rsid w:val="001F79CD"/>
    <w:rsid w:val="001F7AA3"/>
    <w:rsid w:val="001F7AEC"/>
    <w:rsid w:val="001F7AF3"/>
    <w:rsid w:val="001F7AF4"/>
    <w:rsid w:val="001F7AF8"/>
    <w:rsid w:val="001F7B3B"/>
    <w:rsid w:val="001F7BE4"/>
    <w:rsid w:val="001F7CBF"/>
    <w:rsid w:val="001F7CE3"/>
    <w:rsid w:val="001F7DD3"/>
    <w:rsid w:val="001F7F19"/>
    <w:rsid w:val="001F7F37"/>
    <w:rsid w:val="001F7F6A"/>
    <w:rsid w:val="001F7F98"/>
    <w:rsid w:val="0020000B"/>
    <w:rsid w:val="0020002C"/>
    <w:rsid w:val="00200040"/>
    <w:rsid w:val="00200062"/>
    <w:rsid w:val="002000D9"/>
    <w:rsid w:val="002001D3"/>
    <w:rsid w:val="00200230"/>
    <w:rsid w:val="002002F6"/>
    <w:rsid w:val="002003FC"/>
    <w:rsid w:val="002004D3"/>
    <w:rsid w:val="002005F5"/>
    <w:rsid w:val="0020065D"/>
    <w:rsid w:val="00200676"/>
    <w:rsid w:val="0020070E"/>
    <w:rsid w:val="00200789"/>
    <w:rsid w:val="002007A5"/>
    <w:rsid w:val="00200805"/>
    <w:rsid w:val="0020084D"/>
    <w:rsid w:val="00200868"/>
    <w:rsid w:val="00200875"/>
    <w:rsid w:val="00200896"/>
    <w:rsid w:val="002008A9"/>
    <w:rsid w:val="00200A3B"/>
    <w:rsid w:val="00200C4D"/>
    <w:rsid w:val="00200C94"/>
    <w:rsid w:val="00200CE8"/>
    <w:rsid w:val="00200CF3"/>
    <w:rsid w:val="00200F31"/>
    <w:rsid w:val="00200F48"/>
    <w:rsid w:val="00201055"/>
    <w:rsid w:val="0020119D"/>
    <w:rsid w:val="0020124B"/>
    <w:rsid w:val="0020124E"/>
    <w:rsid w:val="002012C1"/>
    <w:rsid w:val="002013C5"/>
    <w:rsid w:val="00201427"/>
    <w:rsid w:val="0020142B"/>
    <w:rsid w:val="00201481"/>
    <w:rsid w:val="00201521"/>
    <w:rsid w:val="002015FC"/>
    <w:rsid w:val="00201728"/>
    <w:rsid w:val="0020176A"/>
    <w:rsid w:val="0020178B"/>
    <w:rsid w:val="00201792"/>
    <w:rsid w:val="00201853"/>
    <w:rsid w:val="002019BC"/>
    <w:rsid w:val="00201A7B"/>
    <w:rsid w:val="00201AA5"/>
    <w:rsid w:val="00201BBB"/>
    <w:rsid w:val="00201D5C"/>
    <w:rsid w:val="00201DF2"/>
    <w:rsid w:val="00201EE2"/>
    <w:rsid w:val="00202112"/>
    <w:rsid w:val="002023D2"/>
    <w:rsid w:val="0020246D"/>
    <w:rsid w:val="0020249F"/>
    <w:rsid w:val="00202529"/>
    <w:rsid w:val="0020254E"/>
    <w:rsid w:val="002025D4"/>
    <w:rsid w:val="0020262E"/>
    <w:rsid w:val="002028ED"/>
    <w:rsid w:val="002029C0"/>
    <w:rsid w:val="002029E7"/>
    <w:rsid w:val="00202A67"/>
    <w:rsid w:val="00202A89"/>
    <w:rsid w:val="00202C41"/>
    <w:rsid w:val="00202D85"/>
    <w:rsid w:val="00202DBC"/>
    <w:rsid w:val="00202E1C"/>
    <w:rsid w:val="00202EB7"/>
    <w:rsid w:val="002030EF"/>
    <w:rsid w:val="002031B2"/>
    <w:rsid w:val="0020326B"/>
    <w:rsid w:val="002032FE"/>
    <w:rsid w:val="0020342E"/>
    <w:rsid w:val="00203483"/>
    <w:rsid w:val="00203631"/>
    <w:rsid w:val="0020375A"/>
    <w:rsid w:val="002037CF"/>
    <w:rsid w:val="002037E6"/>
    <w:rsid w:val="0020382E"/>
    <w:rsid w:val="00203905"/>
    <w:rsid w:val="00203912"/>
    <w:rsid w:val="00203974"/>
    <w:rsid w:val="0020398A"/>
    <w:rsid w:val="00203A7F"/>
    <w:rsid w:val="00203B40"/>
    <w:rsid w:val="00203BC4"/>
    <w:rsid w:val="00203BF7"/>
    <w:rsid w:val="00203C98"/>
    <w:rsid w:val="00203CF7"/>
    <w:rsid w:val="00203E0E"/>
    <w:rsid w:val="00203E62"/>
    <w:rsid w:val="0020433F"/>
    <w:rsid w:val="0020439D"/>
    <w:rsid w:val="002043DB"/>
    <w:rsid w:val="00204501"/>
    <w:rsid w:val="002045C5"/>
    <w:rsid w:val="002045E2"/>
    <w:rsid w:val="0020461A"/>
    <w:rsid w:val="00204697"/>
    <w:rsid w:val="00204727"/>
    <w:rsid w:val="002047A9"/>
    <w:rsid w:val="00204860"/>
    <w:rsid w:val="00204895"/>
    <w:rsid w:val="00204930"/>
    <w:rsid w:val="002049A8"/>
    <w:rsid w:val="00204ADB"/>
    <w:rsid w:val="00204C48"/>
    <w:rsid w:val="00204CD0"/>
    <w:rsid w:val="00204D05"/>
    <w:rsid w:val="00204D79"/>
    <w:rsid w:val="00204DB2"/>
    <w:rsid w:val="00204F30"/>
    <w:rsid w:val="00204F78"/>
    <w:rsid w:val="00204FE6"/>
    <w:rsid w:val="0020508E"/>
    <w:rsid w:val="002050E9"/>
    <w:rsid w:val="0020525D"/>
    <w:rsid w:val="00205467"/>
    <w:rsid w:val="00205555"/>
    <w:rsid w:val="0020579B"/>
    <w:rsid w:val="00205815"/>
    <w:rsid w:val="00205969"/>
    <w:rsid w:val="002059F1"/>
    <w:rsid w:val="00205AD2"/>
    <w:rsid w:val="00205B46"/>
    <w:rsid w:val="00205C55"/>
    <w:rsid w:val="00205C9E"/>
    <w:rsid w:val="00205D23"/>
    <w:rsid w:val="00205EB3"/>
    <w:rsid w:val="00205FA1"/>
    <w:rsid w:val="002060C9"/>
    <w:rsid w:val="00206138"/>
    <w:rsid w:val="00206186"/>
    <w:rsid w:val="002062C3"/>
    <w:rsid w:val="00206333"/>
    <w:rsid w:val="002063A3"/>
    <w:rsid w:val="002063C4"/>
    <w:rsid w:val="002064C8"/>
    <w:rsid w:val="00206666"/>
    <w:rsid w:val="002066AE"/>
    <w:rsid w:val="00206713"/>
    <w:rsid w:val="002067FC"/>
    <w:rsid w:val="00206825"/>
    <w:rsid w:val="0020682E"/>
    <w:rsid w:val="00206C58"/>
    <w:rsid w:val="00206C8B"/>
    <w:rsid w:val="00206E6A"/>
    <w:rsid w:val="00206FDC"/>
    <w:rsid w:val="00207184"/>
    <w:rsid w:val="0020726D"/>
    <w:rsid w:val="002072E5"/>
    <w:rsid w:val="002073E7"/>
    <w:rsid w:val="00207474"/>
    <w:rsid w:val="002074F3"/>
    <w:rsid w:val="00207507"/>
    <w:rsid w:val="0020764D"/>
    <w:rsid w:val="002076E6"/>
    <w:rsid w:val="002076F7"/>
    <w:rsid w:val="0020770A"/>
    <w:rsid w:val="00207740"/>
    <w:rsid w:val="002077D0"/>
    <w:rsid w:val="0020786A"/>
    <w:rsid w:val="0020789D"/>
    <w:rsid w:val="002078B7"/>
    <w:rsid w:val="002079ED"/>
    <w:rsid w:val="00207AE3"/>
    <w:rsid w:val="00207AF7"/>
    <w:rsid w:val="00207B0E"/>
    <w:rsid w:val="00207B6C"/>
    <w:rsid w:val="00207EAF"/>
    <w:rsid w:val="00210017"/>
    <w:rsid w:val="0021007A"/>
    <w:rsid w:val="002100CD"/>
    <w:rsid w:val="002100F6"/>
    <w:rsid w:val="002100FC"/>
    <w:rsid w:val="00210186"/>
    <w:rsid w:val="002101C3"/>
    <w:rsid w:val="002101DF"/>
    <w:rsid w:val="002102A6"/>
    <w:rsid w:val="002103E1"/>
    <w:rsid w:val="0021043D"/>
    <w:rsid w:val="0021047D"/>
    <w:rsid w:val="002104C1"/>
    <w:rsid w:val="002104FD"/>
    <w:rsid w:val="0021063D"/>
    <w:rsid w:val="00210648"/>
    <w:rsid w:val="00210693"/>
    <w:rsid w:val="002106D1"/>
    <w:rsid w:val="0021088F"/>
    <w:rsid w:val="002109AB"/>
    <w:rsid w:val="00210B60"/>
    <w:rsid w:val="00210BC8"/>
    <w:rsid w:val="00210E40"/>
    <w:rsid w:val="00210E8A"/>
    <w:rsid w:val="00210F0C"/>
    <w:rsid w:val="0021108B"/>
    <w:rsid w:val="002110F2"/>
    <w:rsid w:val="002111F0"/>
    <w:rsid w:val="0021124F"/>
    <w:rsid w:val="0021135A"/>
    <w:rsid w:val="0021143A"/>
    <w:rsid w:val="0021161E"/>
    <w:rsid w:val="0021169E"/>
    <w:rsid w:val="00211777"/>
    <w:rsid w:val="00211805"/>
    <w:rsid w:val="00211830"/>
    <w:rsid w:val="00211999"/>
    <w:rsid w:val="002119D2"/>
    <w:rsid w:val="002119F3"/>
    <w:rsid w:val="00211A39"/>
    <w:rsid w:val="00211A64"/>
    <w:rsid w:val="00211AF1"/>
    <w:rsid w:val="00211B46"/>
    <w:rsid w:val="00211BCE"/>
    <w:rsid w:val="00211C21"/>
    <w:rsid w:val="00211C22"/>
    <w:rsid w:val="00211DD6"/>
    <w:rsid w:val="00211DEE"/>
    <w:rsid w:val="00211EBF"/>
    <w:rsid w:val="00211F47"/>
    <w:rsid w:val="0021210C"/>
    <w:rsid w:val="00212238"/>
    <w:rsid w:val="00212239"/>
    <w:rsid w:val="0021223B"/>
    <w:rsid w:val="002122B5"/>
    <w:rsid w:val="002123BE"/>
    <w:rsid w:val="002124E4"/>
    <w:rsid w:val="002124F4"/>
    <w:rsid w:val="0021252E"/>
    <w:rsid w:val="00212644"/>
    <w:rsid w:val="0021265B"/>
    <w:rsid w:val="0021269A"/>
    <w:rsid w:val="00212789"/>
    <w:rsid w:val="00212AF7"/>
    <w:rsid w:val="00212C32"/>
    <w:rsid w:val="00212C9F"/>
    <w:rsid w:val="00212DC9"/>
    <w:rsid w:val="00212E36"/>
    <w:rsid w:val="00212ECF"/>
    <w:rsid w:val="00212F3C"/>
    <w:rsid w:val="00212F4B"/>
    <w:rsid w:val="00213025"/>
    <w:rsid w:val="002130B8"/>
    <w:rsid w:val="002130DE"/>
    <w:rsid w:val="0021319C"/>
    <w:rsid w:val="0021332B"/>
    <w:rsid w:val="00213506"/>
    <w:rsid w:val="002135A9"/>
    <w:rsid w:val="002136D8"/>
    <w:rsid w:val="002137ED"/>
    <w:rsid w:val="00213871"/>
    <w:rsid w:val="0021388D"/>
    <w:rsid w:val="0021389E"/>
    <w:rsid w:val="002139E1"/>
    <w:rsid w:val="00213A83"/>
    <w:rsid w:val="00213AAE"/>
    <w:rsid w:val="00213B2C"/>
    <w:rsid w:val="00213BA9"/>
    <w:rsid w:val="00213BD7"/>
    <w:rsid w:val="00213CCF"/>
    <w:rsid w:val="00213E2F"/>
    <w:rsid w:val="00213F1D"/>
    <w:rsid w:val="00213F37"/>
    <w:rsid w:val="00213FEC"/>
    <w:rsid w:val="0021414E"/>
    <w:rsid w:val="00214208"/>
    <w:rsid w:val="002142AF"/>
    <w:rsid w:val="002142C7"/>
    <w:rsid w:val="00214492"/>
    <w:rsid w:val="0021449A"/>
    <w:rsid w:val="00214628"/>
    <w:rsid w:val="00214675"/>
    <w:rsid w:val="00214680"/>
    <w:rsid w:val="00214856"/>
    <w:rsid w:val="00214901"/>
    <w:rsid w:val="002149F7"/>
    <w:rsid w:val="00214A79"/>
    <w:rsid w:val="00214CB6"/>
    <w:rsid w:val="00214D36"/>
    <w:rsid w:val="00214E2C"/>
    <w:rsid w:val="00214E73"/>
    <w:rsid w:val="00214F11"/>
    <w:rsid w:val="00214F4F"/>
    <w:rsid w:val="0021516C"/>
    <w:rsid w:val="002151C3"/>
    <w:rsid w:val="0021528F"/>
    <w:rsid w:val="002152E7"/>
    <w:rsid w:val="00215428"/>
    <w:rsid w:val="00215494"/>
    <w:rsid w:val="002155DB"/>
    <w:rsid w:val="002156DB"/>
    <w:rsid w:val="002158D4"/>
    <w:rsid w:val="002158DE"/>
    <w:rsid w:val="00215A1C"/>
    <w:rsid w:val="00215B71"/>
    <w:rsid w:val="00215BAE"/>
    <w:rsid w:val="00215C59"/>
    <w:rsid w:val="00215DA2"/>
    <w:rsid w:val="00215E76"/>
    <w:rsid w:val="00215E83"/>
    <w:rsid w:val="00215ED8"/>
    <w:rsid w:val="00215EE9"/>
    <w:rsid w:val="00215F00"/>
    <w:rsid w:val="00215FF2"/>
    <w:rsid w:val="00216146"/>
    <w:rsid w:val="0021619A"/>
    <w:rsid w:val="00216205"/>
    <w:rsid w:val="0021625E"/>
    <w:rsid w:val="002164DB"/>
    <w:rsid w:val="00216518"/>
    <w:rsid w:val="00216657"/>
    <w:rsid w:val="0021668C"/>
    <w:rsid w:val="002167DA"/>
    <w:rsid w:val="00216A86"/>
    <w:rsid w:val="00216C2A"/>
    <w:rsid w:val="00216CBB"/>
    <w:rsid w:val="00216DB5"/>
    <w:rsid w:val="00216DEB"/>
    <w:rsid w:val="00216E16"/>
    <w:rsid w:val="00216E40"/>
    <w:rsid w:val="00216E5B"/>
    <w:rsid w:val="00216F32"/>
    <w:rsid w:val="00216F7A"/>
    <w:rsid w:val="00216FD3"/>
    <w:rsid w:val="00217154"/>
    <w:rsid w:val="00217186"/>
    <w:rsid w:val="0021719B"/>
    <w:rsid w:val="002172CC"/>
    <w:rsid w:val="0021742C"/>
    <w:rsid w:val="0021745B"/>
    <w:rsid w:val="0021756B"/>
    <w:rsid w:val="00217590"/>
    <w:rsid w:val="0021759A"/>
    <w:rsid w:val="002175A8"/>
    <w:rsid w:val="00217656"/>
    <w:rsid w:val="00217680"/>
    <w:rsid w:val="0021771C"/>
    <w:rsid w:val="002177A8"/>
    <w:rsid w:val="0021793D"/>
    <w:rsid w:val="00217A81"/>
    <w:rsid w:val="00217C2F"/>
    <w:rsid w:val="00217C72"/>
    <w:rsid w:val="00217CEC"/>
    <w:rsid w:val="00217DC8"/>
    <w:rsid w:val="00217F75"/>
    <w:rsid w:val="00217F95"/>
    <w:rsid w:val="00217FB4"/>
    <w:rsid w:val="002200A0"/>
    <w:rsid w:val="002200BC"/>
    <w:rsid w:val="0022016E"/>
    <w:rsid w:val="002201F3"/>
    <w:rsid w:val="0022027D"/>
    <w:rsid w:val="002202E8"/>
    <w:rsid w:val="00220302"/>
    <w:rsid w:val="00220400"/>
    <w:rsid w:val="0022061B"/>
    <w:rsid w:val="00220797"/>
    <w:rsid w:val="002207F4"/>
    <w:rsid w:val="00220905"/>
    <w:rsid w:val="00220A70"/>
    <w:rsid w:val="00220D54"/>
    <w:rsid w:val="00220E6D"/>
    <w:rsid w:val="00220F09"/>
    <w:rsid w:val="00220FC7"/>
    <w:rsid w:val="00221014"/>
    <w:rsid w:val="0022120A"/>
    <w:rsid w:val="00221248"/>
    <w:rsid w:val="00221303"/>
    <w:rsid w:val="002213F0"/>
    <w:rsid w:val="0022151D"/>
    <w:rsid w:val="00221684"/>
    <w:rsid w:val="002217AE"/>
    <w:rsid w:val="0022195C"/>
    <w:rsid w:val="0022197E"/>
    <w:rsid w:val="00221C75"/>
    <w:rsid w:val="00221CCC"/>
    <w:rsid w:val="00221CF5"/>
    <w:rsid w:val="00221E64"/>
    <w:rsid w:val="00222155"/>
    <w:rsid w:val="0022223C"/>
    <w:rsid w:val="00222322"/>
    <w:rsid w:val="002223AA"/>
    <w:rsid w:val="002223EF"/>
    <w:rsid w:val="0022246F"/>
    <w:rsid w:val="00222508"/>
    <w:rsid w:val="0022262E"/>
    <w:rsid w:val="002226E0"/>
    <w:rsid w:val="00222765"/>
    <w:rsid w:val="002227A2"/>
    <w:rsid w:val="00222806"/>
    <w:rsid w:val="00222854"/>
    <w:rsid w:val="002228DC"/>
    <w:rsid w:val="0022292D"/>
    <w:rsid w:val="002229FC"/>
    <w:rsid w:val="00222A9B"/>
    <w:rsid w:val="00222B73"/>
    <w:rsid w:val="00222C02"/>
    <w:rsid w:val="00222D90"/>
    <w:rsid w:val="00223030"/>
    <w:rsid w:val="0022303F"/>
    <w:rsid w:val="00223060"/>
    <w:rsid w:val="0022325F"/>
    <w:rsid w:val="00223283"/>
    <w:rsid w:val="0022328A"/>
    <w:rsid w:val="00223291"/>
    <w:rsid w:val="002232A5"/>
    <w:rsid w:val="0022333C"/>
    <w:rsid w:val="002234F1"/>
    <w:rsid w:val="00223555"/>
    <w:rsid w:val="00223587"/>
    <w:rsid w:val="002236AD"/>
    <w:rsid w:val="0022370D"/>
    <w:rsid w:val="0022378E"/>
    <w:rsid w:val="002237B6"/>
    <w:rsid w:val="002239E2"/>
    <w:rsid w:val="00223A6B"/>
    <w:rsid w:val="00223BBA"/>
    <w:rsid w:val="00223BF4"/>
    <w:rsid w:val="00223DC1"/>
    <w:rsid w:val="00223DE4"/>
    <w:rsid w:val="00223E33"/>
    <w:rsid w:val="00223E49"/>
    <w:rsid w:val="00223F67"/>
    <w:rsid w:val="00223FFD"/>
    <w:rsid w:val="002241AE"/>
    <w:rsid w:val="00224250"/>
    <w:rsid w:val="00224448"/>
    <w:rsid w:val="00224498"/>
    <w:rsid w:val="00224603"/>
    <w:rsid w:val="00224674"/>
    <w:rsid w:val="00224697"/>
    <w:rsid w:val="0022484F"/>
    <w:rsid w:val="0022485C"/>
    <w:rsid w:val="00224883"/>
    <w:rsid w:val="002248BD"/>
    <w:rsid w:val="002248C0"/>
    <w:rsid w:val="002248EB"/>
    <w:rsid w:val="002248FB"/>
    <w:rsid w:val="00224A62"/>
    <w:rsid w:val="00224D3E"/>
    <w:rsid w:val="00224D41"/>
    <w:rsid w:val="00224D59"/>
    <w:rsid w:val="00224E01"/>
    <w:rsid w:val="00224FF0"/>
    <w:rsid w:val="00224FF4"/>
    <w:rsid w:val="00225105"/>
    <w:rsid w:val="00225351"/>
    <w:rsid w:val="0022538D"/>
    <w:rsid w:val="002253BD"/>
    <w:rsid w:val="002253F5"/>
    <w:rsid w:val="002255BD"/>
    <w:rsid w:val="002255F8"/>
    <w:rsid w:val="00225623"/>
    <w:rsid w:val="002259CD"/>
    <w:rsid w:val="002259EE"/>
    <w:rsid w:val="00225AB7"/>
    <w:rsid w:val="00225AEA"/>
    <w:rsid w:val="00225B68"/>
    <w:rsid w:val="00225BD6"/>
    <w:rsid w:val="00225C8B"/>
    <w:rsid w:val="00225E58"/>
    <w:rsid w:val="00225F65"/>
    <w:rsid w:val="00225FA5"/>
    <w:rsid w:val="00225FD0"/>
    <w:rsid w:val="00225FF5"/>
    <w:rsid w:val="00226024"/>
    <w:rsid w:val="002260C4"/>
    <w:rsid w:val="002260D9"/>
    <w:rsid w:val="0022615C"/>
    <w:rsid w:val="00226182"/>
    <w:rsid w:val="00226209"/>
    <w:rsid w:val="0022626F"/>
    <w:rsid w:val="002262E7"/>
    <w:rsid w:val="002262FF"/>
    <w:rsid w:val="0022632D"/>
    <w:rsid w:val="00226391"/>
    <w:rsid w:val="002263FD"/>
    <w:rsid w:val="00226401"/>
    <w:rsid w:val="00226463"/>
    <w:rsid w:val="002264E6"/>
    <w:rsid w:val="0022659D"/>
    <w:rsid w:val="00226627"/>
    <w:rsid w:val="0022663D"/>
    <w:rsid w:val="002266ED"/>
    <w:rsid w:val="002267AF"/>
    <w:rsid w:val="002268D1"/>
    <w:rsid w:val="0022697C"/>
    <w:rsid w:val="002269DC"/>
    <w:rsid w:val="002269FB"/>
    <w:rsid w:val="00226A60"/>
    <w:rsid w:val="00226BE8"/>
    <w:rsid w:val="00226D3D"/>
    <w:rsid w:val="00226D9F"/>
    <w:rsid w:val="00226E8C"/>
    <w:rsid w:val="00226F02"/>
    <w:rsid w:val="00226FF2"/>
    <w:rsid w:val="0022703E"/>
    <w:rsid w:val="00227112"/>
    <w:rsid w:val="00227125"/>
    <w:rsid w:val="002272A2"/>
    <w:rsid w:val="002273FC"/>
    <w:rsid w:val="002274DD"/>
    <w:rsid w:val="00227544"/>
    <w:rsid w:val="0022764E"/>
    <w:rsid w:val="002279F7"/>
    <w:rsid w:val="00227A49"/>
    <w:rsid w:val="00227AB8"/>
    <w:rsid w:val="00227B34"/>
    <w:rsid w:val="00227BA7"/>
    <w:rsid w:val="00227FEB"/>
    <w:rsid w:val="0023015E"/>
    <w:rsid w:val="00230187"/>
    <w:rsid w:val="00230201"/>
    <w:rsid w:val="00230337"/>
    <w:rsid w:val="002303AF"/>
    <w:rsid w:val="002303DB"/>
    <w:rsid w:val="00230602"/>
    <w:rsid w:val="002306AE"/>
    <w:rsid w:val="002306CA"/>
    <w:rsid w:val="002306EE"/>
    <w:rsid w:val="00230783"/>
    <w:rsid w:val="0023097C"/>
    <w:rsid w:val="002309B1"/>
    <w:rsid w:val="00230A73"/>
    <w:rsid w:val="00230ABF"/>
    <w:rsid w:val="00230AC3"/>
    <w:rsid w:val="00230AF0"/>
    <w:rsid w:val="00230C0D"/>
    <w:rsid w:val="00230CBB"/>
    <w:rsid w:val="00230D88"/>
    <w:rsid w:val="00230E1D"/>
    <w:rsid w:val="00230E61"/>
    <w:rsid w:val="00230F6D"/>
    <w:rsid w:val="00230FCA"/>
    <w:rsid w:val="00230FCE"/>
    <w:rsid w:val="00231062"/>
    <w:rsid w:val="002310E2"/>
    <w:rsid w:val="002310F8"/>
    <w:rsid w:val="0023118D"/>
    <w:rsid w:val="00231323"/>
    <w:rsid w:val="00231477"/>
    <w:rsid w:val="002314D3"/>
    <w:rsid w:val="0023176D"/>
    <w:rsid w:val="0023186B"/>
    <w:rsid w:val="002319F0"/>
    <w:rsid w:val="00231C02"/>
    <w:rsid w:val="00231C92"/>
    <w:rsid w:val="00231CD6"/>
    <w:rsid w:val="00231CE9"/>
    <w:rsid w:val="00231D55"/>
    <w:rsid w:val="00231F00"/>
    <w:rsid w:val="002320AD"/>
    <w:rsid w:val="002320B6"/>
    <w:rsid w:val="002320BA"/>
    <w:rsid w:val="002321CF"/>
    <w:rsid w:val="002321D7"/>
    <w:rsid w:val="00232257"/>
    <w:rsid w:val="00232270"/>
    <w:rsid w:val="00232317"/>
    <w:rsid w:val="00232334"/>
    <w:rsid w:val="00232349"/>
    <w:rsid w:val="0023244A"/>
    <w:rsid w:val="00232485"/>
    <w:rsid w:val="002325CB"/>
    <w:rsid w:val="002325E4"/>
    <w:rsid w:val="0023263E"/>
    <w:rsid w:val="002326B5"/>
    <w:rsid w:val="002326F4"/>
    <w:rsid w:val="00232711"/>
    <w:rsid w:val="00232715"/>
    <w:rsid w:val="0023274D"/>
    <w:rsid w:val="0023284F"/>
    <w:rsid w:val="002328F2"/>
    <w:rsid w:val="00232934"/>
    <w:rsid w:val="0023294C"/>
    <w:rsid w:val="0023294E"/>
    <w:rsid w:val="002329A2"/>
    <w:rsid w:val="00232B8E"/>
    <w:rsid w:val="00232BA9"/>
    <w:rsid w:val="00232BBC"/>
    <w:rsid w:val="00232C12"/>
    <w:rsid w:val="00232C3A"/>
    <w:rsid w:val="00232E26"/>
    <w:rsid w:val="00232EB6"/>
    <w:rsid w:val="00232FB0"/>
    <w:rsid w:val="00232FE4"/>
    <w:rsid w:val="00232FF0"/>
    <w:rsid w:val="00233076"/>
    <w:rsid w:val="002330FD"/>
    <w:rsid w:val="0023316A"/>
    <w:rsid w:val="00233197"/>
    <w:rsid w:val="00233222"/>
    <w:rsid w:val="002332D6"/>
    <w:rsid w:val="002332F5"/>
    <w:rsid w:val="002333AB"/>
    <w:rsid w:val="002333AC"/>
    <w:rsid w:val="002333D9"/>
    <w:rsid w:val="00233409"/>
    <w:rsid w:val="002334E7"/>
    <w:rsid w:val="002336C4"/>
    <w:rsid w:val="0023377B"/>
    <w:rsid w:val="002339D2"/>
    <w:rsid w:val="002339FA"/>
    <w:rsid w:val="00233A35"/>
    <w:rsid w:val="00233A74"/>
    <w:rsid w:val="00233BCC"/>
    <w:rsid w:val="00233C2E"/>
    <w:rsid w:val="00233D5C"/>
    <w:rsid w:val="00233DA3"/>
    <w:rsid w:val="00233DA5"/>
    <w:rsid w:val="00233DB4"/>
    <w:rsid w:val="00233EA6"/>
    <w:rsid w:val="00233F01"/>
    <w:rsid w:val="00233FCE"/>
    <w:rsid w:val="0023421F"/>
    <w:rsid w:val="0023429C"/>
    <w:rsid w:val="00234300"/>
    <w:rsid w:val="00234308"/>
    <w:rsid w:val="00234461"/>
    <w:rsid w:val="002345A3"/>
    <w:rsid w:val="002345BA"/>
    <w:rsid w:val="0023463A"/>
    <w:rsid w:val="00234681"/>
    <w:rsid w:val="002346C1"/>
    <w:rsid w:val="00234794"/>
    <w:rsid w:val="002347C0"/>
    <w:rsid w:val="002347FE"/>
    <w:rsid w:val="00234824"/>
    <w:rsid w:val="00234A91"/>
    <w:rsid w:val="00234C6A"/>
    <w:rsid w:val="00234E0B"/>
    <w:rsid w:val="00234E4B"/>
    <w:rsid w:val="00234E60"/>
    <w:rsid w:val="00234E8D"/>
    <w:rsid w:val="00234F98"/>
    <w:rsid w:val="002350C1"/>
    <w:rsid w:val="00235247"/>
    <w:rsid w:val="0023528A"/>
    <w:rsid w:val="002352CE"/>
    <w:rsid w:val="00235358"/>
    <w:rsid w:val="00235362"/>
    <w:rsid w:val="00235434"/>
    <w:rsid w:val="002354AF"/>
    <w:rsid w:val="00235569"/>
    <w:rsid w:val="00235637"/>
    <w:rsid w:val="00235671"/>
    <w:rsid w:val="0023567E"/>
    <w:rsid w:val="00235686"/>
    <w:rsid w:val="00235A14"/>
    <w:rsid w:val="00235B21"/>
    <w:rsid w:val="00235BA0"/>
    <w:rsid w:val="00235C45"/>
    <w:rsid w:val="00235C85"/>
    <w:rsid w:val="00235CA1"/>
    <w:rsid w:val="00235D8D"/>
    <w:rsid w:val="00235DF9"/>
    <w:rsid w:val="00235E0B"/>
    <w:rsid w:val="00235FD4"/>
    <w:rsid w:val="002360AC"/>
    <w:rsid w:val="0023612B"/>
    <w:rsid w:val="002361AF"/>
    <w:rsid w:val="002361E6"/>
    <w:rsid w:val="00236243"/>
    <w:rsid w:val="0023635D"/>
    <w:rsid w:val="0023636E"/>
    <w:rsid w:val="00236523"/>
    <w:rsid w:val="002366CC"/>
    <w:rsid w:val="0023680D"/>
    <w:rsid w:val="00236936"/>
    <w:rsid w:val="0023694C"/>
    <w:rsid w:val="002369B0"/>
    <w:rsid w:val="00236A23"/>
    <w:rsid w:val="00236AA9"/>
    <w:rsid w:val="00236B56"/>
    <w:rsid w:val="00236B89"/>
    <w:rsid w:val="00236DB9"/>
    <w:rsid w:val="00236E5F"/>
    <w:rsid w:val="00236E6E"/>
    <w:rsid w:val="00236FF7"/>
    <w:rsid w:val="00237106"/>
    <w:rsid w:val="0023711E"/>
    <w:rsid w:val="0023712C"/>
    <w:rsid w:val="0023712D"/>
    <w:rsid w:val="002371B6"/>
    <w:rsid w:val="002371C1"/>
    <w:rsid w:val="00237279"/>
    <w:rsid w:val="002372B3"/>
    <w:rsid w:val="0023736F"/>
    <w:rsid w:val="0023745A"/>
    <w:rsid w:val="00237487"/>
    <w:rsid w:val="00237602"/>
    <w:rsid w:val="00237657"/>
    <w:rsid w:val="002376D5"/>
    <w:rsid w:val="00237A06"/>
    <w:rsid w:val="00237AD6"/>
    <w:rsid w:val="00237B28"/>
    <w:rsid w:val="00237BDD"/>
    <w:rsid w:val="00237BEA"/>
    <w:rsid w:val="00237CC1"/>
    <w:rsid w:val="00237E84"/>
    <w:rsid w:val="00237F1C"/>
    <w:rsid w:val="00237FCA"/>
    <w:rsid w:val="00237FD2"/>
    <w:rsid w:val="00237FD6"/>
    <w:rsid w:val="002400BA"/>
    <w:rsid w:val="00240362"/>
    <w:rsid w:val="0024039A"/>
    <w:rsid w:val="00240454"/>
    <w:rsid w:val="002407A2"/>
    <w:rsid w:val="00240864"/>
    <w:rsid w:val="002408AF"/>
    <w:rsid w:val="002408C8"/>
    <w:rsid w:val="002409A8"/>
    <w:rsid w:val="002409ED"/>
    <w:rsid w:val="00240C36"/>
    <w:rsid w:val="00240C4E"/>
    <w:rsid w:val="00240D05"/>
    <w:rsid w:val="00240D14"/>
    <w:rsid w:val="00240E42"/>
    <w:rsid w:val="00240EEC"/>
    <w:rsid w:val="00240EF5"/>
    <w:rsid w:val="00240F09"/>
    <w:rsid w:val="00240F72"/>
    <w:rsid w:val="00240FA1"/>
    <w:rsid w:val="00240FFB"/>
    <w:rsid w:val="00241080"/>
    <w:rsid w:val="0024109B"/>
    <w:rsid w:val="00241146"/>
    <w:rsid w:val="002413AE"/>
    <w:rsid w:val="00241436"/>
    <w:rsid w:val="002414CC"/>
    <w:rsid w:val="00241530"/>
    <w:rsid w:val="00241602"/>
    <w:rsid w:val="0024160A"/>
    <w:rsid w:val="0024160B"/>
    <w:rsid w:val="00241732"/>
    <w:rsid w:val="0024177B"/>
    <w:rsid w:val="0024182A"/>
    <w:rsid w:val="00241915"/>
    <w:rsid w:val="0024193C"/>
    <w:rsid w:val="00241982"/>
    <w:rsid w:val="002419A3"/>
    <w:rsid w:val="00241AC9"/>
    <w:rsid w:val="00241BB2"/>
    <w:rsid w:val="00241DAF"/>
    <w:rsid w:val="00241E45"/>
    <w:rsid w:val="00241E55"/>
    <w:rsid w:val="00241ED7"/>
    <w:rsid w:val="00241FC5"/>
    <w:rsid w:val="00242023"/>
    <w:rsid w:val="002420E2"/>
    <w:rsid w:val="002420F1"/>
    <w:rsid w:val="0024218F"/>
    <w:rsid w:val="00242330"/>
    <w:rsid w:val="002425E5"/>
    <w:rsid w:val="00242600"/>
    <w:rsid w:val="0024266E"/>
    <w:rsid w:val="002427F2"/>
    <w:rsid w:val="00242819"/>
    <w:rsid w:val="0024283D"/>
    <w:rsid w:val="00242A5E"/>
    <w:rsid w:val="00242BBD"/>
    <w:rsid w:val="00242E1B"/>
    <w:rsid w:val="00242E95"/>
    <w:rsid w:val="00243046"/>
    <w:rsid w:val="002432F9"/>
    <w:rsid w:val="00243397"/>
    <w:rsid w:val="0024344C"/>
    <w:rsid w:val="0024356B"/>
    <w:rsid w:val="002435F0"/>
    <w:rsid w:val="002437B9"/>
    <w:rsid w:val="00243848"/>
    <w:rsid w:val="0024393A"/>
    <w:rsid w:val="00243B17"/>
    <w:rsid w:val="00243CE2"/>
    <w:rsid w:val="00243D26"/>
    <w:rsid w:val="00243D37"/>
    <w:rsid w:val="00243DC2"/>
    <w:rsid w:val="00243E34"/>
    <w:rsid w:val="00243EB3"/>
    <w:rsid w:val="00243F59"/>
    <w:rsid w:val="00244036"/>
    <w:rsid w:val="00244083"/>
    <w:rsid w:val="002441BA"/>
    <w:rsid w:val="002441DB"/>
    <w:rsid w:val="00244208"/>
    <w:rsid w:val="0024425B"/>
    <w:rsid w:val="002442CA"/>
    <w:rsid w:val="00244560"/>
    <w:rsid w:val="00244567"/>
    <w:rsid w:val="002445CE"/>
    <w:rsid w:val="002448B8"/>
    <w:rsid w:val="0024499C"/>
    <w:rsid w:val="002449CF"/>
    <w:rsid w:val="00244B80"/>
    <w:rsid w:val="00244D2B"/>
    <w:rsid w:val="00244DC0"/>
    <w:rsid w:val="00244E08"/>
    <w:rsid w:val="00244E0F"/>
    <w:rsid w:val="00244FB1"/>
    <w:rsid w:val="00245316"/>
    <w:rsid w:val="0024535C"/>
    <w:rsid w:val="00245409"/>
    <w:rsid w:val="00245474"/>
    <w:rsid w:val="002454C9"/>
    <w:rsid w:val="00245569"/>
    <w:rsid w:val="00245592"/>
    <w:rsid w:val="002455F7"/>
    <w:rsid w:val="002456C9"/>
    <w:rsid w:val="002456E2"/>
    <w:rsid w:val="00245743"/>
    <w:rsid w:val="002457BD"/>
    <w:rsid w:val="00245871"/>
    <w:rsid w:val="00245919"/>
    <w:rsid w:val="002459C2"/>
    <w:rsid w:val="00245A08"/>
    <w:rsid w:val="00245A50"/>
    <w:rsid w:val="00245A68"/>
    <w:rsid w:val="00245B31"/>
    <w:rsid w:val="00245BA8"/>
    <w:rsid w:val="00245BF4"/>
    <w:rsid w:val="00245CC6"/>
    <w:rsid w:val="00245DDB"/>
    <w:rsid w:val="00245DF2"/>
    <w:rsid w:val="00245DFE"/>
    <w:rsid w:val="00245E37"/>
    <w:rsid w:val="00245FD3"/>
    <w:rsid w:val="0024605D"/>
    <w:rsid w:val="00246135"/>
    <w:rsid w:val="002461D2"/>
    <w:rsid w:val="0024637E"/>
    <w:rsid w:val="002463BB"/>
    <w:rsid w:val="002464F7"/>
    <w:rsid w:val="00246586"/>
    <w:rsid w:val="002465A0"/>
    <w:rsid w:val="002466B0"/>
    <w:rsid w:val="002466F3"/>
    <w:rsid w:val="002467B4"/>
    <w:rsid w:val="00246801"/>
    <w:rsid w:val="0024690F"/>
    <w:rsid w:val="00246AA3"/>
    <w:rsid w:val="00246AC6"/>
    <w:rsid w:val="00246AEE"/>
    <w:rsid w:val="00246B59"/>
    <w:rsid w:val="00246CAE"/>
    <w:rsid w:val="00246D0A"/>
    <w:rsid w:val="00246D51"/>
    <w:rsid w:val="00246DBB"/>
    <w:rsid w:val="00247132"/>
    <w:rsid w:val="0024724F"/>
    <w:rsid w:val="00247292"/>
    <w:rsid w:val="002473CC"/>
    <w:rsid w:val="002478B1"/>
    <w:rsid w:val="0024793D"/>
    <w:rsid w:val="00247A0F"/>
    <w:rsid w:val="00247A22"/>
    <w:rsid w:val="00247A9F"/>
    <w:rsid w:val="00247AB0"/>
    <w:rsid w:val="00247B5D"/>
    <w:rsid w:val="00247C12"/>
    <w:rsid w:val="00247D0A"/>
    <w:rsid w:val="00247D5C"/>
    <w:rsid w:val="00247D6C"/>
    <w:rsid w:val="00247E64"/>
    <w:rsid w:val="00250029"/>
    <w:rsid w:val="00250115"/>
    <w:rsid w:val="0025019F"/>
    <w:rsid w:val="00250362"/>
    <w:rsid w:val="002503B5"/>
    <w:rsid w:val="002503D7"/>
    <w:rsid w:val="00250586"/>
    <w:rsid w:val="00250652"/>
    <w:rsid w:val="0025070E"/>
    <w:rsid w:val="00250836"/>
    <w:rsid w:val="00250ACB"/>
    <w:rsid w:val="00250B3D"/>
    <w:rsid w:val="00250BF1"/>
    <w:rsid w:val="00250DA0"/>
    <w:rsid w:val="00250E5F"/>
    <w:rsid w:val="00250F62"/>
    <w:rsid w:val="00250F68"/>
    <w:rsid w:val="00251049"/>
    <w:rsid w:val="00251085"/>
    <w:rsid w:val="002511DD"/>
    <w:rsid w:val="00251288"/>
    <w:rsid w:val="002513A5"/>
    <w:rsid w:val="00251410"/>
    <w:rsid w:val="0025141F"/>
    <w:rsid w:val="002516DA"/>
    <w:rsid w:val="002516E9"/>
    <w:rsid w:val="002516F0"/>
    <w:rsid w:val="0025172F"/>
    <w:rsid w:val="00251751"/>
    <w:rsid w:val="002517A0"/>
    <w:rsid w:val="002517DE"/>
    <w:rsid w:val="002517F1"/>
    <w:rsid w:val="0025198E"/>
    <w:rsid w:val="002519BC"/>
    <w:rsid w:val="00251B42"/>
    <w:rsid w:val="00251BC8"/>
    <w:rsid w:val="00251BF8"/>
    <w:rsid w:val="00251CB4"/>
    <w:rsid w:val="00251F1C"/>
    <w:rsid w:val="00251F5F"/>
    <w:rsid w:val="00251FBA"/>
    <w:rsid w:val="00251FD9"/>
    <w:rsid w:val="0025209E"/>
    <w:rsid w:val="002520E4"/>
    <w:rsid w:val="002520FB"/>
    <w:rsid w:val="00252128"/>
    <w:rsid w:val="002521F1"/>
    <w:rsid w:val="0025221D"/>
    <w:rsid w:val="002522FE"/>
    <w:rsid w:val="0025230D"/>
    <w:rsid w:val="00252377"/>
    <w:rsid w:val="0025239C"/>
    <w:rsid w:val="0025251A"/>
    <w:rsid w:val="0025276F"/>
    <w:rsid w:val="002527C8"/>
    <w:rsid w:val="0025284A"/>
    <w:rsid w:val="00252994"/>
    <w:rsid w:val="00252998"/>
    <w:rsid w:val="002529A7"/>
    <w:rsid w:val="00252AA4"/>
    <w:rsid w:val="00252B46"/>
    <w:rsid w:val="00252C98"/>
    <w:rsid w:val="00252D0A"/>
    <w:rsid w:val="00252D83"/>
    <w:rsid w:val="00252DAF"/>
    <w:rsid w:val="00252DCC"/>
    <w:rsid w:val="00252DF1"/>
    <w:rsid w:val="00252DFF"/>
    <w:rsid w:val="00252ED3"/>
    <w:rsid w:val="00252EF0"/>
    <w:rsid w:val="00252FCE"/>
    <w:rsid w:val="0025300A"/>
    <w:rsid w:val="002530FE"/>
    <w:rsid w:val="00253199"/>
    <w:rsid w:val="00253219"/>
    <w:rsid w:val="00253277"/>
    <w:rsid w:val="00253290"/>
    <w:rsid w:val="00253294"/>
    <w:rsid w:val="002532E0"/>
    <w:rsid w:val="0025336E"/>
    <w:rsid w:val="00253411"/>
    <w:rsid w:val="0025352E"/>
    <w:rsid w:val="0025367C"/>
    <w:rsid w:val="00253695"/>
    <w:rsid w:val="002536EA"/>
    <w:rsid w:val="00253705"/>
    <w:rsid w:val="0025371D"/>
    <w:rsid w:val="0025377A"/>
    <w:rsid w:val="00253780"/>
    <w:rsid w:val="002537B6"/>
    <w:rsid w:val="00253874"/>
    <w:rsid w:val="00253944"/>
    <w:rsid w:val="002539CE"/>
    <w:rsid w:val="002539F9"/>
    <w:rsid w:val="00253B61"/>
    <w:rsid w:val="00253CF4"/>
    <w:rsid w:val="00253D5B"/>
    <w:rsid w:val="00253D7A"/>
    <w:rsid w:val="00253D89"/>
    <w:rsid w:val="00253E19"/>
    <w:rsid w:val="00253E6F"/>
    <w:rsid w:val="00253F1B"/>
    <w:rsid w:val="00253F2C"/>
    <w:rsid w:val="00253F55"/>
    <w:rsid w:val="00254013"/>
    <w:rsid w:val="0025404F"/>
    <w:rsid w:val="0025408A"/>
    <w:rsid w:val="00254096"/>
    <w:rsid w:val="00254123"/>
    <w:rsid w:val="00254207"/>
    <w:rsid w:val="0025422D"/>
    <w:rsid w:val="00254334"/>
    <w:rsid w:val="002543ED"/>
    <w:rsid w:val="002544EE"/>
    <w:rsid w:val="002545EE"/>
    <w:rsid w:val="002545F2"/>
    <w:rsid w:val="00254639"/>
    <w:rsid w:val="0025470A"/>
    <w:rsid w:val="00254762"/>
    <w:rsid w:val="00254930"/>
    <w:rsid w:val="002549F6"/>
    <w:rsid w:val="00254B71"/>
    <w:rsid w:val="00254D47"/>
    <w:rsid w:val="00254D6D"/>
    <w:rsid w:val="00254ECD"/>
    <w:rsid w:val="00254FF5"/>
    <w:rsid w:val="0025514F"/>
    <w:rsid w:val="002552A3"/>
    <w:rsid w:val="00255307"/>
    <w:rsid w:val="0025534C"/>
    <w:rsid w:val="002554CC"/>
    <w:rsid w:val="002555CF"/>
    <w:rsid w:val="002555DE"/>
    <w:rsid w:val="00255832"/>
    <w:rsid w:val="0025584D"/>
    <w:rsid w:val="00255903"/>
    <w:rsid w:val="0025593C"/>
    <w:rsid w:val="002559A7"/>
    <w:rsid w:val="00255A76"/>
    <w:rsid w:val="00255CCA"/>
    <w:rsid w:val="00255CDF"/>
    <w:rsid w:val="00255D10"/>
    <w:rsid w:val="00255D85"/>
    <w:rsid w:val="00255E29"/>
    <w:rsid w:val="002560E7"/>
    <w:rsid w:val="00256179"/>
    <w:rsid w:val="0025622B"/>
    <w:rsid w:val="0025631E"/>
    <w:rsid w:val="00256434"/>
    <w:rsid w:val="0025660A"/>
    <w:rsid w:val="002566D0"/>
    <w:rsid w:val="002566DE"/>
    <w:rsid w:val="00256766"/>
    <w:rsid w:val="002567D6"/>
    <w:rsid w:val="002567E0"/>
    <w:rsid w:val="00256838"/>
    <w:rsid w:val="00256847"/>
    <w:rsid w:val="002568F9"/>
    <w:rsid w:val="0025696D"/>
    <w:rsid w:val="00256A3F"/>
    <w:rsid w:val="00256A7C"/>
    <w:rsid w:val="00256A88"/>
    <w:rsid w:val="00256AEE"/>
    <w:rsid w:val="00256CB9"/>
    <w:rsid w:val="00256F7E"/>
    <w:rsid w:val="002570B5"/>
    <w:rsid w:val="002571C2"/>
    <w:rsid w:val="00257247"/>
    <w:rsid w:val="00257299"/>
    <w:rsid w:val="0025738C"/>
    <w:rsid w:val="0025741E"/>
    <w:rsid w:val="00257716"/>
    <w:rsid w:val="00257786"/>
    <w:rsid w:val="002577F4"/>
    <w:rsid w:val="00257862"/>
    <w:rsid w:val="0025791C"/>
    <w:rsid w:val="00257941"/>
    <w:rsid w:val="00257BF4"/>
    <w:rsid w:val="00257CBC"/>
    <w:rsid w:val="00257D71"/>
    <w:rsid w:val="00257DA5"/>
    <w:rsid w:val="00257E8F"/>
    <w:rsid w:val="00257E99"/>
    <w:rsid w:val="00257EC1"/>
    <w:rsid w:val="00257FDA"/>
    <w:rsid w:val="002601CC"/>
    <w:rsid w:val="0026029E"/>
    <w:rsid w:val="0026032C"/>
    <w:rsid w:val="002603D2"/>
    <w:rsid w:val="00260590"/>
    <w:rsid w:val="002605B0"/>
    <w:rsid w:val="002605F0"/>
    <w:rsid w:val="00260651"/>
    <w:rsid w:val="00260695"/>
    <w:rsid w:val="002606FA"/>
    <w:rsid w:val="00260701"/>
    <w:rsid w:val="0026082C"/>
    <w:rsid w:val="00260947"/>
    <w:rsid w:val="00260A3C"/>
    <w:rsid w:val="00260A50"/>
    <w:rsid w:val="00260B23"/>
    <w:rsid w:val="00260C24"/>
    <w:rsid w:val="00260C9A"/>
    <w:rsid w:val="00260D07"/>
    <w:rsid w:val="00260D40"/>
    <w:rsid w:val="00260D78"/>
    <w:rsid w:val="00260D8D"/>
    <w:rsid w:val="00260F12"/>
    <w:rsid w:val="00260F43"/>
    <w:rsid w:val="0026109E"/>
    <w:rsid w:val="00261389"/>
    <w:rsid w:val="0026143C"/>
    <w:rsid w:val="002614B1"/>
    <w:rsid w:val="002614CD"/>
    <w:rsid w:val="00261573"/>
    <w:rsid w:val="002616D8"/>
    <w:rsid w:val="00261849"/>
    <w:rsid w:val="002619CE"/>
    <w:rsid w:val="00261A82"/>
    <w:rsid w:val="00261B02"/>
    <w:rsid w:val="00261B9E"/>
    <w:rsid w:val="00261BB7"/>
    <w:rsid w:val="00261E38"/>
    <w:rsid w:val="00261E93"/>
    <w:rsid w:val="00261F6C"/>
    <w:rsid w:val="00261FFE"/>
    <w:rsid w:val="0026201B"/>
    <w:rsid w:val="00262053"/>
    <w:rsid w:val="00262270"/>
    <w:rsid w:val="002622AF"/>
    <w:rsid w:val="002622BE"/>
    <w:rsid w:val="002622CF"/>
    <w:rsid w:val="002622FC"/>
    <w:rsid w:val="00262308"/>
    <w:rsid w:val="002623D5"/>
    <w:rsid w:val="00262507"/>
    <w:rsid w:val="002625DB"/>
    <w:rsid w:val="00262641"/>
    <w:rsid w:val="0026264D"/>
    <w:rsid w:val="00262770"/>
    <w:rsid w:val="00262775"/>
    <w:rsid w:val="0026293B"/>
    <w:rsid w:val="00262A08"/>
    <w:rsid w:val="00262AFA"/>
    <w:rsid w:val="00262B06"/>
    <w:rsid w:val="00262B67"/>
    <w:rsid w:val="00262BF8"/>
    <w:rsid w:val="00262F2B"/>
    <w:rsid w:val="00262FF0"/>
    <w:rsid w:val="0026311B"/>
    <w:rsid w:val="00263199"/>
    <w:rsid w:val="00263204"/>
    <w:rsid w:val="00263220"/>
    <w:rsid w:val="002632A6"/>
    <w:rsid w:val="0026331F"/>
    <w:rsid w:val="00263325"/>
    <w:rsid w:val="002633D6"/>
    <w:rsid w:val="0026340D"/>
    <w:rsid w:val="002634B4"/>
    <w:rsid w:val="00263505"/>
    <w:rsid w:val="0026364C"/>
    <w:rsid w:val="0026366C"/>
    <w:rsid w:val="002636AB"/>
    <w:rsid w:val="00263991"/>
    <w:rsid w:val="002639CF"/>
    <w:rsid w:val="00263A11"/>
    <w:rsid w:val="00263A94"/>
    <w:rsid w:val="00263B4A"/>
    <w:rsid w:val="00263C41"/>
    <w:rsid w:val="00263C51"/>
    <w:rsid w:val="00263C62"/>
    <w:rsid w:val="00263D17"/>
    <w:rsid w:val="00263DB8"/>
    <w:rsid w:val="00263E39"/>
    <w:rsid w:val="00263ED8"/>
    <w:rsid w:val="00263EF4"/>
    <w:rsid w:val="00263F16"/>
    <w:rsid w:val="00263F48"/>
    <w:rsid w:val="00263FAB"/>
    <w:rsid w:val="00263FC6"/>
    <w:rsid w:val="0026404C"/>
    <w:rsid w:val="002640B7"/>
    <w:rsid w:val="002641F8"/>
    <w:rsid w:val="00264274"/>
    <w:rsid w:val="002642FE"/>
    <w:rsid w:val="00264387"/>
    <w:rsid w:val="002643BB"/>
    <w:rsid w:val="0026440E"/>
    <w:rsid w:val="002644B6"/>
    <w:rsid w:val="002644D3"/>
    <w:rsid w:val="00264506"/>
    <w:rsid w:val="0026467E"/>
    <w:rsid w:val="002647B1"/>
    <w:rsid w:val="0026498D"/>
    <w:rsid w:val="00264BE6"/>
    <w:rsid w:val="00264BF6"/>
    <w:rsid w:val="00264C77"/>
    <w:rsid w:val="00264CD3"/>
    <w:rsid w:val="00264EC4"/>
    <w:rsid w:val="00264FCD"/>
    <w:rsid w:val="002650B7"/>
    <w:rsid w:val="002652CB"/>
    <w:rsid w:val="00265495"/>
    <w:rsid w:val="00265563"/>
    <w:rsid w:val="002655D1"/>
    <w:rsid w:val="00265719"/>
    <w:rsid w:val="002657FD"/>
    <w:rsid w:val="0026592A"/>
    <w:rsid w:val="002659E0"/>
    <w:rsid w:val="00265A0E"/>
    <w:rsid w:val="00265C09"/>
    <w:rsid w:val="00265CAF"/>
    <w:rsid w:val="00265D75"/>
    <w:rsid w:val="00265DFC"/>
    <w:rsid w:val="00265F5D"/>
    <w:rsid w:val="00266091"/>
    <w:rsid w:val="002660B8"/>
    <w:rsid w:val="002660E9"/>
    <w:rsid w:val="00266295"/>
    <w:rsid w:val="0026640C"/>
    <w:rsid w:val="00266520"/>
    <w:rsid w:val="002665DA"/>
    <w:rsid w:val="00266761"/>
    <w:rsid w:val="002667AC"/>
    <w:rsid w:val="00266913"/>
    <w:rsid w:val="00266975"/>
    <w:rsid w:val="002669D8"/>
    <w:rsid w:val="002669E4"/>
    <w:rsid w:val="00266A02"/>
    <w:rsid w:val="00266AF0"/>
    <w:rsid w:val="00266B12"/>
    <w:rsid w:val="00266B92"/>
    <w:rsid w:val="00266BE2"/>
    <w:rsid w:val="00266C01"/>
    <w:rsid w:val="00266C64"/>
    <w:rsid w:val="00267041"/>
    <w:rsid w:val="0026705A"/>
    <w:rsid w:val="00267116"/>
    <w:rsid w:val="00267260"/>
    <w:rsid w:val="002672EF"/>
    <w:rsid w:val="002673E6"/>
    <w:rsid w:val="00267402"/>
    <w:rsid w:val="0026744F"/>
    <w:rsid w:val="00267532"/>
    <w:rsid w:val="00267705"/>
    <w:rsid w:val="002677E9"/>
    <w:rsid w:val="00267903"/>
    <w:rsid w:val="00267AFD"/>
    <w:rsid w:val="00267B8B"/>
    <w:rsid w:val="00267B9A"/>
    <w:rsid w:val="00267BCA"/>
    <w:rsid w:val="00267D46"/>
    <w:rsid w:val="00267E22"/>
    <w:rsid w:val="00267E30"/>
    <w:rsid w:val="00267F33"/>
    <w:rsid w:val="00267FB7"/>
    <w:rsid w:val="00267FD9"/>
    <w:rsid w:val="002701A6"/>
    <w:rsid w:val="00270219"/>
    <w:rsid w:val="0027021A"/>
    <w:rsid w:val="002702EB"/>
    <w:rsid w:val="002703EA"/>
    <w:rsid w:val="0027041B"/>
    <w:rsid w:val="00270489"/>
    <w:rsid w:val="00270524"/>
    <w:rsid w:val="002706F5"/>
    <w:rsid w:val="002707F8"/>
    <w:rsid w:val="00270812"/>
    <w:rsid w:val="002709EC"/>
    <w:rsid w:val="00270C18"/>
    <w:rsid w:val="00270C23"/>
    <w:rsid w:val="00270C4E"/>
    <w:rsid w:val="00270C9C"/>
    <w:rsid w:val="00270DA7"/>
    <w:rsid w:val="00270E48"/>
    <w:rsid w:val="00270E50"/>
    <w:rsid w:val="00270E7E"/>
    <w:rsid w:val="00270EEE"/>
    <w:rsid w:val="00270F89"/>
    <w:rsid w:val="00270FD0"/>
    <w:rsid w:val="002711DC"/>
    <w:rsid w:val="002712CA"/>
    <w:rsid w:val="002712DF"/>
    <w:rsid w:val="00271548"/>
    <w:rsid w:val="00271635"/>
    <w:rsid w:val="00271745"/>
    <w:rsid w:val="002717BA"/>
    <w:rsid w:val="00271882"/>
    <w:rsid w:val="00271A09"/>
    <w:rsid w:val="00271B32"/>
    <w:rsid w:val="00271B7A"/>
    <w:rsid w:val="00271CD4"/>
    <w:rsid w:val="00271D34"/>
    <w:rsid w:val="00271E22"/>
    <w:rsid w:val="00271E24"/>
    <w:rsid w:val="00271F2F"/>
    <w:rsid w:val="00271FBE"/>
    <w:rsid w:val="00272020"/>
    <w:rsid w:val="002722EA"/>
    <w:rsid w:val="00272313"/>
    <w:rsid w:val="00272472"/>
    <w:rsid w:val="00272528"/>
    <w:rsid w:val="0027255E"/>
    <w:rsid w:val="00272780"/>
    <w:rsid w:val="00272853"/>
    <w:rsid w:val="00272B1D"/>
    <w:rsid w:val="00272BE9"/>
    <w:rsid w:val="00272C9A"/>
    <w:rsid w:val="00272D04"/>
    <w:rsid w:val="00272D23"/>
    <w:rsid w:val="00272E47"/>
    <w:rsid w:val="00272E6F"/>
    <w:rsid w:val="00272EF7"/>
    <w:rsid w:val="00272F27"/>
    <w:rsid w:val="00272F96"/>
    <w:rsid w:val="00273109"/>
    <w:rsid w:val="002732EB"/>
    <w:rsid w:val="00273348"/>
    <w:rsid w:val="00273524"/>
    <w:rsid w:val="00273542"/>
    <w:rsid w:val="00273586"/>
    <w:rsid w:val="002736A0"/>
    <w:rsid w:val="00273745"/>
    <w:rsid w:val="0027383E"/>
    <w:rsid w:val="002738D6"/>
    <w:rsid w:val="002739D8"/>
    <w:rsid w:val="00273A2B"/>
    <w:rsid w:val="00273A65"/>
    <w:rsid w:val="00273B36"/>
    <w:rsid w:val="00273BC0"/>
    <w:rsid w:val="00273C5A"/>
    <w:rsid w:val="00273F15"/>
    <w:rsid w:val="00273F28"/>
    <w:rsid w:val="00273FF7"/>
    <w:rsid w:val="0027410D"/>
    <w:rsid w:val="0027413B"/>
    <w:rsid w:val="00274216"/>
    <w:rsid w:val="002743A4"/>
    <w:rsid w:val="002745B3"/>
    <w:rsid w:val="002745B5"/>
    <w:rsid w:val="002747FE"/>
    <w:rsid w:val="00274B0D"/>
    <w:rsid w:val="00274B71"/>
    <w:rsid w:val="00274BDB"/>
    <w:rsid w:val="00274C34"/>
    <w:rsid w:val="00274CA6"/>
    <w:rsid w:val="00274D93"/>
    <w:rsid w:val="00274DE5"/>
    <w:rsid w:val="00274EAD"/>
    <w:rsid w:val="00274F93"/>
    <w:rsid w:val="00274FFD"/>
    <w:rsid w:val="00275052"/>
    <w:rsid w:val="002751C4"/>
    <w:rsid w:val="00275228"/>
    <w:rsid w:val="0027551A"/>
    <w:rsid w:val="0027558A"/>
    <w:rsid w:val="002755E1"/>
    <w:rsid w:val="00275649"/>
    <w:rsid w:val="00275763"/>
    <w:rsid w:val="00275794"/>
    <w:rsid w:val="002757D8"/>
    <w:rsid w:val="00275821"/>
    <w:rsid w:val="0027582B"/>
    <w:rsid w:val="00275875"/>
    <w:rsid w:val="002758D9"/>
    <w:rsid w:val="002758E2"/>
    <w:rsid w:val="002759DF"/>
    <w:rsid w:val="002759E9"/>
    <w:rsid w:val="00275B0C"/>
    <w:rsid w:val="00275BA5"/>
    <w:rsid w:val="00275CD0"/>
    <w:rsid w:val="00275E2D"/>
    <w:rsid w:val="00275E8B"/>
    <w:rsid w:val="00275F2D"/>
    <w:rsid w:val="00276002"/>
    <w:rsid w:val="00276015"/>
    <w:rsid w:val="00276147"/>
    <w:rsid w:val="00276157"/>
    <w:rsid w:val="00276177"/>
    <w:rsid w:val="00276293"/>
    <w:rsid w:val="0027629D"/>
    <w:rsid w:val="00276300"/>
    <w:rsid w:val="0027659C"/>
    <w:rsid w:val="00276610"/>
    <w:rsid w:val="0027663B"/>
    <w:rsid w:val="002768A6"/>
    <w:rsid w:val="00276A60"/>
    <w:rsid w:val="00276AB5"/>
    <w:rsid w:val="00276B52"/>
    <w:rsid w:val="00276B61"/>
    <w:rsid w:val="00276B88"/>
    <w:rsid w:val="00276CD0"/>
    <w:rsid w:val="00276CFD"/>
    <w:rsid w:val="00276DB6"/>
    <w:rsid w:val="00276EAB"/>
    <w:rsid w:val="00276F4F"/>
    <w:rsid w:val="00276F5B"/>
    <w:rsid w:val="00277013"/>
    <w:rsid w:val="00277067"/>
    <w:rsid w:val="002770F6"/>
    <w:rsid w:val="00277160"/>
    <w:rsid w:val="002771DE"/>
    <w:rsid w:val="002772BA"/>
    <w:rsid w:val="00277312"/>
    <w:rsid w:val="002773BB"/>
    <w:rsid w:val="00277413"/>
    <w:rsid w:val="002774D1"/>
    <w:rsid w:val="002774E1"/>
    <w:rsid w:val="00277616"/>
    <w:rsid w:val="0027766E"/>
    <w:rsid w:val="0027767F"/>
    <w:rsid w:val="0027782C"/>
    <w:rsid w:val="00277881"/>
    <w:rsid w:val="002779C8"/>
    <w:rsid w:val="00277B51"/>
    <w:rsid w:val="00277D20"/>
    <w:rsid w:val="00277DD9"/>
    <w:rsid w:val="00277DE2"/>
    <w:rsid w:val="00277E7D"/>
    <w:rsid w:val="00277F33"/>
    <w:rsid w:val="00277F58"/>
    <w:rsid w:val="00277FAC"/>
    <w:rsid w:val="002800D6"/>
    <w:rsid w:val="00280115"/>
    <w:rsid w:val="00280168"/>
    <w:rsid w:val="00280198"/>
    <w:rsid w:val="00280270"/>
    <w:rsid w:val="0028043A"/>
    <w:rsid w:val="002804C2"/>
    <w:rsid w:val="002805C4"/>
    <w:rsid w:val="002807F1"/>
    <w:rsid w:val="0028082E"/>
    <w:rsid w:val="0028083D"/>
    <w:rsid w:val="00280843"/>
    <w:rsid w:val="002808AB"/>
    <w:rsid w:val="0028090D"/>
    <w:rsid w:val="002809A1"/>
    <w:rsid w:val="002809AB"/>
    <w:rsid w:val="00280A0E"/>
    <w:rsid w:val="00280A77"/>
    <w:rsid w:val="00280AB3"/>
    <w:rsid w:val="00280AB5"/>
    <w:rsid w:val="00280BA3"/>
    <w:rsid w:val="00280E28"/>
    <w:rsid w:val="00280EA2"/>
    <w:rsid w:val="00280ECC"/>
    <w:rsid w:val="00280F01"/>
    <w:rsid w:val="00280FA7"/>
    <w:rsid w:val="00281040"/>
    <w:rsid w:val="002811A4"/>
    <w:rsid w:val="002811D6"/>
    <w:rsid w:val="00281273"/>
    <w:rsid w:val="00281283"/>
    <w:rsid w:val="002812FF"/>
    <w:rsid w:val="00281300"/>
    <w:rsid w:val="00281433"/>
    <w:rsid w:val="002814BD"/>
    <w:rsid w:val="002814F8"/>
    <w:rsid w:val="0028158D"/>
    <w:rsid w:val="002815D6"/>
    <w:rsid w:val="00281626"/>
    <w:rsid w:val="002816C3"/>
    <w:rsid w:val="002816D9"/>
    <w:rsid w:val="0028175B"/>
    <w:rsid w:val="002817D1"/>
    <w:rsid w:val="00281813"/>
    <w:rsid w:val="0028184B"/>
    <w:rsid w:val="0028185A"/>
    <w:rsid w:val="002818C1"/>
    <w:rsid w:val="002819C0"/>
    <w:rsid w:val="00281B97"/>
    <w:rsid w:val="00281C09"/>
    <w:rsid w:val="00281C74"/>
    <w:rsid w:val="00281C80"/>
    <w:rsid w:val="00281CBA"/>
    <w:rsid w:val="00281D50"/>
    <w:rsid w:val="00281DF9"/>
    <w:rsid w:val="00282167"/>
    <w:rsid w:val="00282225"/>
    <w:rsid w:val="0028224D"/>
    <w:rsid w:val="002822CA"/>
    <w:rsid w:val="002823EB"/>
    <w:rsid w:val="00282424"/>
    <w:rsid w:val="00282520"/>
    <w:rsid w:val="0028260B"/>
    <w:rsid w:val="0028272E"/>
    <w:rsid w:val="0028272F"/>
    <w:rsid w:val="0028278F"/>
    <w:rsid w:val="002827B2"/>
    <w:rsid w:val="002827BD"/>
    <w:rsid w:val="00282811"/>
    <w:rsid w:val="0028285F"/>
    <w:rsid w:val="00282927"/>
    <w:rsid w:val="00282AB4"/>
    <w:rsid w:val="00282B82"/>
    <w:rsid w:val="00282BB3"/>
    <w:rsid w:val="00282C10"/>
    <w:rsid w:val="00282CC5"/>
    <w:rsid w:val="00282CD5"/>
    <w:rsid w:val="00282DD7"/>
    <w:rsid w:val="00282E19"/>
    <w:rsid w:val="00282E51"/>
    <w:rsid w:val="00282F2F"/>
    <w:rsid w:val="00283008"/>
    <w:rsid w:val="00283009"/>
    <w:rsid w:val="002830A3"/>
    <w:rsid w:val="00283192"/>
    <w:rsid w:val="002831B0"/>
    <w:rsid w:val="002831D7"/>
    <w:rsid w:val="00283278"/>
    <w:rsid w:val="00283296"/>
    <w:rsid w:val="002833AC"/>
    <w:rsid w:val="0028382B"/>
    <w:rsid w:val="00283889"/>
    <w:rsid w:val="00283B25"/>
    <w:rsid w:val="00283B5F"/>
    <w:rsid w:val="00283D2A"/>
    <w:rsid w:val="00283D35"/>
    <w:rsid w:val="00283D93"/>
    <w:rsid w:val="00283E39"/>
    <w:rsid w:val="00283E82"/>
    <w:rsid w:val="00283EAA"/>
    <w:rsid w:val="00283F5D"/>
    <w:rsid w:val="0028411E"/>
    <w:rsid w:val="00284164"/>
    <w:rsid w:val="0028416F"/>
    <w:rsid w:val="002841C6"/>
    <w:rsid w:val="002841EE"/>
    <w:rsid w:val="00284252"/>
    <w:rsid w:val="0028439B"/>
    <w:rsid w:val="002844A7"/>
    <w:rsid w:val="002845B4"/>
    <w:rsid w:val="002845F8"/>
    <w:rsid w:val="00284965"/>
    <w:rsid w:val="00284B2A"/>
    <w:rsid w:val="00284CCF"/>
    <w:rsid w:val="00284E35"/>
    <w:rsid w:val="00284E3C"/>
    <w:rsid w:val="00284E57"/>
    <w:rsid w:val="00284EC8"/>
    <w:rsid w:val="00285069"/>
    <w:rsid w:val="00285215"/>
    <w:rsid w:val="0028526B"/>
    <w:rsid w:val="0028559A"/>
    <w:rsid w:val="00285651"/>
    <w:rsid w:val="00285719"/>
    <w:rsid w:val="0028579F"/>
    <w:rsid w:val="002857AF"/>
    <w:rsid w:val="00285B3D"/>
    <w:rsid w:val="00285CA1"/>
    <w:rsid w:val="00285D3E"/>
    <w:rsid w:val="00285D7B"/>
    <w:rsid w:val="00285DDE"/>
    <w:rsid w:val="00285DE3"/>
    <w:rsid w:val="00285EC7"/>
    <w:rsid w:val="0028603D"/>
    <w:rsid w:val="0028617D"/>
    <w:rsid w:val="0028622C"/>
    <w:rsid w:val="00286249"/>
    <w:rsid w:val="0028633C"/>
    <w:rsid w:val="00286401"/>
    <w:rsid w:val="0028646E"/>
    <w:rsid w:val="00286599"/>
    <w:rsid w:val="002865D4"/>
    <w:rsid w:val="00286685"/>
    <w:rsid w:val="0028680B"/>
    <w:rsid w:val="0028696D"/>
    <w:rsid w:val="00286A67"/>
    <w:rsid w:val="00286A6B"/>
    <w:rsid w:val="00286A88"/>
    <w:rsid w:val="00286B60"/>
    <w:rsid w:val="00286BC4"/>
    <w:rsid w:val="00286DD5"/>
    <w:rsid w:val="00286E94"/>
    <w:rsid w:val="00286F9A"/>
    <w:rsid w:val="0028704B"/>
    <w:rsid w:val="002870E2"/>
    <w:rsid w:val="00287244"/>
    <w:rsid w:val="002872C2"/>
    <w:rsid w:val="002872D5"/>
    <w:rsid w:val="0028733C"/>
    <w:rsid w:val="00287405"/>
    <w:rsid w:val="00287445"/>
    <w:rsid w:val="00287582"/>
    <w:rsid w:val="002875F8"/>
    <w:rsid w:val="002876BB"/>
    <w:rsid w:val="00287967"/>
    <w:rsid w:val="0028798C"/>
    <w:rsid w:val="00287B4A"/>
    <w:rsid w:val="00287B65"/>
    <w:rsid w:val="00287BFD"/>
    <w:rsid w:val="00287C11"/>
    <w:rsid w:val="00287C3E"/>
    <w:rsid w:val="00287CA0"/>
    <w:rsid w:val="00287D21"/>
    <w:rsid w:val="00287E57"/>
    <w:rsid w:val="00287F8C"/>
    <w:rsid w:val="00290095"/>
    <w:rsid w:val="00290276"/>
    <w:rsid w:val="0029034F"/>
    <w:rsid w:val="00290378"/>
    <w:rsid w:val="0029038D"/>
    <w:rsid w:val="002903BE"/>
    <w:rsid w:val="002903DD"/>
    <w:rsid w:val="002903E8"/>
    <w:rsid w:val="00290479"/>
    <w:rsid w:val="002904CE"/>
    <w:rsid w:val="002905F1"/>
    <w:rsid w:val="00290600"/>
    <w:rsid w:val="00290715"/>
    <w:rsid w:val="00290720"/>
    <w:rsid w:val="0029074A"/>
    <w:rsid w:val="0029093A"/>
    <w:rsid w:val="00290955"/>
    <w:rsid w:val="002909EB"/>
    <w:rsid w:val="00290B9A"/>
    <w:rsid w:val="00290D74"/>
    <w:rsid w:val="00290DE2"/>
    <w:rsid w:val="00290F21"/>
    <w:rsid w:val="00290F5D"/>
    <w:rsid w:val="00290F66"/>
    <w:rsid w:val="00290FC4"/>
    <w:rsid w:val="0029112F"/>
    <w:rsid w:val="00291168"/>
    <w:rsid w:val="002911B2"/>
    <w:rsid w:val="002911D0"/>
    <w:rsid w:val="002911EE"/>
    <w:rsid w:val="002912AF"/>
    <w:rsid w:val="002912FE"/>
    <w:rsid w:val="00291322"/>
    <w:rsid w:val="002914C2"/>
    <w:rsid w:val="002915B4"/>
    <w:rsid w:val="0029174E"/>
    <w:rsid w:val="002917F1"/>
    <w:rsid w:val="00291987"/>
    <w:rsid w:val="00291999"/>
    <w:rsid w:val="00291B05"/>
    <w:rsid w:val="00291B28"/>
    <w:rsid w:val="00291B7A"/>
    <w:rsid w:val="00291C5B"/>
    <w:rsid w:val="00291D3D"/>
    <w:rsid w:val="00291D74"/>
    <w:rsid w:val="00291EBB"/>
    <w:rsid w:val="00291FD2"/>
    <w:rsid w:val="00292057"/>
    <w:rsid w:val="00292225"/>
    <w:rsid w:val="00292293"/>
    <w:rsid w:val="00292358"/>
    <w:rsid w:val="002923A7"/>
    <w:rsid w:val="0029248B"/>
    <w:rsid w:val="00292514"/>
    <w:rsid w:val="00292527"/>
    <w:rsid w:val="0029258C"/>
    <w:rsid w:val="00292655"/>
    <w:rsid w:val="0029269F"/>
    <w:rsid w:val="0029270C"/>
    <w:rsid w:val="0029279D"/>
    <w:rsid w:val="002927C7"/>
    <w:rsid w:val="002927D4"/>
    <w:rsid w:val="0029285E"/>
    <w:rsid w:val="002928C5"/>
    <w:rsid w:val="00292AAF"/>
    <w:rsid w:val="00292BB8"/>
    <w:rsid w:val="00292BBF"/>
    <w:rsid w:val="00292C33"/>
    <w:rsid w:val="00292C6F"/>
    <w:rsid w:val="00292C87"/>
    <w:rsid w:val="00292E6F"/>
    <w:rsid w:val="00292E7F"/>
    <w:rsid w:val="00292F18"/>
    <w:rsid w:val="00292FCD"/>
    <w:rsid w:val="00292FEF"/>
    <w:rsid w:val="00293015"/>
    <w:rsid w:val="00293073"/>
    <w:rsid w:val="00293081"/>
    <w:rsid w:val="002930DC"/>
    <w:rsid w:val="002931A1"/>
    <w:rsid w:val="002932A7"/>
    <w:rsid w:val="00293300"/>
    <w:rsid w:val="00293305"/>
    <w:rsid w:val="002933D0"/>
    <w:rsid w:val="00293443"/>
    <w:rsid w:val="002934EC"/>
    <w:rsid w:val="00293507"/>
    <w:rsid w:val="00293681"/>
    <w:rsid w:val="0029369B"/>
    <w:rsid w:val="00293840"/>
    <w:rsid w:val="00293868"/>
    <w:rsid w:val="0029386B"/>
    <w:rsid w:val="0029386D"/>
    <w:rsid w:val="00293949"/>
    <w:rsid w:val="00293A4B"/>
    <w:rsid w:val="00293AA9"/>
    <w:rsid w:val="00293B39"/>
    <w:rsid w:val="00293B78"/>
    <w:rsid w:val="00293C50"/>
    <w:rsid w:val="00293CE4"/>
    <w:rsid w:val="00293D73"/>
    <w:rsid w:val="00293E12"/>
    <w:rsid w:val="00293E9C"/>
    <w:rsid w:val="00293EEF"/>
    <w:rsid w:val="0029409C"/>
    <w:rsid w:val="002941E6"/>
    <w:rsid w:val="00294236"/>
    <w:rsid w:val="002942A2"/>
    <w:rsid w:val="002942C7"/>
    <w:rsid w:val="0029435C"/>
    <w:rsid w:val="002943C8"/>
    <w:rsid w:val="00294405"/>
    <w:rsid w:val="002944BB"/>
    <w:rsid w:val="002944D7"/>
    <w:rsid w:val="00294635"/>
    <w:rsid w:val="002946D8"/>
    <w:rsid w:val="00294872"/>
    <w:rsid w:val="00294873"/>
    <w:rsid w:val="002949FB"/>
    <w:rsid w:val="00294A5A"/>
    <w:rsid w:val="00294AF1"/>
    <w:rsid w:val="00294AFD"/>
    <w:rsid w:val="00294B4E"/>
    <w:rsid w:val="00294B94"/>
    <w:rsid w:val="00294C02"/>
    <w:rsid w:val="00294C86"/>
    <w:rsid w:val="00294F02"/>
    <w:rsid w:val="00294F4C"/>
    <w:rsid w:val="00294FCD"/>
    <w:rsid w:val="00294FD0"/>
    <w:rsid w:val="0029515E"/>
    <w:rsid w:val="00295172"/>
    <w:rsid w:val="00295294"/>
    <w:rsid w:val="002952B0"/>
    <w:rsid w:val="002952BA"/>
    <w:rsid w:val="00295384"/>
    <w:rsid w:val="002953FE"/>
    <w:rsid w:val="002953FF"/>
    <w:rsid w:val="002954FE"/>
    <w:rsid w:val="00295840"/>
    <w:rsid w:val="00295962"/>
    <w:rsid w:val="002959C9"/>
    <w:rsid w:val="00295AEA"/>
    <w:rsid w:val="00295B17"/>
    <w:rsid w:val="00295B72"/>
    <w:rsid w:val="00295BF0"/>
    <w:rsid w:val="00295BF2"/>
    <w:rsid w:val="00295CC3"/>
    <w:rsid w:val="00295D1A"/>
    <w:rsid w:val="00295D48"/>
    <w:rsid w:val="00295D86"/>
    <w:rsid w:val="00295DB8"/>
    <w:rsid w:val="00295E43"/>
    <w:rsid w:val="00295E9A"/>
    <w:rsid w:val="00295ED6"/>
    <w:rsid w:val="00295EDB"/>
    <w:rsid w:val="00296012"/>
    <w:rsid w:val="00296077"/>
    <w:rsid w:val="002961C2"/>
    <w:rsid w:val="00296326"/>
    <w:rsid w:val="0029633D"/>
    <w:rsid w:val="0029645E"/>
    <w:rsid w:val="002964C0"/>
    <w:rsid w:val="002964FE"/>
    <w:rsid w:val="002965A6"/>
    <w:rsid w:val="0029669B"/>
    <w:rsid w:val="00296794"/>
    <w:rsid w:val="002968D1"/>
    <w:rsid w:val="002968F6"/>
    <w:rsid w:val="00296B84"/>
    <w:rsid w:val="00296C25"/>
    <w:rsid w:val="00296F16"/>
    <w:rsid w:val="00296FB5"/>
    <w:rsid w:val="00296FB7"/>
    <w:rsid w:val="0029706F"/>
    <w:rsid w:val="002970F3"/>
    <w:rsid w:val="0029722D"/>
    <w:rsid w:val="00297333"/>
    <w:rsid w:val="002973B5"/>
    <w:rsid w:val="0029745D"/>
    <w:rsid w:val="002974C0"/>
    <w:rsid w:val="002974E2"/>
    <w:rsid w:val="00297504"/>
    <w:rsid w:val="0029766B"/>
    <w:rsid w:val="002976A7"/>
    <w:rsid w:val="00297778"/>
    <w:rsid w:val="00297809"/>
    <w:rsid w:val="0029798C"/>
    <w:rsid w:val="00297B58"/>
    <w:rsid w:val="00297BA9"/>
    <w:rsid w:val="00297BC1"/>
    <w:rsid w:val="00297BF4"/>
    <w:rsid w:val="00297D3C"/>
    <w:rsid w:val="00297D41"/>
    <w:rsid w:val="00297DFB"/>
    <w:rsid w:val="00297E9B"/>
    <w:rsid w:val="00297ED8"/>
    <w:rsid w:val="00297F3B"/>
    <w:rsid w:val="00297FAA"/>
    <w:rsid w:val="00297FDB"/>
    <w:rsid w:val="002A0014"/>
    <w:rsid w:val="002A00F9"/>
    <w:rsid w:val="002A0259"/>
    <w:rsid w:val="002A0457"/>
    <w:rsid w:val="002A049E"/>
    <w:rsid w:val="002A05AE"/>
    <w:rsid w:val="002A05B7"/>
    <w:rsid w:val="002A05EC"/>
    <w:rsid w:val="002A060B"/>
    <w:rsid w:val="002A0776"/>
    <w:rsid w:val="002A07D8"/>
    <w:rsid w:val="002A0825"/>
    <w:rsid w:val="002A095A"/>
    <w:rsid w:val="002A09BA"/>
    <w:rsid w:val="002A0B73"/>
    <w:rsid w:val="002A0C37"/>
    <w:rsid w:val="002A0C82"/>
    <w:rsid w:val="002A0C8B"/>
    <w:rsid w:val="002A0CF4"/>
    <w:rsid w:val="002A0D0A"/>
    <w:rsid w:val="002A0D56"/>
    <w:rsid w:val="002A0DA8"/>
    <w:rsid w:val="002A0EF3"/>
    <w:rsid w:val="002A0FBA"/>
    <w:rsid w:val="002A1002"/>
    <w:rsid w:val="002A1020"/>
    <w:rsid w:val="002A113F"/>
    <w:rsid w:val="002A1298"/>
    <w:rsid w:val="002A138F"/>
    <w:rsid w:val="002A141B"/>
    <w:rsid w:val="002A1574"/>
    <w:rsid w:val="002A15C9"/>
    <w:rsid w:val="002A1656"/>
    <w:rsid w:val="002A1677"/>
    <w:rsid w:val="002A16BA"/>
    <w:rsid w:val="002A178E"/>
    <w:rsid w:val="002A18A4"/>
    <w:rsid w:val="002A18AD"/>
    <w:rsid w:val="002A18E3"/>
    <w:rsid w:val="002A194A"/>
    <w:rsid w:val="002A1965"/>
    <w:rsid w:val="002A1A89"/>
    <w:rsid w:val="002A1A9A"/>
    <w:rsid w:val="002A1C4D"/>
    <w:rsid w:val="002A1C64"/>
    <w:rsid w:val="002A1CA5"/>
    <w:rsid w:val="002A1D0C"/>
    <w:rsid w:val="002A1DB7"/>
    <w:rsid w:val="002A2225"/>
    <w:rsid w:val="002A2233"/>
    <w:rsid w:val="002A231B"/>
    <w:rsid w:val="002A23C4"/>
    <w:rsid w:val="002A23DA"/>
    <w:rsid w:val="002A2405"/>
    <w:rsid w:val="002A24EF"/>
    <w:rsid w:val="002A2597"/>
    <w:rsid w:val="002A25BC"/>
    <w:rsid w:val="002A25C6"/>
    <w:rsid w:val="002A27FC"/>
    <w:rsid w:val="002A2881"/>
    <w:rsid w:val="002A28E8"/>
    <w:rsid w:val="002A2AAF"/>
    <w:rsid w:val="002A2B5A"/>
    <w:rsid w:val="002A2CD2"/>
    <w:rsid w:val="002A2D16"/>
    <w:rsid w:val="002A2D91"/>
    <w:rsid w:val="002A2D95"/>
    <w:rsid w:val="002A2F02"/>
    <w:rsid w:val="002A2F6D"/>
    <w:rsid w:val="002A3054"/>
    <w:rsid w:val="002A30B6"/>
    <w:rsid w:val="002A30D0"/>
    <w:rsid w:val="002A3102"/>
    <w:rsid w:val="002A3210"/>
    <w:rsid w:val="002A342B"/>
    <w:rsid w:val="002A345E"/>
    <w:rsid w:val="002A3568"/>
    <w:rsid w:val="002A357E"/>
    <w:rsid w:val="002A35C7"/>
    <w:rsid w:val="002A35F3"/>
    <w:rsid w:val="002A3616"/>
    <w:rsid w:val="002A3755"/>
    <w:rsid w:val="002A3774"/>
    <w:rsid w:val="002A3775"/>
    <w:rsid w:val="002A378A"/>
    <w:rsid w:val="002A38BA"/>
    <w:rsid w:val="002A3A37"/>
    <w:rsid w:val="002A3A9B"/>
    <w:rsid w:val="002A3AAE"/>
    <w:rsid w:val="002A3B15"/>
    <w:rsid w:val="002A3C11"/>
    <w:rsid w:val="002A3C8F"/>
    <w:rsid w:val="002A3DB7"/>
    <w:rsid w:val="002A3DC6"/>
    <w:rsid w:val="002A3F28"/>
    <w:rsid w:val="002A4060"/>
    <w:rsid w:val="002A4090"/>
    <w:rsid w:val="002A40A2"/>
    <w:rsid w:val="002A4155"/>
    <w:rsid w:val="002A41C4"/>
    <w:rsid w:val="002A41E4"/>
    <w:rsid w:val="002A42C8"/>
    <w:rsid w:val="002A42E9"/>
    <w:rsid w:val="002A4341"/>
    <w:rsid w:val="002A4344"/>
    <w:rsid w:val="002A4418"/>
    <w:rsid w:val="002A44EC"/>
    <w:rsid w:val="002A45BD"/>
    <w:rsid w:val="002A4603"/>
    <w:rsid w:val="002A47F4"/>
    <w:rsid w:val="002A48DA"/>
    <w:rsid w:val="002A48EC"/>
    <w:rsid w:val="002A49C7"/>
    <w:rsid w:val="002A4BF5"/>
    <w:rsid w:val="002A4D21"/>
    <w:rsid w:val="002A4D78"/>
    <w:rsid w:val="002A4FCE"/>
    <w:rsid w:val="002A504E"/>
    <w:rsid w:val="002A50C3"/>
    <w:rsid w:val="002A50EE"/>
    <w:rsid w:val="002A5129"/>
    <w:rsid w:val="002A51C7"/>
    <w:rsid w:val="002A5225"/>
    <w:rsid w:val="002A5227"/>
    <w:rsid w:val="002A5383"/>
    <w:rsid w:val="002A53DF"/>
    <w:rsid w:val="002A53F6"/>
    <w:rsid w:val="002A5604"/>
    <w:rsid w:val="002A5628"/>
    <w:rsid w:val="002A5700"/>
    <w:rsid w:val="002A57F2"/>
    <w:rsid w:val="002A58BE"/>
    <w:rsid w:val="002A58E6"/>
    <w:rsid w:val="002A5939"/>
    <w:rsid w:val="002A596B"/>
    <w:rsid w:val="002A59C1"/>
    <w:rsid w:val="002A5A46"/>
    <w:rsid w:val="002A5ABD"/>
    <w:rsid w:val="002A5B9A"/>
    <w:rsid w:val="002A5C87"/>
    <w:rsid w:val="002A5CEB"/>
    <w:rsid w:val="002A5D3B"/>
    <w:rsid w:val="002A5D7A"/>
    <w:rsid w:val="002A5E27"/>
    <w:rsid w:val="002A5F09"/>
    <w:rsid w:val="002A5F22"/>
    <w:rsid w:val="002A5F30"/>
    <w:rsid w:val="002A5FD7"/>
    <w:rsid w:val="002A6116"/>
    <w:rsid w:val="002A61EB"/>
    <w:rsid w:val="002A61F9"/>
    <w:rsid w:val="002A626A"/>
    <w:rsid w:val="002A6435"/>
    <w:rsid w:val="002A64CD"/>
    <w:rsid w:val="002A6592"/>
    <w:rsid w:val="002A6730"/>
    <w:rsid w:val="002A679C"/>
    <w:rsid w:val="002A67A3"/>
    <w:rsid w:val="002A67B9"/>
    <w:rsid w:val="002A680C"/>
    <w:rsid w:val="002A6987"/>
    <w:rsid w:val="002A6ADA"/>
    <w:rsid w:val="002A6B09"/>
    <w:rsid w:val="002A6B10"/>
    <w:rsid w:val="002A6C7E"/>
    <w:rsid w:val="002A6CCA"/>
    <w:rsid w:val="002A6EC1"/>
    <w:rsid w:val="002A6F53"/>
    <w:rsid w:val="002A6FE1"/>
    <w:rsid w:val="002A70AD"/>
    <w:rsid w:val="002A71FC"/>
    <w:rsid w:val="002A7274"/>
    <w:rsid w:val="002A72F5"/>
    <w:rsid w:val="002A737A"/>
    <w:rsid w:val="002A73FF"/>
    <w:rsid w:val="002A7408"/>
    <w:rsid w:val="002A7423"/>
    <w:rsid w:val="002A7603"/>
    <w:rsid w:val="002A77DD"/>
    <w:rsid w:val="002A789C"/>
    <w:rsid w:val="002A794B"/>
    <w:rsid w:val="002A795A"/>
    <w:rsid w:val="002A7977"/>
    <w:rsid w:val="002A7B50"/>
    <w:rsid w:val="002A7C28"/>
    <w:rsid w:val="002A7C38"/>
    <w:rsid w:val="002A7CF3"/>
    <w:rsid w:val="002A7D9B"/>
    <w:rsid w:val="002A7E35"/>
    <w:rsid w:val="002A7EBA"/>
    <w:rsid w:val="002A7F73"/>
    <w:rsid w:val="002A7FE3"/>
    <w:rsid w:val="002B0044"/>
    <w:rsid w:val="002B024A"/>
    <w:rsid w:val="002B0466"/>
    <w:rsid w:val="002B0541"/>
    <w:rsid w:val="002B0607"/>
    <w:rsid w:val="002B0765"/>
    <w:rsid w:val="002B08F3"/>
    <w:rsid w:val="002B095B"/>
    <w:rsid w:val="002B0985"/>
    <w:rsid w:val="002B0AEF"/>
    <w:rsid w:val="002B0B30"/>
    <w:rsid w:val="002B0CA8"/>
    <w:rsid w:val="002B0CD8"/>
    <w:rsid w:val="002B0CE5"/>
    <w:rsid w:val="002B0F58"/>
    <w:rsid w:val="002B0FA9"/>
    <w:rsid w:val="002B118F"/>
    <w:rsid w:val="002B11C7"/>
    <w:rsid w:val="002B11D0"/>
    <w:rsid w:val="002B121D"/>
    <w:rsid w:val="002B1293"/>
    <w:rsid w:val="002B1310"/>
    <w:rsid w:val="002B1329"/>
    <w:rsid w:val="002B137F"/>
    <w:rsid w:val="002B1492"/>
    <w:rsid w:val="002B155E"/>
    <w:rsid w:val="002B1582"/>
    <w:rsid w:val="002B15D3"/>
    <w:rsid w:val="002B16E9"/>
    <w:rsid w:val="002B16EF"/>
    <w:rsid w:val="002B1712"/>
    <w:rsid w:val="002B17B1"/>
    <w:rsid w:val="002B18E1"/>
    <w:rsid w:val="002B1AAE"/>
    <w:rsid w:val="002B1B93"/>
    <w:rsid w:val="002B1B98"/>
    <w:rsid w:val="002B1BDD"/>
    <w:rsid w:val="002B1BED"/>
    <w:rsid w:val="002B1C03"/>
    <w:rsid w:val="002B1CCE"/>
    <w:rsid w:val="002B1D09"/>
    <w:rsid w:val="002B1D0D"/>
    <w:rsid w:val="002B1D6C"/>
    <w:rsid w:val="002B1DAC"/>
    <w:rsid w:val="002B2086"/>
    <w:rsid w:val="002B210C"/>
    <w:rsid w:val="002B2170"/>
    <w:rsid w:val="002B2252"/>
    <w:rsid w:val="002B2489"/>
    <w:rsid w:val="002B2551"/>
    <w:rsid w:val="002B25D6"/>
    <w:rsid w:val="002B2620"/>
    <w:rsid w:val="002B2A68"/>
    <w:rsid w:val="002B2A8C"/>
    <w:rsid w:val="002B2B87"/>
    <w:rsid w:val="002B2C09"/>
    <w:rsid w:val="002B2CA5"/>
    <w:rsid w:val="002B2DE1"/>
    <w:rsid w:val="002B2DE9"/>
    <w:rsid w:val="002B2E7F"/>
    <w:rsid w:val="002B2FB0"/>
    <w:rsid w:val="002B308A"/>
    <w:rsid w:val="002B30C1"/>
    <w:rsid w:val="002B318F"/>
    <w:rsid w:val="002B33AF"/>
    <w:rsid w:val="002B33EB"/>
    <w:rsid w:val="002B3524"/>
    <w:rsid w:val="002B3545"/>
    <w:rsid w:val="002B360A"/>
    <w:rsid w:val="002B3699"/>
    <w:rsid w:val="002B36C2"/>
    <w:rsid w:val="002B3856"/>
    <w:rsid w:val="002B3927"/>
    <w:rsid w:val="002B3967"/>
    <w:rsid w:val="002B3B37"/>
    <w:rsid w:val="002B3C51"/>
    <w:rsid w:val="002B3D36"/>
    <w:rsid w:val="002B3D8D"/>
    <w:rsid w:val="002B3D97"/>
    <w:rsid w:val="002B3E83"/>
    <w:rsid w:val="002B3EF2"/>
    <w:rsid w:val="002B3F6D"/>
    <w:rsid w:val="002B3FAA"/>
    <w:rsid w:val="002B40AA"/>
    <w:rsid w:val="002B42D8"/>
    <w:rsid w:val="002B42EC"/>
    <w:rsid w:val="002B42F7"/>
    <w:rsid w:val="002B4325"/>
    <w:rsid w:val="002B43EF"/>
    <w:rsid w:val="002B4407"/>
    <w:rsid w:val="002B44D2"/>
    <w:rsid w:val="002B452B"/>
    <w:rsid w:val="002B4588"/>
    <w:rsid w:val="002B45C0"/>
    <w:rsid w:val="002B45F1"/>
    <w:rsid w:val="002B46CA"/>
    <w:rsid w:val="002B4802"/>
    <w:rsid w:val="002B4915"/>
    <w:rsid w:val="002B4931"/>
    <w:rsid w:val="002B4B47"/>
    <w:rsid w:val="002B4BED"/>
    <w:rsid w:val="002B4DA6"/>
    <w:rsid w:val="002B4E49"/>
    <w:rsid w:val="002B4F32"/>
    <w:rsid w:val="002B4F5F"/>
    <w:rsid w:val="002B4F98"/>
    <w:rsid w:val="002B5005"/>
    <w:rsid w:val="002B502D"/>
    <w:rsid w:val="002B50C3"/>
    <w:rsid w:val="002B52FC"/>
    <w:rsid w:val="002B5301"/>
    <w:rsid w:val="002B53A7"/>
    <w:rsid w:val="002B53C8"/>
    <w:rsid w:val="002B54C6"/>
    <w:rsid w:val="002B550C"/>
    <w:rsid w:val="002B552A"/>
    <w:rsid w:val="002B5576"/>
    <w:rsid w:val="002B570D"/>
    <w:rsid w:val="002B5772"/>
    <w:rsid w:val="002B5785"/>
    <w:rsid w:val="002B5892"/>
    <w:rsid w:val="002B58E6"/>
    <w:rsid w:val="002B59A9"/>
    <w:rsid w:val="002B5A03"/>
    <w:rsid w:val="002B5AEB"/>
    <w:rsid w:val="002B5B29"/>
    <w:rsid w:val="002B5BED"/>
    <w:rsid w:val="002B5D92"/>
    <w:rsid w:val="002B5DBC"/>
    <w:rsid w:val="002B5DDB"/>
    <w:rsid w:val="002B5F39"/>
    <w:rsid w:val="002B5FBB"/>
    <w:rsid w:val="002B61B3"/>
    <w:rsid w:val="002B61EC"/>
    <w:rsid w:val="002B61F6"/>
    <w:rsid w:val="002B62F0"/>
    <w:rsid w:val="002B6374"/>
    <w:rsid w:val="002B63C5"/>
    <w:rsid w:val="002B6851"/>
    <w:rsid w:val="002B6869"/>
    <w:rsid w:val="002B688A"/>
    <w:rsid w:val="002B6920"/>
    <w:rsid w:val="002B6960"/>
    <w:rsid w:val="002B6B2E"/>
    <w:rsid w:val="002B6C5F"/>
    <w:rsid w:val="002B6CF5"/>
    <w:rsid w:val="002B6D3E"/>
    <w:rsid w:val="002B6D42"/>
    <w:rsid w:val="002B6D53"/>
    <w:rsid w:val="002B6DEA"/>
    <w:rsid w:val="002B6E24"/>
    <w:rsid w:val="002B6F87"/>
    <w:rsid w:val="002B6F91"/>
    <w:rsid w:val="002B70A5"/>
    <w:rsid w:val="002B71A5"/>
    <w:rsid w:val="002B736D"/>
    <w:rsid w:val="002B7395"/>
    <w:rsid w:val="002B7423"/>
    <w:rsid w:val="002B7560"/>
    <w:rsid w:val="002B75C4"/>
    <w:rsid w:val="002B7897"/>
    <w:rsid w:val="002B78F2"/>
    <w:rsid w:val="002B79B0"/>
    <w:rsid w:val="002B79BF"/>
    <w:rsid w:val="002B7C4D"/>
    <w:rsid w:val="002B7C9F"/>
    <w:rsid w:val="002B7CAA"/>
    <w:rsid w:val="002B7CBD"/>
    <w:rsid w:val="002B7CDE"/>
    <w:rsid w:val="002B7D58"/>
    <w:rsid w:val="002B7DF2"/>
    <w:rsid w:val="002B7E39"/>
    <w:rsid w:val="002B7EF0"/>
    <w:rsid w:val="002B7EFA"/>
    <w:rsid w:val="002C0088"/>
    <w:rsid w:val="002C00DA"/>
    <w:rsid w:val="002C01CF"/>
    <w:rsid w:val="002C02EF"/>
    <w:rsid w:val="002C0318"/>
    <w:rsid w:val="002C031C"/>
    <w:rsid w:val="002C0567"/>
    <w:rsid w:val="002C0592"/>
    <w:rsid w:val="002C05A5"/>
    <w:rsid w:val="002C07C5"/>
    <w:rsid w:val="002C090E"/>
    <w:rsid w:val="002C09CB"/>
    <w:rsid w:val="002C09EF"/>
    <w:rsid w:val="002C0A4C"/>
    <w:rsid w:val="002C0A54"/>
    <w:rsid w:val="002C0B9F"/>
    <w:rsid w:val="002C0BD8"/>
    <w:rsid w:val="002C0DFF"/>
    <w:rsid w:val="002C0E20"/>
    <w:rsid w:val="002C0F20"/>
    <w:rsid w:val="002C0F79"/>
    <w:rsid w:val="002C1140"/>
    <w:rsid w:val="002C1231"/>
    <w:rsid w:val="002C1275"/>
    <w:rsid w:val="002C1276"/>
    <w:rsid w:val="002C1322"/>
    <w:rsid w:val="002C1396"/>
    <w:rsid w:val="002C151E"/>
    <w:rsid w:val="002C15BD"/>
    <w:rsid w:val="002C163C"/>
    <w:rsid w:val="002C1673"/>
    <w:rsid w:val="002C16B1"/>
    <w:rsid w:val="002C1778"/>
    <w:rsid w:val="002C17BF"/>
    <w:rsid w:val="002C17ED"/>
    <w:rsid w:val="002C1AD0"/>
    <w:rsid w:val="002C1B23"/>
    <w:rsid w:val="002C1BCA"/>
    <w:rsid w:val="002C1BEF"/>
    <w:rsid w:val="002C1C8C"/>
    <w:rsid w:val="002C1CDB"/>
    <w:rsid w:val="002C1D7C"/>
    <w:rsid w:val="002C1D8E"/>
    <w:rsid w:val="002C1DE7"/>
    <w:rsid w:val="002C1DF8"/>
    <w:rsid w:val="002C1F22"/>
    <w:rsid w:val="002C212E"/>
    <w:rsid w:val="002C2132"/>
    <w:rsid w:val="002C2147"/>
    <w:rsid w:val="002C21CA"/>
    <w:rsid w:val="002C22B0"/>
    <w:rsid w:val="002C230D"/>
    <w:rsid w:val="002C233C"/>
    <w:rsid w:val="002C2526"/>
    <w:rsid w:val="002C2588"/>
    <w:rsid w:val="002C2604"/>
    <w:rsid w:val="002C2791"/>
    <w:rsid w:val="002C27C9"/>
    <w:rsid w:val="002C2898"/>
    <w:rsid w:val="002C28C5"/>
    <w:rsid w:val="002C28DF"/>
    <w:rsid w:val="002C291A"/>
    <w:rsid w:val="002C2978"/>
    <w:rsid w:val="002C2A53"/>
    <w:rsid w:val="002C2B28"/>
    <w:rsid w:val="002C2BA7"/>
    <w:rsid w:val="002C2C2F"/>
    <w:rsid w:val="002C2CB6"/>
    <w:rsid w:val="002C2D19"/>
    <w:rsid w:val="002C2D8E"/>
    <w:rsid w:val="002C2E16"/>
    <w:rsid w:val="002C2F73"/>
    <w:rsid w:val="002C303A"/>
    <w:rsid w:val="002C335F"/>
    <w:rsid w:val="002C3507"/>
    <w:rsid w:val="002C36B1"/>
    <w:rsid w:val="002C3717"/>
    <w:rsid w:val="002C3787"/>
    <w:rsid w:val="002C37ED"/>
    <w:rsid w:val="002C395C"/>
    <w:rsid w:val="002C3A34"/>
    <w:rsid w:val="002C3A49"/>
    <w:rsid w:val="002C3AD0"/>
    <w:rsid w:val="002C3BA6"/>
    <w:rsid w:val="002C3BC4"/>
    <w:rsid w:val="002C3D0F"/>
    <w:rsid w:val="002C3DAE"/>
    <w:rsid w:val="002C3E15"/>
    <w:rsid w:val="002C3FD1"/>
    <w:rsid w:val="002C4123"/>
    <w:rsid w:val="002C43C2"/>
    <w:rsid w:val="002C445C"/>
    <w:rsid w:val="002C44FC"/>
    <w:rsid w:val="002C4666"/>
    <w:rsid w:val="002C4729"/>
    <w:rsid w:val="002C48B6"/>
    <w:rsid w:val="002C4913"/>
    <w:rsid w:val="002C4A73"/>
    <w:rsid w:val="002C4ADB"/>
    <w:rsid w:val="002C4B0E"/>
    <w:rsid w:val="002C4B7D"/>
    <w:rsid w:val="002C4BA2"/>
    <w:rsid w:val="002C4C0E"/>
    <w:rsid w:val="002C4D51"/>
    <w:rsid w:val="002C4DDB"/>
    <w:rsid w:val="002C504D"/>
    <w:rsid w:val="002C5082"/>
    <w:rsid w:val="002C50C9"/>
    <w:rsid w:val="002C50D7"/>
    <w:rsid w:val="002C5166"/>
    <w:rsid w:val="002C5188"/>
    <w:rsid w:val="002C5192"/>
    <w:rsid w:val="002C51D6"/>
    <w:rsid w:val="002C5218"/>
    <w:rsid w:val="002C52D4"/>
    <w:rsid w:val="002C530D"/>
    <w:rsid w:val="002C538D"/>
    <w:rsid w:val="002C5422"/>
    <w:rsid w:val="002C56EC"/>
    <w:rsid w:val="002C573D"/>
    <w:rsid w:val="002C57B2"/>
    <w:rsid w:val="002C582C"/>
    <w:rsid w:val="002C5B47"/>
    <w:rsid w:val="002C5C53"/>
    <w:rsid w:val="002C5D3C"/>
    <w:rsid w:val="002C5DF1"/>
    <w:rsid w:val="002C5E93"/>
    <w:rsid w:val="002C5F51"/>
    <w:rsid w:val="002C61FB"/>
    <w:rsid w:val="002C6234"/>
    <w:rsid w:val="002C6323"/>
    <w:rsid w:val="002C63C0"/>
    <w:rsid w:val="002C64D2"/>
    <w:rsid w:val="002C6572"/>
    <w:rsid w:val="002C67A9"/>
    <w:rsid w:val="002C68C3"/>
    <w:rsid w:val="002C690F"/>
    <w:rsid w:val="002C6943"/>
    <w:rsid w:val="002C69A0"/>
    <w:rsid w:val="002C6A7B"/>
    <w:rsid w:val="002C6B14"/>
    <w:rsid w:val="002C6B92"/>
    <w:rsid w:val="002C6BA5"/>
    <w:rsid w:val="002C6BEF"/>
    <w:rsid w:val="002C6C1D"/>
    <w:rsid w:val="002C6DB7"/>
    <w:rsid w:val="002C6F8E"/>
    <w:rsid w:val="002C713D"/>
    <w:rsid w:val="002C7244"/>
    <w:rsid w:val="002C72BE"/>
    <w:rsid w:val="002C72FE"/>
    <w:rsid w:val="002C73A7"/>
    <w:rsid w:val="002C73B2"/>
    <w:rsid w:val="002C73F3"/>
    <w:rsid w:val="002C7491"/>
    <w:rsid w:val="002C74F8"/>
    <w:rsid w:val="002C757A"/>
    <w:rsid w:val="002C7719"/>
    <w:rsid w:val="002C77BB"/>
    <w:rsid w:val="002C77C8"/>
    <w:rsid w:val="002C7827"/>
    <w:rsid w:val="002C790C"/>
    <w:rsid w:val="002C7937"/>
    <w:rsid w:val="002C7ABF"/>
    <w:rsid w:val="002C7AD1"/>
    <w:rsid w:val="002C7AE7"/>
    <w:rsid w:val="002C7BAD"/>
    <w:rsid w:val="002C7BD5"/>
    <w:rsid w:val="002C7D24"/>
    <w:rsid w:val="002C7D82"/>
    <w:rsid w:val="002C7E86"/>
    <w:rsid w:val="002C7EB2"/>
    <w:rsid w:val="002C7F79"/>
    <w:rsid w:val="002C7F94"/>
    <w:rsid w:val="002C7FE1"/>
    <w:rsid w:val="002D0156"/>
    <w:rsid w:val="002D0208"/>
    <w:rsid w:val="002D0250"/>
    <w:rsid w:val="002D026F"/>
    <w:rsid w:val="002D035C"/>
    <w:rsid w:val="002D041A"/>
    <w:rsid w:val="002D0528"/>
    <w:rsid w:val="002D063C"/>
    <w:rsid w:val="002D064C"/>
    <w:rsid w:val="002D07D0"/>
    <w:rsid w:val="002D085F"/>
    <w:rsid w:val="002D08BD"/>
    <w:rsid w:val="002D09B1"/>
    <w:rsid w:val="002D0A77"/>
    <w:rsid w:val="002D0ABC"/>
    <w:rsid w:val="002D0DDA"/>
    <w:rsid w:val="002D0FEC"/>
    <w:rsid w:val="002D1138"/>
    <w:rsid w:val="002D1357"/>
    <w:rsid w:val="002D14C8"/>
    <w:rsid w:val="002D1525"/>
    <w:rsid w:val="002D156D"/>
    <w:rsid w:val="002D1616"/>
    <w:rsid w:val="002D1670"/>
    <w:rsid w:val="002D16FA"/>
    <w:rsid w:val="002D182B"/>
    <w:rsid w:val="002D18B8"/>
    <w:rsid w:val="002D18CC"/>
    <w:rsid w:val="002D1994"/>
    <w:rsid w:val="002D1A66"/>
    <w:rsid w:val="002D1B42"/>
    <w:rsid w:val="002D1BB1"/>
    <w:rsid w:val="002D1CF0"/>
    <w:rsid w:val="002D1D6B"/>
    <w:rsid w:val="002D1FE0"/>
    <w:rsid w:val="002D2031"/>
    <w:rsid w:val="002D2114"/>
    <w:rsid w:val="002D215C"/>
    <w:rsid w:val="002D22A4"/>
    <w:rsid w:val="002D2328"/>
    <w:rsid w:val="002D2335"/>
    <w:rsid w:val="002D2358"/>
    <w:rsid w:val="002D23AE"/>
    <w:rsid w:val="002D23C9"/>
    <w:rsid w:val="002D2445"/>
    <w:rsid w:val="002D247D"/>
    <w:rsid w:val="002D24C6"/>
    <w:rsid w:val="002D25D3"/>
    <w:rsid w:val="002D26D5"/>
    <w:rsid w:val="002D273B"/>
    <w:rsid w:val="002D2750"/>
    <w:rsid w:val="002D27F6"/>
    <w:rsid w:val="002D285B"/>
    <w:rsid w:val="002D29D5"/>
    <w:rsid w:val="002D2AE9"/>
    <w:rsid w:val="002D2B29"/>
    <w:rsid w:val="002D2B3A"/>
    <w:rsid w:val="002D2BAB"/>
    <w:rsid w:val="002D2BBD"/>
    <w:rsid w:val="002D2D7F"/>
    <w:rsid w:val="002D2DB2"/>
    <w:rsid w:val="002D2E1D"/>
    <w:rsid w:val="002D2E8C"/>
    <w:rsid w:val="002D2F01"/>
    <w:rsid w:val="002D2FC1"/>
    <w:rsid w:val="002D3045"/>
    <w:rsid w:val="002D30CF"/>
    <w:rsid w:val="002D3141"/>
    <w:rsid w:val="002D314B"/>
    <w:rsid w:val="002D33B3"/>
    <w:rsid w:val="002D33FD"/>
    <w:rsid w:val="002D34DF"/>
    <w:rsid w:val="002D34FD"/>
    <w:rsid w:val="002D3512"/>
    <w:rsid w:val="002D3630"/>
    <w:rsid w:val="002D3672"/>
    <w:rsid w:val="002D37DA"/>
    <w:rsid w:val="002D382C"/>
    <w:rsid w:val="002D385E"/>
    <w:rsid w:val="002D38A2"/>
    <w:rsid w:val="002D3921"/>
    <w:rsid w:val="002D397F"/>
    <w:rsid w:val="002D3992"/>
    <w:rsid w:val="002D3A67"/>
    <w:rsid w:val="002D3B57"/>
    <w:rsid w:val="002D3BCC"/>
    <w:rsid w:val="002D3BFB"/>
    <w:rsid w:val="002D3C4E"/>
    <w:rsid w:val="002D3CE9"/>
    <w:rsid w:val="002D3CEB"/>
    <w:rsid w:val="002D3EDB"/>
    <w:rsid w:val="002D4101"/>
    <w:rsid w:val="002D4156"/>
    <w:rsid w:val="002D45FE"/>
    <w:rsid w:val="002D463E"/>
    <w:rsid w:val="002D46AF"/>
    <w:rsid w:val="002D4716"/>
    <w:rsid w:val="002D4963"/>
    <w:rsid w:val="002D49C4"/>
    <w:rsid w:val="002D49F8"/>
    <w:rsid w:val="002D4A62"/>
    <w:rsid w:val="002D4BD1"/>
    <w:rsid w:val="002D4CA8"/>
    <w:rsid w:val="002D4D33"/>
    <w:rsid w:val="002D4DAB"/>
    <w:rsid w:val="002D4E17"/>
    <w:rsid w:val="002D500E"/>
    <w:rsid w:val="002D504B"/>
    <w:rsid w:val="002D504E"/>
    <w:rsid w:val="002D511A"/>
    <w:rsid w:val="002D51E6"/>
    <w:rsid w:val="002D52E5"/>
    <w:rsid w:val="002D5353"/>
    <w:rsid w:val="002D5379"/>
    <w:rsid w:val="002D53F4"/>
    <w:rsid w:val="002D548D"/>
    <w:rsid w:val="002D5631"/>
    <w:rsid w:val="002D5637"/>
    <w:rsid w:val="002D5776"/>
    <w:rsid w:val="002D5830"/>
    <w:rsid w:val="002D583A"/>
    <w:rsid w:val="002D5A0B"/>
    <w:rsid w:val="002D5CEB"/>
    <w:rsid w:val="002D5D87"/>
    <w:rsid w:val="002D5E94"/>
    <w:rsid w:val="002D5F15"/>
    <w:rsid w:val="002D5FA3"/>
    <w:rsid w:val="002D5FFB"/>
    <w:rsid w:val="002D6112"/>
    <w:rsid w:val="002D623C"/>
    <w:rsid w:val="002D62B6"/>
    <w:rsid w:val="002D62C0"/>
    <w:rsid w:val="002D648C"/>
    <w:rsid w:val="002D6526"/>
    <w:rsid w:val="002D65AC"/>
    <w:rsid w:val="002D65B8"/>
    <w:rsid w:val="002D65D8"/>
    <w:rsid w:val="002D665F"/>
    <w:rsid w:val="002D66EE"/>
    <w:rsid w:val="002D6728"/>
    <w:rsid w:val="002D6947"/>
    <w:rsid w:val="002D6984"/>
    <w:rsid w:val="002D6C3B"/>
    <w:rsid w:val="002D6C4A"/>
    <w:rsid w:val="002D6C83"/>
    <w:rsid w:val="002D6C87"/>
    <w:rsid w:val="002D6E34"/>
    <w:rsid w:val="002D6E6C"/>
    <w:rsid w:val="002D7077"/>
    <w:rsid w:val="002D7149"/>
    <w:rsid w:val="002D718B"/>
    <w:rsid w:val="002D7228"/>
    <w:rsid w:val="002D7277"/>
    <w:rsid w:val="002D72EF"/>
    <w:rsid w:val="002D73C4"/>
    <w:rsid w:val="002D73CD"/>
    <w:rsid w:val="002D7444"/>
    <w:rsid w:val="002D750E"/>
    <w:rsid w:val="002D7578"/>
    <w:rsid w:val="002D75D7"/>
    <w:rsid w:val="002D7602"/>
    <w:rsid w:val="002D7621"/>
    <w:rsid w:val="002D7731"/>
    <w:rsid w:val="002D777D"/>
    <w:rsid w:val="002D787A"/>
    <w:rsid w:val="002D78D7"/>
    <w:rsid w:val="002D78E8"/>
    <w:rsid w:val="002D793F"/>
    <w:rsid w:val="002D7A20"/>
    <w:rsid w:val="002D7A22"/>
    <w:rsid w:val="002D7B6E"/>
    <w:rsid w:val="002D7B7D"/>
    <w:rsid w:val="002D7B84"/>
    <w:rsid w:val="002D7BF6"/>
    <w:rsid w:val="002D7C51"/>
    <w:rsid w:val="002D7D27"/>
    <w:rsid w:val="002D7D48"/>
    <w:rsid w:val="002D7DB9"/>
    <w:rsid w:val="002D7DBF"/>
    <w:rsid w:val="002D7EAF"/>
    <w:rsid w:val="002D7F32"/>
    <w:rsid w:val="002D7F88"/>
    <w:rsid w:val="002E0071"/>
    <w:rsid w:val="002E00A7"/>
    <w:rsid w:val="002E016E"/>
    <w:rsid w:val="002E017D"/>
    <w:rsid w:val="002E023D"/>
    <w:rsid w:val="002E0287"/>
    <w:rsid w:val="002E0294"/>
    <w:rsid w:val="002E0404"/>
    <w:rsid w:val="002E0602"/>
    <w:rsid w:val="002E0661"/>
    <w:rsid w:val="002E0802"/>
    <w:rsid w:val="002E086E"/>
    <w:rsid w:val="002E091C"/>
    <w:rsid w:val="002E0979"/>
    <w:rsid w:val="002E0BC1"/>
    <w:rsid w:val="002E0BCA"/>
    <w:rsid w:val="002E0E01"/>
    <w:rsid w:val="002E0E63"/>
    <w:rsid w:val="002E0F75"/>
    <w:rsid w:val="002E107A"/>
    <w:rsid w:val="002E1232"/>
    <w:rsid w:val="002E13FE"/>
    <w:rsid w:val="002E14E2"/>
    <w:rsid w:val="002E15E5"/>
    <w:rsid w:val="002E15FC"/>
    <w:rsid w:val="002E175C"/>
    <w:rsid w:val="002E183E"/>
    <w:rsid w:val="002E1AE5"/>
    <w:rsid w:val="002E1B03"/>
    <w:rsid w:val="002E1B6C"/>
    <w:rsid w:val="002E1BF7"/>
    <w:rsid w:val="002E1CC0"/>
    <w:rsid w:val="002E1DEB"/>
    <w:rsid w:val="002E1F27"/>
    <w:rsid w:val="002E1F62"/>
    <w:rsid w:val="002E2014"/>
    <w:rsid w:val="002E207B"/>
    <w:rsid w:val="002E22AA"/>
    <w:rsid w:val="002E22C8"/>
    <w:rsid w:val="002E23EE"/>
    <w:rsid w:val="002E2551"/>
    <w:rsid w:val="002E25CA"/>
    <w:rsid w:val="002E26B9"/>
    <w:rsid w:val="002E270E"/>
    <w:rsid w:val="002E289C"/>
    <w:rsid w:val="002E29F1"/>
    <w:rsid w:val="002E2AD5"/>
    <w:rsid w:val="002E2B6A"/>
    <w:rsid w:val="002E2D2D"/>
    <w:rsid w:val="002E2D56"/>
    <w:rsid w:val="002E2D73"/>
    <w:rsid w:val="002E2DD0"/>
    <w:rsid w:val="002E2DE2"/>
    <w:rsid w:val="002E3018"/>
    <w:rsid w:val="002E3112"/>
    <w:rsid w:val="002E3144"/>
    <w:rsid w:val="002E3146"/>
    <w:rsid w:val="002E316F"/>
    <w:rsid w:val="002E329C"/>
    <w:rsid w:val="002E34D8"/>
    <w:rsid w:val="002E357D"/>
    <w:rsid w:val="002E36D7"/>
    <w:rsid w:val="002E36F4"/>
    <w:rsid w:val="002E379F"/>
    <w:rsid w:val="002E37D2"/>
    <w:rsid w:val="002E3821"/>
    <w:rsid w:val="002E391E"/>
    <w:rsid w:val="002E3A3F"/>
    <w:rsid w:val="002E3A86"/>
    <w:rsid w:val="002E3B23"/>
    <w:rsid w:val="002E3C77"/>
    <w:rsid w:val="002E3D93"/>
    <w:rsid w:val="002E3E14"/>
    <w:rsid w:val="002E3ED9"/>
    <w:rsid w:val="002E3FD7"/>
    <w:rsid w:val="002E42BB"/>
    <w:rsid w:val="002E43C0"/>
    <w:rsid w:val="002E43CC"/>
    <w:rsid w:val="002E4643"/>
    <w:rsid w:val="002E4732"/>
    <w:rsid w:val="002E480D"/>
    <w:rsid w:val="002E4920"/>
    <w:rsid w:val="002E49C2"/>
    <w:rsid w:val="002E4A14"/>
    <w:rsid w:val="002E4AEB"/>
    <w:rsid w:val="002E4B99"/>
    <w:rsid w:val="002E4BC8"/>
    <w:rsid w:val="002E4DAB"/>
    <w:rsid w:val="002E4DC3"/>
    <w:rsid w:val="002E4E43"/>
    <w:rsid w:val="002E4EA3"/>
    <w:rsid w:val="002E51FA"/>
    <w:rsid w:val="002E52F5"/>
    <w:rsid w:val="002E52FB"/>
    <w:rsid w:val="002E5316"/>
    <w:rsid w:val="002E536B"/>
    <w:rsid w:val="002E5483"/>
    <w:rsid w:val="002E5522"/>
    <w:rsid w:val="002E556B"/>
    <w:rsid w:val="002E55FE"/>
    <w:rsid w:val="002E563A"/>
    <w:rsid w:val="002E5642"/>
    <w:rsid w:val="002E56DB"/>
    <w:rsid w:val="002E587A"/>
    <w:rsid w:val="002E58D3"/>
    <w:rsid w:val="002E59A9"/>
    <w:rsid w:val="002E59BA"/>
    <w:rsid w:val="002E5AB6"/>
    <w:rsid w:val="002E5B69"/>
    <w:rsid w:val="002E5BCC"/>
    <w:rsid w:val="002E5C5F"/>
    <w:rsid w:val="002E5D0B"/>
    <w:rsid w:val="002E5D38"/>
    <w:rsid w:val="002E5D63"/>
    <w:rsid w:val="002E5E1B"/>
    <w:rsid w:val="002E5F37"/>
    <w:rsid w:val="002E6009"/>
    <w:rsid w:val="002E6091"/>
    <w:rsid w:val="002E6201"/>
    <w:rsid w:val="002E6275"/>
    <w:rsid w:val="002E62E7"/>
    <w:rsid w:val="002E62EC"/>
    <w:rsid w:val="002E6352"/>
    <w:rsid w:val="002E63C3"/>
    <w:rsid w:val="002E6459"/>
    <w:rsid w:val="002E64DB"/>
    <w:rsid w:val="002E6603"/>
    <w:rsid w:val="002E6655"/>
    <w:rsid w:val="002E6738"/>
    <w:rsid w:val="002E67A4"/>
    <w:rsid w:val="002E685B"/>
    <w:rsid w:val="002E687C"/>
    <w:rsid w:val="002E68C7"/>
    <w:rsid w:val="002E6956"/>
    <w:rsid w:val="002E698D"/>
    <w:rsid w:val="002E6A5E"/>
    <w:rsid w:val="002E6B3B"/>
    <w:rsid w:val="002E6C5D"/>
    <w:rsid w:val="002E6CB7"/>
    <w:rsid w:val="002E6CC1"/>
    <w:rsid w:val="002E6CD0"/>
    <w:rsid w:val="002E6DD3"/>
    <w:rsid w:val="002E6DE0"/>
    <w:rsid w:val="002E6EF6"/>
    <w:rsid w:val="002E7084"/>
    <w:rsid w:val="002E71AA"/>
    <w:rsid w:val="002E7308"/>
    <w:rsid w:val="002E737E"/>
    <w:rsid w:val="002E73EC"/>
    <w:rsid w:val="002E7489"/>
    <w:rsid w:val="002E7585"/>
    <w:rsid w:val="002E7745"/>
    <w:rsid w:val="002E77FF"/>
    <w:rsid w:val="002E781E"/>
    <w:rsid w:val="002E787E"/>
    <w:rsid w:val="002E796A"/>
    <w:rsid w:val="002E7988"/>
    <w:rsid w:val="002E7A71"/>
    <w:rsid w:val="002E7C32"/>
    <w:rsid w:val="002E7C73"/>
    <w:rsid w:val="002E7D14"/>
    <w:rsid w:val="002E7D2C"/>
    <w:rsid w:val="002E7D7E"/>
    <w:rsid w:val="002E7EC1"/>
    <w:rsid w:val="002E7F6C"/>
    <w:rsid w:val="002E7FD9"/>
    <w:rsid w:val="002F0033"/>
    <w:rsid w:val="002F00F3"/>
    <w:rsid w:val="002F0163"/>
    <w:rsid w:val="002F01F5"/>
    <w:rsid w:val="002F02D2"/>
    <w:rsid w:val="002F0485"/>
    <w:rsid w:val="002F059E"/>
    <w:rsid w:val="002F05C3"/>
    <w:rsid w:val="002F05C5"/>
    <w:rsid w:val="002F060C"/>
    <w:rsid w:val="002F063E"/>
    <w:rsid w:val="002F07B9"/>
    <w:rsid w:val="002F07FC"/>
    <w:rsid w:val="002F0A5E"/>
    <w:rsid w:val="002F0D29"/>
    <w:rsid w:val="002F0FC5"/>
    <w:rsid w:val="002F0FE7"/>
    <w:rsid w:val="002F13AB"/>
    <w:rsid w:val="002F13AE"/>
    <w:rsid w:val="002F14DF"/>
    <w:rsid w:val="002F150C"/>
    <w:rsid w:val="002F15D3"/>
    <w:rsid w:val="002F1743"/>
    <w:rsid w:val="002F175D"/>
    <w:rsid w:val="002F17CA"/>
    <w:rsid w:val="002F1895"/>
    <w:rsid w:val="002F1970"/>
    <w:rsid w:val="002F19FE"/>
    <w:rsid w:val="002F1A37"/>
    <w:rsid w:val="002F1C04"/>
    <w:rsid w:val="002F1C64"/>
    <w:rsid w:val="002F1DC6"/>
    <w:rsid w:val="002F2092"/>
    <w:rsid w:val="002F20ED"/>
    <w:rsid w:val="002F20F2"/>
    <w:rsid w:val="002F214F"/>
    <w:rsid w:val="002F220E"/>
    <w:rsid w:val="002F231E"/>
    <w:rsid w:val="002F249E"/>
    <w:rsid w:val="002F24E1"/>
    <w:rsid w:val="002F2563"/>
    <w:rsid w:val="002F25C8"/>
    <w:rsid w:val="002F2600"/>
    <w:rsid w:val="002F2631"/>
    <w:rsid w:val="002F26B5"/>
    <w:rsid w:val="002F2722"/>
    <w:rsid w:val="002F276B"/>
    <w:rsid w:val="002F2775"/>
    <w:rsid w:val="002F2777"/>
    <w:rsid w:val="002F2823"/>
    <w:rsid w:val="002F28DE"/>
    <w:rsid w:val="002F2A84"/>
    <w:rsid w:val="002F2BBA"/>
    <w:rsid w:val="002F2BF4"/>
    <w:rsid w:val="002F2BFA"/>
    <w:rsid w:val="002F2C65"/>
    <w:rsid w:val="002F2EB2"/>
    <w:rsid w:val="002F2EB7"/>
    <w:rsid w:val="002F2F0E"/>
    <w:rsid w:val="002F2F5E"/>
    <w:rsid w:val="002F2FBA"/>
    <w:rsid w:val="002F304E"/>
    <w:rsid w:val="002F310F"/>
    <w:rsid w:val="002F311E"/>
    <w:rsid w:val="002F3264"/>
    <w:rsid w:val="002F326B"/>
    <w:rsid w:val="002F335B"/>
    <w:rsid w:val="002F349F"/>
    <w:rsid w:val="002F34E8"/>
    <w:rsid w:val="002F35A3"/>
    <w:rsid w:val="002F35F6"/>
    <w:rsid w:val="002F37B7"/>
    <w:rsid w:val="002F38BF"/>
    <w:rsid w:val="002F3925"/>
    <w:rsid w:val="002F3A10"/>
    <w:rsid w:val="002F3A7C"/>
    <w:rsid w:val="002F3ACF"/>
    <w:rsid w:val="002F3B54"/>
    <w:rsid w:val="002F3C09"/>
    <w:rsid w:val="002F3D52"/>
    <w:rsid w:val="002F3EB2"/>
    <w:rsid w:val="002F3F5A"/>
    <w:rsid w:val="002F4048"/>
    <w:rsid w:val="002F4049"/>
    <w:rsid w:val="002F4186"/>
    <w:rsid w:val="002F4191"/>
    <w:rsid w:val="002F41F4"/>
    <w:rsid w:val="002F42C1"/>
    <w:rsid w:val="002F43B9"/>
    <w:rsid w:val="002F463D"/>
    <w:rsid w:val="002F46D7"/>
    <w:rsid w:val="002F473A"/>
    <w:rsid w:val="002F47BC"/>
    <w:rsid w:val="002F47E7"/>
    <w:rsid w:val="002F4819"/>
    <w:rsid w:val="002F4898"/>
    <w:rsid w:val="002F4966"/>
    <w:rsid w:val="002F4972"/>
    <w:rsid w:val="002F4AAA"/>
    <w:rsid w:val="002F4D37"/>
    <w:rsid w:val="002F4ED4"/>
    <w:rsid w:val="002F4F2B"/>
    <w:rsid w:val="002F502F"/>
    <w:rsid w:val="002F5067"/>
    <w:rsid w:val="002F50C2"/>
    <w:rsid w:val="002F50D6"/>
    <w:rsid w:val="002F518C"/>
    <w:rsid w:val="002F51D0"/>
    <w:rsid w:val="002F51D8"/>
    <w:rsid w:val="002F53E9"/>
    <w:rsid w:val="002F53FC"/>
    <w:rsid w:val="002F5460"/>
    <w:rsid w:val="002F54CC"/>
    <w:rsid w:val="002F5619"/>
    <w:rsid w:val="002F5622"/>
    <w:rsid w:val="002F577C"/>
    <w:rsid w:val="002F57F6"/>
    <w:rsid w:val="002F590A"/>
    <w:rsid w:val="002F59C7"/>
    <w:rsid w:val="002F59D1"/>
    <w:rsid w:val="002F5A55"/>
    <w:rsid w:val="002F5B28"/>
    <w:rsid w:val="002F5BA1"/>
    <w:rsid w:val="002F5BBA"/>
    <w:rsid w:val="002F5C7D"/>
    <w:rsid w:val="002F5D80"/>
    <w:rsid w:val="002F5DD0"/>
    <w:rsid w:val="002F5E18"/>
    <w:rsid w:val="002F5EB0"/>
    <w:rsid w:val="002F5EC1"/>
    <w:rsid w:val="002F5EDA"/>
    <w:rsid w:val="002F5EE9"/>
    <w:rsid w:val="002F5EF5"/>
    <w:rsid w:val="002F607F"/>
    <w:rsid w:val="002F60DD"/>
    <w:rsid w:val="002F60EF"/>
    <w:rsid w:val="002F615C"/>
    <w:rsid w:val="002F6312"/>
    <w:rsid w:val="002F633B"/>
    <w:rsid w:val="002F63B5"/>
    <w:rsid w:val="002F63D6"/>
    <w:rsid w:val="002F63F4"/>
    <w:rsid w:val="002F6498"/>
    <w:rsid w:val="002F6518"/>
    <w:rsid w:val="002F658E"/>
    <w:rsid w:val="002F65C1"/>
    <w:rsid w:val="002F6771"/>
    <w:rsid w:val="002F6873"/>
    <w:rsid w:val="002F6A21"/>
    <w:rsid w:val="002F6B39"/>
    <w:rsid w:val="002F6D11"/>
    <w:rsid w:val="002F6DCB"/>
    <w:rsid w:val="002F6DEF"/>
    <w:rsid w:val="002F6E60"/>
    <w:rsid w:val="002F7001"/>
    <w:rsid w:val="002F70A6"/>
    <w:rsid w:val="002F70B5"/>
    <w:rsid w:val="002F711E"/>
    <w:rsid w:val="002F7159"/>
    <w:rsid w:val="002F72F3"/>
    <w:rsid w:val="002F7345"/>
    <w:rsid w:val="002F736E"/>
    <w:rsid w:val="002F7423"/>
    <w:rsid w:val="002F74A1"/>
    <w:rsid w:val="002F76D4"/>
    <w:rsid w:val="002F777E"/>
    <w:rsid w:val="002F77A9"/>
    <w:rsid w:val="002F7860"/>
    <w:rsid w:val="002F78EA"/>
    <w:rsid w:val="002F795A"/>
    <w:rsid w:val="002F798F"/>
    <w:rsid w:val="002F79B1"/>
    <w:rsid w:val="002F79BE"/>
    <w:rsid w:val="002F79E8"/>
    <w:rsid w:val="002F7A48"/>
    <w:rsid w:val="002F7B04"/>
    <w:rsid w:val="002F7B1A"/>
    <w:rsid w:val="002F7E74"/>
    <w:rsid w:val="002F7EEF"/>
    <w:rsid w:val="0030007F"/>
    <w:rsid w:val="003000F3"/>
    <w:rsid w:val="00300100"/>
    <w:rsid w:val="00300143"/>
    <w:rsid w:val="003001B0"/>
    <w:rsid w:val="00300355"/>
    <w:rsid w:val="003003D7"/>
    <w:rsid w:val="00300642"/>
    <w:rsid w:val="003006F2"/>
    <w:rsid w:val="00300744"/>
    <w:rsid w:val="00300773"/>
    <w:rsid w:val="003007AB"/>
    <w:rsid w:val="003007B4"/>
    <w:rsid w:val="0030090C"/>
    <w:rsid w:val="00300944"/>
    <w:rsid w:val="00300959"/>
    <w:rsid w:val="003009C3"/>
    <w:rsid w:val="00300A71"/>
    <w:rsid w:val="00300A7F"/>
    <w:rsid w:val="00300BC1"/>
    <w:rsid w:val="00300C48"/>
    <w:rsid w:val="00300C78"/>
    <w:rsid w:val="00300DC0"/>
    <w:rsid w:val="00300F7F"/>
    <w:rsid w:val="00300FFA"/>
    <w:rsid w:val="003010C3"/>
    <w:rsid w:val="00301190"/>
    <w:rsid w:val="003011B9"/>
    <w:rsid w:val="00301211"/>
    <w:rsid w:val="00301213"/>
    <w:rsid w:val="00301274"/>
    <w:rsid w:val="003013E0"/>
    <w:rsid w:val="0030143A"/>
    <w:rsid w:val="0030147E"/>
    <w:rsid w:val="003014CC"/>
    <w:rsid w:val="0030153B"/>
    <w:rsid w:val="00301566"/>
    <w:rsid w:val="00301588"/>
    <w:rsid w:val="0030169D"/>
    <w:rsid w:val="00301719"/>
    <w:rsid w:val="00301756"/>
    <w:rsid w:val="00301764"/>
    <w:rsid w:val="003017BE"/>
    <w:rsid w:val="003017D1"/>
    <w:rsid w:val="0030188B"/>
    <w:rsid w:val="00301AFF"/>
    <w:rsid w:val="00301C0C"/>
    <w:rsid w:val="00301C14"/>
    <w:rsid w:val="00301C2C"/>
    <w:rsid w:val="00301C55"/>
    <w:rsid w:val="00301D0E"/>
    <w:rsid w:val="00301D61"/>
    <w:rsid w:val="00301E31"/>
    <w:rsid w:val="00301F6A"/>
    <w:rsid w:val="00302194"/>
    <w:rsid w:val="003022B3"/>
    <w:rsid w:val="003023CC"/>
    <w:rsid w:val="00302410"/>
    <w:rsid w:val="00302485"/>
    <w:rsid w:val="00302495"/>
    <w:rsid w:val="00302582"/>
    <w:rsid w:val="00302597"/>
    <w:rsid w:val="003026C7"/>
    <w:rsid w:val="003028AD"/>
    <w:rsid w:val="003028B7"/>
    <w:rsid w:val="0030295B"/>
    <w:rsid w:val="00302966"/>
    <w:rsid w:val="00302A1E"/>
    <w:rsid w:val="00302A4D"/>
    <w:rsid w:val="00302AA0"/>
    <w:rsid w:val="00302C42"/>
    <w:rsid w:val="00302C99"/>
    <w:rsid w:val="00302CF4"/>
    <w:rsid w:val="00302DBE"/>
    <w:rsid w:val="00302E14"/>
    <w:rsid w:val="00302EC3"/>
    <w:rsid w:val="00302EFA"/>
    <w:rsid w:val="00302F1B"/>
    <w:rsid w:val="00302F3B"/>
    <w:rsid w:val="00302FD9"/>
    <w:rsid w:val="0030300E"/>
    <w:rsid w:val="00303083"/>
    <w:rsid w:val="003031AE"/>
    <w:rsid w:val="00303257"/>
    <w:rsid w:val="003032E1"/>
    <w:rsid w:val="00303314"/>
    <w:rsid w:val="003035BD"/>
    <w:rsid w:val="003036FB"/>
    <w:rsid w:val="00303703"/>
    <w:rsid w:val="00303774"/>
    <w:rsid w:val="003037E9"/>
    <w:rsid w:val="003038DC"/>
    <w:rsid w:val="003039CA"/>
    <w:rsid w:val="00303A5E"/>
    <w:rsid w:val="00303B38"/>
    <w:rsid w:val="00303B5C"/>
    <w:rsid w:val="00303CCB"/>
    <w:rsid w:val="00303D98"/>
    <w:rsid w:val="00303E0B"/>
    <w:rsid w:val="00303EE2"/>
    <w:rsid w:val="00303F4C"/>
    <w:rsid w:val="00304003"/>
    <w:rsid w:val="00304154"/>
    <w:rsid w:val="0030424B"/>
    <w:rsid w:val="003042B6"/>
    <w:rsid w:val="003042BA"/>
    <w:rsid w:val="0030439E"/>
    <w:rsid w:val="0030445E"/>
    <w:rsid w:val="0030459F"/>
    <w:rsid w:val="003046C8"/>
    <w:rsid w:val="003047A9"/>
    <w:rsid w:val="003047FF"/>
    <w:rsid w:val="00304B65"/>
    <w:rsid w:val="00304B7D"/>
    <w:rsid w:val="00304CBB"/>
    <w:rsid w:val="00304CD3"/>
    <w:rsid w:val="00304D54"/>
    <w:rsid w:val="00304E29"/>
    <w:rsid w:val="00304E45"/>
    <w:rsid w:val="00304EB7"/>
    <w:rsid w:val="0030502E"/>
    <w:rsid w:val="003050B8"/>
    <w:rsid w:val="00305107"/>
    <w:rsid w:val="00305230"/>
    <w:rsid w:val="0030524D"/>
    <w:rsid w:val="0030524E"/>
    <w:rsid w:val="00305256"/>
    <w:rsid w:val="003052C5"/>
    <w:rsid w:val="003053D9"/>
    <w:rsid w:val="003054A5"/>
    <w:rsid w:val="003057D0"/>
    <w:rsid w:val="00305832"/>
    <w:rsid w:val="00305846"/>
    <w:rsid w:val="00305A35"/>
    <w:rsid w:val="00305B03"/>
    <w:rsid w:val="00305C08"/>
    <w:rsid w:val="00305D02"/>
    <w:rsid w:val="00305DC6"/>
    <w:rsid w:val="00305EA6"/>
    <w:rsid w:val="00305EA9"/>
    <w:rsid w:val="00305F8D"/>
    <w:rsid w:val="00305FBB"/>
    <w:rsid w:val="0030609C"/>
    <w:rsid w:val="003060CA"/>
    <w:rsid w:val="003060EB"/>
    <w:rsid w:val="0030616A"/>
    <w:rsid w:val="00306196"/>
    <w:rsid w:val="00306211"/>
    <w:rsid w:val="0030625B"/>
    <w:rsid w:val="00306271"/>
    <w:rsid w:val="00306296"/>
    <w:rsid w:val="003062A2"/>
    <w:rsid w:val="0030632B"/>
    <w:rsid w:val="00306475"/>
    <w:rsid w:val="003064D0"/>
    <w:rsid w:val="003067D2"/>
    <w:rsid w:val="003067D3"/>
    <w:rsid w:val="00306811"/>
    <w:rsid w:val="00306832"/>
    <w:rsid w:val="003069AE"/>
    <w:rsid w:val="003069EF"/>
    <w:rsid w:val="00306A0E"/>
    <w:rsid w:val="00306A32"/>
    <w:rsid w:val="00306AB8"/>
    <w:rsid w:val="00306ACD"/>
    <w:rsid w:val="00306C1A"/>
    <w:rsid w:val="00306D22"/>
    <w:rsid w:val="00306D4E"/>
    <w:rsid w:val="00306FAE"/>
    <w:rsid w:val="0030709F"/>
    <w:rsid w:val="00307112"/>
    <w:rsid w:val="003072A7"/>
    <w:rsid w:val="003072B0"/>
    <w:rsid w:val="003072DE"/>
    <w:rsid w:val="003072F5"/>
    <w:rsid w:val="0030750E"/>
    <w:rsid w:val="00307568"/>
    <w:rsid w:val="003075CC"/>
    <w:rsid w:val="0030784C"/>
    <w:rsid w:val="00307859"/>
    <w:rsid w:val="003078BE"/>
    <w:rsid w:val="0030797E"/>
    <w:rsid w:val="0030799D"/>
    <w:rsid w:val="003079E1"/>
    <w:rsid w:val="003079E8"/>
    <w:rsid w:val="00307B99"/>
    <w:rsid w:val="00307BB9"/>
    <w:rsid w:val="00307C21"/>
    <w:rsid w:val="00307C87"/>
    <w:rsid w:val="00307D35"/>
    <w:rsid w:val="00307E46"/>
    <w:rsid w:val="00307ED5"/>
    <w:rsid w:val="00307FF8"/>
    <w:rsid w:val="00310007"/>
    <w:rsid w:val="003100D5"/>
    <w:rsid w:val="00310137"/>
    <w:rsid w:val="0031017B"/>
    <w:rsid w:val="00310204"/>
    <w:rsid w:val="0031020E"/>
    <w:rsid w:val="00310221"/>
    <w:rsid w:val="00310379"/>
    <w:rsid w:val="003103B2"/>
    <w:rsid w:val="003103FB"/>
    <w:rsid w:val="00310407"/>
    <w:rsid w:val="00310451"/>
    <w:rsid w:val="00310464"/>
    <w:rsid w:val="003104C0"/>
    <w:rsid w:val="003106A6"/>
    <w:rsid w:val="003107FC"/>
    <w:rsid w:val="003108C1"/>
    <w:rsid w:val="003109A8"/>
    <w:rsid w:val="003109CF"/>
    <w:rsid w:val="00310ADE"/>
    <w:rsid w:val="00310BB3"/>
    <w:rsid w:val="00310BDD"/>
    <w:rsid w:val="00310CBA"/>
    <w:rsid w:val="00310CCF"/>
    <w:rsid w:val="00310D10"/>
    <w:rsid w:val="00310D58"/>
    <w:rsid w:val="00310DBB"/>
    <w:rsid w:val="00310E05"/>
    <w:rsid w:val="00310E4F"/>
    <w:rsid w:val="00310F34"/>
    <w:rsid w:val="00310F65"/>
    <w:rsid w:val="00310F89"/>
    <w:rsid w:val="00310FB4"/>
    <w:rsid w:val="00310FB8"/>
    <w:rsid w:val="00311014"/>
    <w:rsid w:val="003111A7"/>
    <w:rsid w:val="003111BE"/>
    <w:rsid w:val="00311547"/>
    <w:rsid w:val="003115C1"/>
    <w:rsid w:val="0031172F"/>
    <w:rsid w:val="00311774"/>
    <w:rsid w:val="003117D9"/>
    <w:rsid w:val="00311800"/>
    <w:rsid w:val="00311979"/>
    <w:rsid w:val="003119E9"/>
    <w:rsid w:val="00311B74"/>
    <w:rsid w:val="00311D79"/>
    <w:rsid w:val="00311E2E"/>
    <w:rsid w:val="00311F6C"/>
    <w:rsid w:val="00311FC4"/>
    <w:rsid w:val="00311FE7"/>
    <w:rsid w:val="003120A5"/>
    <w:rsid w:val="003121FB"/>
    <w:rsid w:val="003122BC"/>
    <w:rsid w:val="003123D8"/>
    <w:rsid w:val="0031246E"/>
    <w:rsid w:val="0031252C"/>
    <w:rsid w:val="00312542"/>
    <w:rsid w:val="003125C1"/>
    <w:rsid w:val="003125DD"/>
    <w:rsid w:val="0031265E"/>
    <w:rsid w:val="003126DE"/>
    <w:rsid w:val="003126F2"/>
    <w:rsid w:val="003128D4"/>
    <w:rsid w:val="00312965"/>
    <w:rsid w:val="0031298A"/>
    <w:rsid w:val="003129DC"/>
    <w:rsid w:val="00312BE3"/>
    <w:rsid w:val="00312CAA"/>
    <w:rsid w:val="00312D76"/>
    <w:rsid w:val="00312F02"/>
    <w:rsid w:val="003131B6"/>
    <w:rsid w:val="003131BF"/>
    <w:rsid w:val="00313253"/>
    <w:rsid w:val="003132C9"/>
    <w:rsid w:val="003132D4"/>
    <w:rsid w:val="003132D6"/>
    <w:rsid w:val="00313440"/>
    <w:rsid w:val="00313681"/>
    <w:rsid w:val="003136F4"/>
    <w:rsid w:val="00313763"/>
    <w:rsid w:val="00313A6A"/>
    <w:rsid w:val="00313AE0"/>
    <w:rsid w:val="00313B17"/>
    <w:rsid w:val="00313E6D"/>
    <w:rsid w:val="00313EFA"/>
    <w:rsid w:val="00313FB3"/>
    <w:rsid w:val="003140E5"/>
    <w:rsid w:val="00314129"/>
    <w:rsid w:val="003141C0"/>
    <w:rsid w:val="003141ED"/>
    <w:rsid w:val="00314264"/>
    <w:rsid w:val="00314351"/>
    <w:rsid w:val="003143CA"/>
    <w:rsid w:val="003143D7"/>
    <w:rsid w:val="0031440A"/>
    <w:rsid w:val="003144C4"/>
    <w:rsid w:val="003144CE"/>
    <w:rsid w:val="003145DA"/>
    <w:rsid w:val="003146A9"/>
    <w:rsid w:val="00314787"/>
    <w:rsid w:val="003147D7"/>
    <w:rsid w:val="0031489D"/>
    <w:rsid w:val="00314965"/>
    <w:rsid w:val="00314987"/>
    <w:rsid w:val="00314C5D"/>
    <w:rsid w:val="00314D89"/>
    <w:rsid w:val="00314E4E"/>
    <w:rsid w:val="00314E6C"/>
    <w:rsid w:val="00314F08"/>
    <w:rsid w:val="003151D6"/>
    <w:rsid w:val="00315225"/>
    <w:rsid w:val="003153A2"/>
    <w:rsid w:val="00315614"/>
    <w:rsid w:val="00315620"/>
    <w:rsid w:val="00315695"/>
    <w:rsid w:val="00315759"/>
    <w:rsid w:val="003159D9"/>
    <w:rsid w:val="00315A1E"/>
    <w:rsid w:val="00315A89"/>
    <w:rsid w:val="00315AE3"/>
    <w:rsid w:val="00315B83"/>
    <w:rsid w:val="00315C46"/>
    <w:rsid w:val="00315D81"/>
    <w:rsid w:val="00315EFF"/>
    <w:rsid w:val="00315F5C"/>
    <w:rsid w:val="00315F8B"/>
    <w:rsid w:val="00315FBB"/>
    <w:rsid w:val="003160C6"/>
    <w:rsid w:val="003161F0"/>
    <w:rsid w:val="0031625C"/>
    <w:rsid w:val="003163A2"/>
    <w:rsid w:val="00316487"/>
    <w:rsid w:val="003166D4"/>
    <w:rsid w:val="00316736"/>
    <w:rsid w:val="00316997"/>
    <w:rsid w:val="003169B2"/>
    <w:rsid w:val="00316A9D"/>
    <w:rsid w:val="00316B55"/>
    <w:rsid w:val="00316B9F"/>
    <w:rsid w:val="00316DBF"/>
    <w:rsid w:val="00316DC3"/>
    <w:rsid w:val="00316E2B"/>
    <w:rsid w:val="00317047"/>
    <w:rsid w:val="00317149"/>
    <w:rsid w:val="003171FC"/>
    <w:rsid w:val="00317349"/>
    <w:rsid w:val="003173C5"/>
    <w:rsid w:val="00317477"/>
    <w:rsid w:val="0031754D"/>
    <w:rsid w:val="0031771E"/>
    <w:rsid w:val="00317823"/>
    <w:rsid w:val="00317841"/>
    <w:rsid w:val="00317920"/>
    <w:rsid w:val="003179DA"/>
    <w:rsid w:val="00317A32"/>
    <w:rsid w:val="00317A6D"/>
    <w:rsid w:val="00317B3A"/>
    <w:rsid w:val="00317BBB"/>
    <w:rsid w:val="00317C14"/>
    <w:rsid w:val="00317C23"/>
    <w:rsid w:val="00317DA7"/>
    <w:rsid w:val="00317E84"/>
    <w:rsid w:val="00317EC6"/>
    <w:rsid w:val="003200CE"/>
    <w:rsid w:val="003200D5"/>
    <w:rsid w:val="003200E8"/>
    <w:rsid w:val="0032011F"/>
    <w:rsid w:val="003201A1"/>
    <w:rsid w:val="003201EC"/>
    <w:rsid w:val="0032035E"/>
    <w:rsid w:val="00320474"/>
    <w:rsid w:val="00320826"/>
    <w:rsid w:val="003209C7"/>
    <w:rsid w:val="003209D6"/>
    <w:rsid w:val="00320A06"/>
    <w:rsid w:val="00320A3B"/>
    <w:rsid w:val="00320B81"/>
    <w:rsid w:val="00320C07"/>
    <w:rsid w:val="00320CCB"/>
    <w:rsid w:val="00320D4B"/>
    <w:rsid w:val="00320DFA"/>
    <w:rsid w:val="00320FB2"/>
    <w:rsid w:val="003211CE"/>
    <w:rsid w:val="003212A7"/>
    <w:rsid w:val="003213D1"/>
    <w:rsid w:val="0032151B"/>
    <w:rsid w:val="003215FA"/>
    <w:rsid w:val="00321617"/>
    <w:rsid w:val="0032168A"/>
    <w:rsid w:val="003216AB"/>
    <w:rsid w:val="003216E1"/>
    <w:rsid w:val="003217E7"/>
    <w:rsid w:val="00321878"/>
    <w:rsid w:val="003219A8"/>
    <w:rsid w:val="00321C17"/>
    <w:rsid w:val="00321DD8"/>
    <w:rsid w:val="00321E54"/>
    <w:rsid w:val="00321E72"/>
    <w:rsid w:val="00321ED1"/>
    <w:rsid w:val="00321F5B"/>
    <w:rsid w:val="0032200A"/>
    <w:rsid w:val="00322077"/>
    <w:rsid w:val="003220DB"/>
    <w:rsid w:val="003221D7"/>
    <w:rsid w:val="003221E4"/>
    <w:rsid w:val="0032222E"/>
    <w:rsid w:val="00322237"/>
    <w:rsid w:val="003222D4"/>
    <w:rsid w:val="003222E4"/>
    <w:rsid w:val="00322344"/>
    <w:rsid w:val="0032237A"/>
    <w:rsid w:val="00322389"/>
    <w:rsid w:val="003223D8"/>
    <w:rsid w:val="00322417"/>
    <w:rsid w:val="00322421"/>
    <w:rsid w:val="00322466"/>
    <w:rsid w:val="00322494"/>
    <w:rsid w:val="00322674"/>
    <w:rsid w:val="00322687"/>
    <w:rsid w:val="00322783"/>
    <w:rsid w:val="003227CB"/>
    <w:rsid w:val="003227CF"/>
    <w:rsid w:val="00322849"/>
    <w:rsid w:val="00322873"/>
    <w:rsid w:val="0032287C"/>
    <w:rsid w:val="003228AB"/>
    <w:rsid w:val="003228B3"/>
    <w:rsid w:val="003228FA"/>
    <w:rsid w:val="003229A7"/>
    <w:rsid w:val="00322A59"/>
    <w:rsid w:val="00322C68"/>
    <w:rsid w:val="00322C7A"/>
    <w:rsid w:val="00322CF3"/>
    <w:rsid w:val="00322D09"/>
    <w:rsid w:val="00322D4D"/>
    <w:rsid w:val="00322DDE"/>
    <w:rsid w:val="00322EFA"/>
    <w:rsid w:val="00322F5A"/>
    <w:rsid w:val="00322F88"/>
    <w:rsid w:val="00322FCD"/>
    <w:rsid w:val="0032301B"/>
    <w:rsid w:val="0032302F"/>
    <w:rsid w:val="003231EF"/>
    <w:rsid w:val="00323423"/>
    <w:rsid w:val="00323521"/>
    <w:rsid w:val="00323555"/>
    <w:rsid w:val="003235AE"/>
    <w:rsid w:val="003235DE"/>
    <w:rsid w:val="00323612"/>
    <w:rsid w:val="00323670"/>
    <w:rsid w:val="003236A8"/>
    <w:rsid w:val="00323705"/>
    <w:rsid w:val="00323802"/>
    <w:rsid w:val="0032381C"/>
    <w:rsid w:val="00323899"/>
    <w:rsid w:val="00323A40"/>
    <w:rsid w:val="00323B6B"/>
    <w:rsid w:val="00323B86"/>
    <w:rsid w:val="00323BCC"/>
    <w:rsid w:val="00323CB8"/>
    <w:rsid w:val="00323D3C"/>
    <w:rsid w:val="00323EB1"/>
    <w:rsid w:val="00323F75"/>
    <w:rsid w:val="00323FC9"/>
    <w:rsid w:val="00323FE6"/>
    <w:rsid w:val="00323FF4"/>
    <w:rsid w:val="00324098"/>
    <w:rsid w:val="0032410A"/>
    <w:rsid w:val="00324249"/>
    <w:rsid w:val="00324423"/>
    <w:rsid w:val="0032448E"/>
    <w:rsid w:val="003244E0"/>
    <w:rsid w:val="00324523"/>
    <w:rsid w:val="003245E8"/>
    <w:rsid w:val="00324765"/>
    <w:rsid w:val="003249C2"/>
    <w:rsid w:val="00324A04"/>
    <w:rsid w:val="00324A32"/>
    <w:rsid w:val="00324A58"/>
    <w:rsid w:val="00324A77"/>
    <w:rsid w:val="00324AA2"/>
    <w:rsid w:val="00324AA9"/>
    <w:rsid w:val="00324ACD"/>
    <w:rsid w:val="00324B3F"/>
    <w:rsid w:val="00324D16"/>
    <w:rsid w:val="00324D63"/>
    <w:rsid w:val="00324DB2"/>
    <w:rsid w:val="00324DC6"/>
    <w:rsid w:val="00324DEA"/>
    <w:rsid w:val="00324EB9"/>
    <w:rsid w:val="00324F42"/>
    <w:rsid w:val="00325147"/>
    <w:rsid w:val="00325269"/>
    <w:rsid w:val="003253C5"/>
    <w:rsid w:val="00325409"/>
    <w:rsid w:val="0032548A"/>
    <w:rsid w:val="00325513"/>
    <w:rsid w:val="003255BF"/>
    <w:rsid w:val="00325679"/>
    <w:rsid w:val="00325694"/>
    <w:rsid w:val="00325852"/>
    <w:rsid w:val="0032588F"/>
    <w:rsid w:val="003258C6"/>
    <w:rsid w:val="003259BC"/>
    <w:rsid w:val="003259DD"/>
    <w:rsid w:val="00325CF6"/>
    <w:rsid w:val="00325D81"/>
    <w:rsid w:val="00325E7A"/>
    <w:rsid w:val="00325EAE"/>
    <w:rsid w:val="00325F8C"/>
    <w:rsid w:val="00326020"/>
    <w:rsid w:val="00326263"/>
    <w:rsid w:val="00326364"/>
    <w:rsid w:val="00326369"/>
    <w:rsid w:val="003263D3"/>
    <w:rsid w:val="003263F3"/>
    <w:rsid w:val="003264A8"/>
    <w:rsid w:val="003264AB"/>
    <w:rsid w:val="00326596"/>
    <w:rsid w:val="003265A6"/>
    <w:rsid w:val="003265AD"/>
    <w:rsid w:val="003265BB"/>
    <w:rsid w:val="00326669"/>
    <w:rsid w:val="003266C2"/>
    <w:rsid w:val="003266C5"/>
    <w:rsid w:val="0032684E"/>
    <w:rsid w:val="00326947"/>
    <w:rsid w:val="00326A17"/>
    <w:rsid w:val="00326B5B"/>
    <w:rsid w:val="00326C95"/>
    <w:rsid w:val="00326F20"/>
    <w:rsid w:val="00326FDC"/>
    <w:rsid w:val="0032703A"/>
    <w:rsid w:val="0032710C"/>
    <w:rsid w:val="003271E1"/>
    <w:rsid w:val="003273B8"/>
    <w:rsid w:val="003275E5"/>
    <w:rsid w:val="00327715"/>
    <w:rsid w:val="00327775"/>
    <w:rsid w:val="00327809"/>
    <w:rsid w:val="003278C3"/>
    <w:rsid w:val="0032799C"/>
    <w:rsid w:val="003279C6"/>
    <w:rsid w:val="003279D8"/>
    <w:rsid w:val="00327B0C"/>
    <w:rsid w:val="00327B1C"/>
    <w:rsid w:val="00327C42"/>
    <w:rsid w:val="00327C51"/>
    <w:rsid w:val="00327C73"/>
    <w:rsid w:val="00327D82"/>
    <w:rsid w:val="00327DF4"/>
    <w:rsid w:val="00327E58"/>
    <w:rsid w:val="00327E88"/>
    <w:rsid w:val="00327F36"/>
    <w:rsid w:val="00327F40"/>
    <w:rsid w:val="00330107"/>
    <w:rsid w:val="0033013D"/>
    <w:rsid w:val="00330268"/>
    <w:rsid w:val="00330288"/>
    <w:rsid w:val="003303ED"/>
    <w:rsid w:val="003303F0"/>
    <w:rsid w:val="003305D8"/>
    <w:rsid w:val="00330662"/>
    <w:rsid w:val="003306AE"/>
    <w:rsid w:val="003308A5"/>
    <w:rsid w:val="003308C7"/>
    <w:rsid w:val="00330A5D"/>
    <w:rsid w:val="00330AFE"/>
    <w:rsid w:val="00330B01"/>
    <w:rsid w:val="00330B13"/>
    <w:rsid w:val="00330D43"/>
    <w:rsid w:val="00330D63"/>
    <w:rsid w:val="00330DDC"/>
    <w:rsid w:val="00330F48"/>
    <w:rsid w:val="0033105A"/>
    <w:rsid w:val="003310B8"/>
    <w:rsid w:val="003311B5"/>
    <w:rsid w:val="003311E7"/>
    <w:rsid w:val="00331265"/>
    <w:rsid w:val="0033136F"/>
    <w:rsid w:val="003314F9"/>
    <w:rsid w:val="003314FC"/>
    <w:rsid w:val="0033159B"/>
    <w:rsid w:val="0033160D"/>
    <w:rsid w:val="00331701"/>
    <w:rsid w:val="0033171B"/>
    <w:rsid w:val="00331732"/>
    <w:rsid w:val="00331759"/>
    <w:rsid w:val="003319A6"/>
    <w:rsid w:val="003319DC"/>
    <w:rsid w:val="00331A01"/>
    <w:rsid w:val="00331A6D"/>
    <w:rsid w:val="00331AE5"/>
    <w:rsid w:val="00331BC1"/>
    <w:rsid w:val="00331D73"/>
    <w:rsid w:val="00331DD5"/>
    <w:rsid w:val="00331E20"/>
    <w:rsid w:val="00331E35"/>
    <w:rsid w:val="00331E3C"/>
    <w:rsid w:val="00331EB4"/>
    <w:rsid w:val="00331ED3"/>
    <w:rsid w:val="00331EE9"/>
    <w:rsid w:val="00331F5F"/>
    <w:rsid w:val="00331FBE"/>
    <w:rsid w:val="00331FD3"/>
    <w:rsid w:val="0033213F"/>
    <w:rsid w:val="00332313"/>
    <w:rsid w:val="003324D2"/>
    <w:rsid w:val="003326A4"/>
    <w:rsid w:val="003326CF"/>
    <w:rsid w:val="003327E5"/>
    <w:rsid w:val="003327F4"/>
    <w:rsid w:val="00332886"/>
    <w:rsid w:val="00332987"/>
    <w:rsid w:val="003329BA"/>
    <w:rsid w:val="003329DD"/>
    <w:rsid w:val="00332A03"/>
    <w:rsid w:val="00332AA5"/>
    <w:rsid w:val="00332B07"/>
    <w:rsid w:val="00332D26"/>
    <w:rsid w:val="00332E12"/>
    <w:rsid w:val="00332E45"/>
    <w:rsid w:val="00332F9B"/>
    <w:rsid w:val="003330CE"/>
    <w:rsid w:val="0033313C"/>
    <w:rsid w:val="00333140"/>
    <w:rsid w:val="00333161"/>
    <w:rsid w:val="003331A8"/>
    <w:rsid w:val="003331E4"/>
    <w:rsid w:val="003331F6"/>
    <w:rsid w:val="00333201"/>
    <w:rsid w:val="003333B3"/>
    <w:rsid w:val="00333431"/>
    <w:rsid w:val="003334CD"/>
    <w:rsid w:val="00333556"/>
    <w:rsid w:val="00333605"/>
    <w:rsid w:val="0033374D"/>
    <w:rsid w:val="003337DA"/>
    <w:rsid w:val="00333804"/>
    <w:rsid w:val="0033387F"/>
    <w:rsid w:val="003338D8"/>
    <w:rsid w:val="003339D8"/>
    <w:rsid w:val="00333C87"/>
    <w:rsid w:val="00333E93"/>
    <w:rsid w:val="00333EA4"/>
    <w:rsid w:val="00333EB4"/>
    <w:rsid w:val="00333F73"/>
    <w:rsid w:val="0033417D"/>
    <w:rsid w:val="0033421B"/>
    <w:rsid w:val="00334324"/>
    <w:rsid w:val="003343C7"/>
    <w:rsid w:val="00334496"/>
    <w:rsid w:val="003345E3"/>
    <w:rsid w:val="00334620"/>
    <w:rsid w:val="003346B5"/>
    <w:rsid w:val="003349CE"/>
    <w:rsid w:val="00334BD9"/>
    <w:rsid w:val="00334C4E"/>
    <w:rsid w:val="00334C94"/>
    <w:rsid w:val="00334EBB"/>
    <w:rsid w:val="00334F05"/>
    <w:rsid w:val="00334F69"/>
    <w:rsid w:val="003351CB"/>
    <w:rsid w:val="003351E6"/>
    <w:rsid w:val="00335276"/>
    <w:rsid w:val="00335320"/>
    <w:rsid w:val="00335490"/>
    <w:rsid w:val="003356AF"/>
    <w:rsid w:val="003356D8"/>
    <w:rsid w:val="003356E2"/>
    <w:rsid w:val="00335746"/>
    <w:rsid w:val="0033580E"/>
    <w:rsid w:val="00335836"/>
    <w:rsid w:val="00335882"/>
    <w:rsid w:val="00335A0A"/>
    <w:rsid w:val="00335A21"/>
    <w:rsid w:val="00335AE5"/>
    <w:rsid w:val="00335B28"/>
    <w:rsid w:val="00335BC2"/>
    <w:rsid w:val="00335C1C"/>
    <w:rsid w:val="00335DA5"/>
    <w:rsid w:val="00335E18"/>
    <w:rsid w:val="00335E54"/>
    <w:rsid w:val="00335F63"/>
    <w:rsid w:val="00335F76"/>
    <w:rsid w:val="00335FDD"/>
    <w:rsid w:val="00336018"/>
    <w:rsid w:val="00336174"/>
    <w:rsid w:val="003361BC"/>
    <w:rsid w:val="0033634B"/>
    <w:rsid w:val="003364A3"/>
    <w:rsid w:val="003365A6"/>
    <w:rsid w:val="003365D3"/>
    <w:rsid w:val="003368B6"/>
    <w:rsid w:val="0033692B"/>
    <w:rsid w:val="0033692C"/>
    <w:rsid w:val="0033695A"/>
    <w:rsid w:val="00336971"/>
    <w:rsid w:val="00336B23"/>
    <w:rsid w:val="00336B8B"/>
    <w:rsid w:val="00336BB1"/>
    <w:rsid w:val="00336BFA"/>
    <w:rsid w:val="00336EC2"/>
    <w:rsid w:val="00336FA0"/>
    <w:rsid w:val="003370AD"/>
    <w:rsid w:val="0033712A"/>
    <w:rsid w:val="0033716F"/>
    <w:rsid w:val="00337316"/>
    <w:rsid w:val="00337320"/>
    <w:rsid w:val="0033765F"/>
    <w:rsid w:val="00337685"/>
    <w:rsid w:val="00337700"/>
    <w:rsid w:val="00337744"/>
    <w:rsid w:val="003378ED"/>
    <w:rsid w:val="00337992"/>
    <w:rsid w:val="003379F8"/>
    <w:rsid w:val="00337A22"/>
    <w:rsid w:val="00337BE2"/>
    <w:rsid w:val="00337CCC"/>
    <w:rsid w:val="00337E06"/>
    <w:rsid w:val="00337E4A"/>
    <w:rsid w:val="00337EC1"/>
    <w:rsid w:val="00337F7B"/>
    <w:rsid w:val="00337FD6"/>
    <w:rsid w:val="00337FFD"/>
    <w:rsid w:val="00340078"/>
    <w:rsid w:val="003400E2"/>
    <w:rsid w:val="0034028B"/>
    <w:rsid w:val="003402F4"/>
    <w:rsid w:val="0034036F"/>
    <w:rsid w:val="0034055C"/>
    <w:rsid w:val="003405F1"/>
    <w:rsid w:val="00340653"/>
    <w:rsid w:val="00340707"/>
    <w:rsid w:val="00340847"/>
    <w:rsid w:val="0034097F"/>
    <w:rsid w:val="003409F9"/>
    <w:rsid w:val="00340A07"/>
    <w:rsid w:val="00340D31"/>
    <w:rsid w:val="00340DC8"/>
    <w:rsid w:val="00340DEB"/>
    <w:rsid w:val="00340DFC"/>
    <w:rsid w:val="00340E26"/>
    <w:rsid w:val="00340E48"/>
    <w:rsid w:val="00340E6E"/>
    <w:rsid w:val="00340EFD"/>
    <w:rsid w:val="00341062"/>
    <w:rsid w:val="003410CA"/>
    <w:rsid w:val="003411C0"/>
    <w:rsid w:val="00341241"/>
    <w:rsid w:val="00341259"/>
    <w:rsid w:val="003412A1"/>
    <w:rsid w:val="0034132B"/>
    <w:rsid w:val="00341375"/>
    <w:rsid w:val="0034138D"/>
    <w:rsid w:val="00341598"/>
    <w:rsid w:val="00341609"/>
    <w:rsid w:val="003416A1"/>
    <w:rsid w:val="003416B5"/>
    <w:rsid w:val="003416C3"/>
    <w:rsid w:val="00341743"/>
    <w:rsid w:val="003417B6"/>
    <w:rsid w:val="003418A1"/>
    <w:rsid w:val="00341A18"/>
    <w:rsid w:val="00341BDD"/>
    <w:rsid w:val="00341C5C"/>
    <w:rsid w:val="00341C93"/>
    <w:rsid w:val="00341D54"/>
    <w:rsid w:val="00341D90"/>
    <w:rsid w:val="00341E8D"/>
    <w:rsid w:val="00341ED6"/>
    <w:rsid w:val="00341F72"/>
    <w:rsid w:val="00342011"/>
    <w:rsid w:val="00342111"/>
    <w:rsid w:val="0034215B"/>
    <w:rsid w:val="0034221F"/>
    <w:rsid w:val="00342344"/>
    <w:rsid w:val="00342430"/>
    <w:rsid w:val="003424EA"/>
    <w:rsid w:val="00342597"/>
    <w:rsid w:val="00342693"/>
    <w:rsid w:val="0034286F"/>
    <w:rsid w:val="0034288B"/>
    <w:rsid w:val="003428E8"/>
    <w:rsid w:val="0034293F"/>
    <w:rsid w:val="00342982"/>
    <w:rsid w:val="00342A8C"/>
    <w:rsid w:val="00342B47"/>
    <w:rsid w:val="00342BB7"/>
    <w:rsid w:val="00342BBE"/>
    <w:rsid w:val="00342D97"/>
    <w:rsid w:val="00342FAF"/>
    <w:rsid w:val="0034307A"/>
    <w:rsid w:val="0034307E"/>
    <w:rsid w:val="003430A4"/>
    <w:rsid w:val="003430A8"/>
    <w:rsid w:val="003430C8"/>
    <w:rsid w:val="00343291"/>
    <w:rsid w:val="0034330D"/>
    <w:rsid w:val="00343401"/>
    <w:rsid w:val="00343402"/>
    <w:rsid w:val="00343451"/>
    <w:rsid w:val="003436D5"/>
    <w:rsid w:val="00343797"/>
    <w:rsid w:val="003437B8"/>
    <w:rsid w:val="003438EF"/>
    <w:rsid w:val="00343903"/>
    <w:rsid w:val="003439A9"/>
    <w:rsid w:val="003439BF"/>
    <w:rsid w:val="003439F8"/>
    <w:rsid w:val="00343A3A"/>
    <w:rsid w:val="00343AC7"/>
    <w:rsid w:val="00343B66"/>
    <w:rsid w:val="00343BA3"/>
    <w:rsid w:val="00343BE9"/>
    <w:rsid w:val="00343C1E"/>
    <w:rsid w:val="00343D0A"/>
    <w:rsid w:val="00343E3A"/>
    <w:rsid w:val="00343EC4"/>
    <w:rsid w:val="00343F2D"/>
    <w:rsid w:val="00343FCF"/>
    <w:rsid w:val="0034404E"/>
    <w:rsid w:val="003440A9"/>
    <w:rsid w:val="00344128"/>
    <w:rsid w:val="003441D9"/>
    <w:rsid w:val="003441E2"/>
    <w:rsid w:val="003441FB"/>
    <w:rsid w:val="0034421C"/>
    <w:rsid w:val="00344259"/>
    <w:rsid w:val="00344275"/>
    <w:rsid w:val="00344375"/>
    <w:rsid w:val="003443D5"/>
    <w:rsid w:val="00344453"/>
    <w:rsid w:val="00344554"/>
    <w:rsid w:val="003445B7"/>
    <w:rsid w:val="0034473B"/>
    <w:rsid w:val="00344745"/>
    <w:rsid w:val="00344767"/>
    <w:rsid w:val="003447DD"/>
    <w:rsid w:val="00344A2F"/>
    <w:rsid w:val="00344B05"/>
    <w:rsid w:val="00344BA9"/>
    <w:rsid w:val="00344C40"/>
    <w:rsid w:val="00344C75"/>
    <w:rsid w:val="00344C7C"/>
    <w:rsid w:val="00344EBF"/>
    <w:rsid w:val="00344F9A"/>
    <w:rsid w:val="00344FF5"/>
    <w:rsid w:val="00344FFE"/>
    <w:rsid w:val="00345083"/>
    <w:rsid w:val="003450F3"/>
    <w:rsid w:val="00345127"/>
    <w:rsid w:val="00345193"/>
    <w:rsid w:val="00345222"/>
    <w:rsid w:val="0034530E"/>
    <w:rsid w:val="00345427"/>
    <w:rsid w:val="003454CB"/>
    <w:rsid w:val="0034551C"/>
    <w:rsid w:val="00345537"/>
    <w:rsid w:val="00345679"/>
    <w:rsid w:val="0034568B"/>
    <w:rsid w:val="003456FF"/>
    <w:rsid w:val="0034578A"/>
    <w:rsid w:val="003458A5"/>
    <w:rsid w:val="003459B3"/>
    <w:rsid w:val="003459F4"/>
    <w:rsid w:val="00345A2C"/>
    <w:rsid w:val="00345A6B"/>
    <w:rsid w:val="00345B36"/>
    <w:rsid w:val="00345C64"/>
    <w:rsid w:val="00345C83"/>
    <w:rsid w:val="00345DC8"/>
    <w:rsid w:val="00345DE0"/>
    <w:rsid w:val="00345E07"/>
    <w:rsid w:val="00345E68"/>
    <w:rsid w:val="00345EDF"/>
    <w:rsid w:val="00345FD6"/>
    <w:rsid w:val="0034602B"/>
    <w:rsid w:val="00346156"/>
    <w:rsid w:val="003461E1"/>
    <w:rsid w:val="003462F7"/>
    <w:rsid w:val="003462FE"/>
    <w:rsid w:val="003463D3"/>
    <w:rsid w:val="003465E2"/>
    <w:rsid w:val="00346693"/>
    <w:rsid w:val="003466C0"/>
    <w:rsid w:val="003466E6"/>
    <w:rsid w:val="00346841"/>
    <w:rsid w:val="003468BB"/>
    <w:rsid w:val="003468F8"/>
    <w:rsid w:val="00346967"/>
    <w:rsid w:val="00346C6D"/>
    <w:rsid w:val="00346D17"/>
    <w:rsid w:val="00346E5F"/>
    <w:rsid w:val="00346FB9"/>
    <w:rsid w:val="003470B9"/>
    <w:rsid w:val="003470D4"/>
    <w:rsid w:val="00347191"/>
    <w:rsid w:val="0034728D"/>
    <w:rsid w:val="0034751B"/>
    <w:rsid w:val="0034765B"/>
    <w:rsid w:val="00347674"/>
    <w:rsid w:val="003476B1"/>
    <w:rsid w:val="003477C3"/>
    <w:rsid w:val="003477DE"/>
    <w:rsid w:val="00347813"/>
    <w:rsid w:val="0034797B"/>
    <w:rsid w:val="00347C34"/>
    <w:rsid w:val="00347C60"/>
    <w:rsid w:val="00347E7A"/>
    <w:rsid w:val="00347EE0"/>
    <w:rsid w:val="00347F30"/>
    <w:rsid w:val="0035007A"/>
    <w:rsid w:val="003500FA"/>
    <w:rsid w:val="0035028D"/>
    <w:rsid w:val="003502B3"/>
    <w:rsid w:val="00350591"/>
    <w:rsid w:val="003505E8"/>
    <w:rsid w:val="00350669"/>
    <w:rsid w:val="003508B3"/>
    <w:rsid w:val="003508C0"/>
    <w:rsid w:val="00350AA0"/>
    <w:rsid w:val="00350AEF"/>
    <w:rsid w:val="00350B32"/>
    <w:rsid w:val="00350D72"/>
    <w:rsid w:val="00350D85"/>
    <w:rsid w:val="00350E2B"/>
    <w:rsid w:val="00350E36"/>
    <w:rsid w:val="00350F72"/>
    <w:rsid w:val="0035106D"/>
    <w:rsid w:val="00351223"/>
    <w:rsid w:val="00351268"/>
    <w:rsid w:val="0035131A"/>
    <w:rsid w:val="00351326"/>
    <w:rsid w:val="0035146D"/>
    <w:rsid w:val="0035157C"/>
    <w:rsid w:val="00351582"/>
    <w:rsid w:val="003516A4"/>
    <w:rsid w:val="003517E2"/>
    <w:rsid w:val="00351A45"/>
    <w:rsid w:val="00351A46"/>
    <w:rsid w:val="00351AD9"/>
    <w:rsid w:val="00351B66"/>
    <w:rsid w:val="00351CF2"/>
    <w:rsid w:val="00351E48"/>
    <w:rsid w:val="00351F6C"/>
    <w:rsid w:val="00352054"/>
    <w:rsid w:val="00352098"/>
    <w:rsid w:val="0035209D"/>
    <w:rsid w:val="003520B3"/>
    <w:rsid w:val="0035228B"/>
    <w:rsid w:val="003523DB"/>
    <w:rsid w:val="003524C2"/>
    <w:rsid w:val="003524E8"/>
    <w:rsid w:val="003525BF"/>
    <w:rsid w:val="00352712"/>
    <w:rsid w:val="00352859"/>
    <w:rsid w:val="0035287E"/>
    <w:rsid w:val="00352885"/>
    <w:rsid w:val="003528B7"/>
    <w:rsid w:val="0035294E"/>
    <w:rsid w:val="0035296C"/>
    <w:rsid w:val="00352A01"/>
    <w:rsid w:val="00352A28"/>
    <w:rsid w:val="00352AD6"/>
    <w:rsid w:val="00352DAE"/>
    <w:rsid w:val="00352DC1"/>
    <w:rsid w:val="00352DC4"/>
    <w:rsid w:val="00352E28"/>
    <w:rsid w:val="00352E4E"/>
    <w:rsid w:val="00352F28"/>
    <w:rsid w:val="00353183"/>
    <w:rsid w:val="00353277"/>
    <w:rsid w:val="003532DF"/>
    <w:rsid w:val="003532F2"/>
    <w:rsid w:val="00353389"/>
    <w:rsid w:val="003533E2"/>
    <w:rsid w:val="00353425"/>
    <w:rsid w:val="003534C8"/>
    <w:rsid w:val="0035352E"/>
    <w:rsid w:val="00353699"/>
    <w:rsid w:val="003537AB"/>
    <w:rsid w:val="003537E3"/>
    <w:rsid w:val="00353967"/>
    <w:rsid w:val="003539A9"/>
    <w:rsid w:val="00353CC0"/>
    <w:rsid w:val="00353E4B"/>
    <w:rsid w:val="00353E99"/>
    <w:rsid w:val="00353EA4"/>
    <w:rsid w:val="00353F89"/>
    <w:rsid w:val="00353FF7"/>
    <w:rsid w:val="0035404B"/>
    <w:rsid w:val="00354050"/>
    <w:rsid w:val="003540C9"/>
    <w:rsid w:val="003540D5"/>
    <w:rsid w:val="003540D8"/>
    <w:rsid w:val="003543E1"/>
    <w:rsid w:val="00354450"/>
    <w:rsid w:val="0035469A"/>
    <w:rsid w:val="003546C3"/>
    <w:rsid w:val="003546F9"/>
    <w:rsid w:val="00354701"/>
    <w:rsid w:val="003547C1"/>
    <w:rsid w:val="003547C5"/>
    <w:rsid w:val="003548E6"/>
    <w:rsid w:val="003548F5"/>
    <w:rsid w:val="003549E0"/>
    <w:rsid w:val="00354A8E"/>
    <w:rsid w:val="00354B1A"/>
    <w:rsid w:val="00354B41"/>
    <w:rsid w:val="00354C31"/>
    <w:rsid w:val="00354F91"/>
    <w:rsid w:val="0035510C"/>
    <w:rsid w:val="00355282"/>
    <w:rsid w:val="00355422"/>
    <w:rsid w:val="0035549A"/>
    <w:rsid w:val="003554B0"/>
    <w:rsid w:val="003555D3"/>
    <w:rsid w:val="00355708"/>
    <w:rsid w:val="00355751"/>
    <w:rsid w:val="003557A2"/>
    <w:rsid w:val="0035585A"/>
    <w:rsid w:val="003558F3"/>
    <w:rsid w:val="00355949"/>
    <w:rsid w:val="00355A6F"/>
    <w:rsid w:val="00355B33"/>
    <w:rsid w:val="00355B4E"/>
    <w:rsid w:val="00355B68"/>
    <w:rsid w:val="00355BC7"/>
    <w:rsid w:val="00355D3F"/>
    <w:rsid w:val="00355D53"/>
    <w:rsid w:val="00355E04"/>
    <w:rsid w:val="00355E54"/>
    <w:rsid w:val="00355EA6"/>
    <w:rsid w:val="003560F3"/>
    <w:rsid w:val="00356234"/>
    <w:rsid w:val="003564C7"/>
    <w:rsid w:val="00356701"/>
    <w:rsid w:val="00356855"/>
    <w:rsid w:val="003568EA"/>
    <w:rsid w:val="00356924"/>
    <w:rsid w:val="00356982"/>
    <w:rsid w:val="00356A24"/>
    <w:rsid w:val="00356BB5"/>
    <w:rsid w:val="00356C62"/>
    <w:rsid w:val="00356CC8"/>
    <w:rsid w:val="00356D04"/>
    <w:rsid w:val="00356F59"/>
    <w:rsid w:val="0035701B"/>
    <w:rsid w:val="0035702D"/>
    <w:rsid w:val="00357157"/>
    <w:rsid w:val="003572C0"/>
    <w:rsid w:val="00357359"/>
    <w:rsid w:val="00357367"/>
    <w:rsid w:val="0035743A"/>
    <w:rsid w:val="0035744A"/>
    <w:rsid w:val="003574EF"/>
    <w:rsid w:val="00357687"/>
    <w:rsid w:val="0035778C"/>
    <w:rsid w:val="00357837"/>
    <w:rsid w:val="00357843"/>
    <w:rsid w:val="0035792C"/>
    <w:rsid w:val="00357970"/>
    <w:rsid w:val="00357A1C"/>
    <w:rsid w:val="00357BB5"/>
    <w:rsid w:val="00357C5E"/>
    <w:rsid w:val="00357D21"/>
    <w:rsid w:val="00357F74"/>
    <w:rsid w:val="00357FB7"/>
    <w:rsid w:val="00359CD2"/>
    <w:rsid w:val="0035FFD2"/>
    <w:rsid w:val="00360106"/>
    <w:rsid w:val="00360311"/>
    <w:rsid w:val="003603FE"/>
    <w:rsid w:val="00360464"/>
    <w:rsid w:val="003605D6"/>
    <w:rsid w:val="00360ADC"/>
    <w:rsid w:val="00360AF0"/>
    <w:rsid w:val="00360BEE"/>
    <w:rsid w:val="00360C95"/>
    <w:rsid w:val="00360D20"/>
    <w:rsid w:val="00360EA6"/>
    <w:rsid w:val="00361008"/>
    <w:rsid w:val="00361092"/>
    <w:rsid w:val="00361148"/>
    <w:rsid w:val="00361245"/>
    <w:rsid w:val="00361255"/>
    <w:rsid w:val="003612CF"/>
    <w:rsid w:val="00361330"/>
    <w:rsid w:val="00361379"/>
    <w:rsid w:val="003614C3"/>
    <w:rsid w:val="003614C5"/>
    <w:rsid w:val="0036151A"/>
    <w:rsid w:val="003616B6"/>
    <w:rsid w:val="00361730"/>
    <w:rsid w:val="00361784"/>
    <w:rsid w:val="0036180D"/>
    <w:rsid w:val="0036194E"/>
    <w:rsid w:val="003619FC"/>
    <w:rsid w:val="00361A51"/>
    <w:rsid w:val="00361A69"/>
    <w:rsid w:val="00361A86"/>
    <w:rsid w:val="00361AE3"/>
    <w:rsid w:val="00361B90"/>
    <w:rsid w:val="00361BA8"/>
    <w:rsid w:val="00361D44"/>
    <w:rsid w:val="00361E9F"/>
    <w:rsid w:val="00361EA7"/>
    <w:rsid w:val="003621CF"/>
    <w:rsid w:val="00362246"/>
    <w:rsid w:val="0036227B"/>
    <w:rsid w:val="00362481"/>
    <w:rsid w:val="003624C3"/>
    <w:rsid w:val="003624E7"/>
    <w:rsid w:val="00362561"/>
    <w:rsid w:val="003626C1"/>
    <w:rsid w:val="0036270C"/>
    <w:rsid w:val="0036287B"/>
    <w:rsid w:val="003628D1"/>
    <w:rsid w:val="00362AA8"/>
    <w:rsid w:val="00362C03"/>
    <w:rsid w:val="00362C63"/>
    <w:rsid w:val="00362EAF"/>
    <w:rsid w:val="00362EE7"/>
    <w:rsid w:val="00362F98"/>
    <w:rsid w:val="00363137"/>
    <w:rsid w:val="003631DB"/>
    <w:rsid w:val="0036321E"/>
    <w:rsid w:val="003632CD"/>
    <w:rsid w:val="003632E4"/>
    <w:rsid w:val="00363316"/>
    <w:rsid w:val="00363344"/>
    <w:rsid w:val="00363470"/>
    <w:rsid w:val="003634A3"/>
    <w:rsid w:val="00363530"/>
    <w:rsid w:val="00363657"/>
    <w:rsid w:val="003636F7"/>
    <w:rsid w:val="0036377C"/>
    <w:rsid w:val="0036378B"/>
    <w:rsid w:val="003638C1"/>
    <w:rsid w:val="003638E3"/>
    <w:rsid w:val="00363997"/>
    <w:rsid w:val="003639D7"/>
    <w:rsid w:val="00363C32"/>
    <w:rsid w:val="00363C70"/>
    <w:rsid w:val="00363CDA"/>
    <w:rsid w:val="00363CF9"/>
    <w:rsid w:val="00363D83"/>
    <w:rsid w:val="00363E4E"/>
    <w:rsid w:val="00363E9D"/>
    <w:rsid w:val="00363F76"/>
    <w:rsid w:val="00364111"/>
    <w:rsid w:val="0036412A"/>
    <w:rsid w:val="0036414A"/>
    <w:rsid w:val="00364290"/>
    <w:rsid w:val="0036429E"/>
    <w:rsid w:val="00364319"/>
    <w:rsid w:val="0036436F"/>
    <w:rsid w:val="003644CB"/>
    <w:rsid w:val="003644D4"/>
    <w:rsid w:val="003644DB"/>
    <w:rsid w:val="0036450D"/>
    <w:rsid w:val="00364549"/>
    <w:rsid w:val="0036464B"/>
    <w:rsid w:val="00364694"/>
    <w:rsid w:val="003646B1"/>
    <w:rsid w:val="0036470B"/>
    <w:rsid w:val="0036472A"/>
    <w:rsid w:val="0036480B"/>
    <w:rsid w:val="003648C3"/>
    <w:rsid w:val="00364B10"/>
    <w:rsid w:val="00364B38"/>
    <w:rsid w:val="00364B64"/>
    <w:rsid w:val="00364BEB"/>
    <w:rsid w:val="00364C02"/>
    <w:rsid w:val="00364C4A"/>
    <w:rsid w:val="00364C60"/>
    <w:rsid w:val="00364C88"/>
    <w:rsid w:val="00364EF3"/>
    <w:rsid w:val="00364FBF"/>
    <w:rsid w:val="003650DC"/>
    <w:rsid w:val="00365167"/>
    <w:rsid w:val="003651DF"/>
    <w:rsid w:val="00365295"/>
    <w:rsid w:val="00365343"/>
    <w:rsid w:val="003654E9"/>
    <w:rsid w:val="00365500"/>
    <w:rsid w:val="003655D4"/>
    <w:rsid w:val="0036591B"/>
    <w:rsid w:val="00365972"/>
    <w:rsid w:val="00365984"/>
    <w:rsid w:val="0036598E"/>
    <w:rsid w:val="003659B5"/>
    <w:rsid w:val="003659D7"/>
    <w:rsid w:val="00365A64"/>
    <w:rsid w:val="00365C5D"/>
    <w:rsid w:val="00365CC1"/>
    <w:rsid w:val="00365D4D"/>
    <w:rsid w:val="00365D8E"/>
    <w:rsid w:val="00365E9B"/>
    <w:rsid w:val="00365F47"/>
    <w:rsid w:val="00365F49"/>
    <w:rsid w:val="00365F82"/>
    <w:rsid w:val="00366116"/>
    <w:rsid w:val="003661CC"/>
    <w:rsid w:val="00366200"/>
    <w:rsid w:val="0036627C"/>
    <w:rsid w:val="0036628E"/>
    <w:rsid w:val="00366361"/>
    <w:rsid w:val="003664EE"/>
    <w:rsid w:val="00366514"/>
    <w:rsid w:val="0036651D"/>
    <w:rsid w:val="00366564"/>
    <w:rsid w:val="00366566"/>
    <w:rsid w:val="003665F9"/>
    <w:rsid w:val="003666CC"/>
    <w:rsid w:val="0036675E"/>
    <w:rsid w:val="00366807"/>
    <w:rsid w:val="00366911"/>
    <w:rsid w:val="00366A1D"/>
    <w:rsid w:val="00366B4E"/>
    <w:rsid w:val="00366C8C"/>
    <w:rsid w:val="00366CF6"/>
    <w:rsid w:val="003671F8"/>
    <w:rsid w:val="0036721C"/>
    <w:rsid w:val="003672BB"/>
    <w:rsid w:val="003672F3"/>
    <w:rsid w:val="00367317"/>
    <w:rsid w:val="0036736A"/>
    <w:rsid w:val="00367439"/>
    <w:rsid w:val="003674A3"/>
    <w:rsid w:val="003674B0"/>
    <w:rsid w:val="003674BC"/>
    <w:rsid w:val="0036751F"/>
    <w:rsid w:val="0036756C"/>
    <w:rsid w:val="003675F8"/>
    <w:rsid w:val="003676BE"/>
    <w:rsid w:val="003676E0"/>
    <w:rsid w:val="0036777D"/>
    <w:rsid w:val="00367820"/>
    <w:rsid w:val="00367855"/>
    <w:rsid w:val="003678A3"/>
    <w:rsid w:val="00367C0A"/>
    <w:rsid w:val="00367CC3"/>
    <w:rsid w:val="00367D3F"/>
    <w:rsid w:val="00367EB3"/>
    <w:rsid w:val="00367FF8"/>
    <w:rsid w:val="003700FB"/>
    <w:rsid w:val="003704BC"/>
    <w:rsid w:val="003704E8"/>
    <w:rsid w:val="00370542"/>
    <w:rsid w:val="0037069C"/>
    <w:rsid w:val="0037085C"/>
    <w:rsid w:val="0037091F"/>
    <w:rsid w:val="00370922"/>
    <w:rsid w:val="00370AB0"/>
    <w:rsid w:val="00370AED"/>
    <w:rsid w:val="00370BDB"/>
    <w:rsid w:val="00370BF6"/>
    <w:rsid w:val="00370E00"/>
    <w:rsid w:val="00370E26"/>
    <w:rsid w:val="00370EC3"/>
    <w:rsid w:val="0037108C"/>
    <w:rsid w:val="0037116F"/>
    <w:rsid w:val="00371174"/>
    <w:rsid w:val="00371195"/>
    <w:rsid w:val="00371197"/>
    <w:rsid w:val="003711A0"/>
    <w:rsid w:val="003712A2"/>
    <w:rsid w:val="00371369"/>
    <w:rsid w:val="0037136E"/>
    <w:rsid w:val="00371435"/>
    <w:rsid w:val="00371596"/>
    <w:rsid w:val="003716E0"/>
    <w:rsid w:val="003717DE"/>
    <w:rsid w:val="00371887"/>
    <w:rsid w:val="00371B48"/>
    <w:rsid w:val="00371D3B"/>
    <w:rsid w:val="00371E1E"/>
    <w:rsid w:val="00371E42"/>
    <w:rsid w:val="00371FB8"/>
    <w:rsid w:val="00372033"/>
    <w:rsid w:val="0037215C"/>
    <w:rsid w:val="003721F1"/>
    <w:rsid w:val="0037239D"/>
    <w:rsid w:val="003724DE"/>
    <w:rsid w:val="0037274B"/>
    <w:rsid w:val="00372844"/>
    <w:rsid w:val="003728FF"/>
    <w:rsid w:val="00372901"/>
    <w:rsid w:val="003729AC"/>
    <w:rsid w:val="003729E5"/>
    <w:rsid w:val="00372A56"/>
    <w:rsid w:val="00372B02"/>
    <w:rsid w:val="00372B62"/>
    <w:rsid w:val="00372BA4"/>
    <w:rsid w:val="00372BC8"/>
    <w:rsid w:val="00372E5E"/>
    <w:rsid w:val="00372F01"/>
    <w:rsid w:val="00372FC9"/>
    <w:rsid w:val="0037304D"/>
    <w:rsid w:val="00373108"/>
    <w:rsid w:val="003731E3"/>
    <w:rsid w:val="0037336D"/>
    <w:rsid w:val="00373457"/>
    <w:rsid w:val="003734F3"/>
    <w:rsid w:val="003736DA"/>
    <w:rsid w:val="0037376B"/>
    <w:rsid w:val="003737E4"/>
    <w:rsid w:val="003737F5"/>
    <w:rsid w:val="003738B4"/>
    <w:rsid w:val="0037391E"/>
    <w:rsid w:val="0037392F"/>
    <w:rsid w:val="0037394C"/>
    <w:rsid w:val="00373BF9"/>
    <w:rsid w:val="00373C7E"/>
    <w:rsid w:val="00373D08"/>
    <w:rsid w:val="00373D3E"/>
    <w:rsid w:val="00373D89"/>
    <w:rsid w:val="00373D9F"/>
    <w:rsid w:val="00373EE7"/>
    <w:rsid w:val="0037402D"/>
    <w:rsid w:val="003740F3"/>
    <w:rsid w:val="003742E2"/>
    <w:rsid w:val="003742E6"/>
    <w:rsid w:val="00374381"/>
    <w:rsid w:val="003743D6"/>
    <w:rsid w:val="00374450"/>
    <w:rsid w:val="0037449B"/>
    <w:rsid w:val="003744D8"/>
    <w:rsid w:val="0037452F"/>
    <w:rsid w:val="0037461C"/>
    <w:rsid w:val="0037462A"/>
    <w:rsid w:val="0037478B"/>
    <w:rsid w:val="0037479B"/>
    <w:rsid w:val="003747D5"/>
    <w:rsid w:val="0037498F"/>
    <w:rsid w:val="003749E4"/>
    <w:rsid w:val="00374B73"/>
    <w:rsid w:val="00374C98"/>
    <w:rsid w:val="00374D41"/>
    <w:rsid w:val="00374DEB"/>
    <w:rsid w:val="00374E3A"/>
    <w:rsid w:val="00375010"/>
    <w:rsid w:val="0037508A"/>
    <w:rsid w:val="0037527D"/>
    <w:rsid w:val="003752EF"/>
    <w:rsid w:val="0037534F"/>
    <w:rsid w:val="003753E7"/>
    <w:rsid w:val="00375477"/>
    <w:rsid w:val="003754CC"/>
    <w:rsid w:val="00375541"/>
    <w:rsid w:val="003756A5"/>
    <w:rsid w:val="00375723"/>
    <w:rsid w:val="0037573A"/>
    <w:rsid w:val="0037581B"/>
    <w:rsid w:val="0037581E"/>
    <w:rsid w:val="00375932"/>
    <w:rsid w:val="00375B6F"/>
    <w:rsid w:val="00375C07"/>
    <w:rsid w:val="00375E08"/>
    <w:rsid w:val="00375E2B"/>
    <w:rsid w:val="00375E2F"/>
    <w:rsid w:val="00375F78"/>
    <w:rsid w:val="0037603A"/>
    <w:rsid w:val="00376181"/>
    <w:rsid w:val="003761C4"/>
    <w:rsid w:val="00376206"/>
    <w:rsid w:val="0037621D"/>
    <w:rsid w:val="00376266"/>
    <w:rsid w:val="00376414"/>
    <w:rsid w:val="00376424"/>
    <w:rsid w:val="00376542"/>
    <w:rsid w:val="00376613"/>
    <w:rsid w:val="00376645"/>
    <w:rsid w:val="00376648"/>
    <w:rsid w:val="003766BF"/>
    <w:rsid w:val="003769B7"/>
    <w:rsid w:val="00376BCC"/>
    <w:rsid w:val="00376CDA"/>
    <w:rsid w:val="00376E61"/>
    <w:rsid w:val="00376F6A"/>
    <w:rsid w:val="00376FEA"/>
    <w:rsid w:val="003770B1"/>
    <w:rsid w:val="003770F6"/>
    <w:rsid w:val="00377137"/>
    <w:rsid w:val="0037719A"/>
    <w:rsid w:val="003772B6"/>
    <w:rsid w:val="003772CA"/>
    <w:rsid w:val="003773D9"/>
    <w:rsid w:val="003773DB"/>
    <w:rsid w:val="00377404"/>
    <w:rsid w:val="00377412"/>
    <w:rsid w:val="003774C3"/>
    <w:rsid w:val="003775AD"/>
    <w:rsid w:val="00377768"/>
    <w:rsid w:val="00377908"/>
    <w:rsid w:val="003779C0"/>
    <w:rsid w:val="00377A5B"/>
    <w:rsid w:val="00377AEC"/>
    <w:rsid w:val="00377C24"/>
    <w:rsid w:val="00377C7F"/>
    <w:rsid w:val="00377CFE"/>
    <w:rsid w:val="00377FD4"/>
    <w:rsid w:val="00380164"/>
    <w:rsid w:val="00380290"/>
    <w:rsid w:val="003802B6"/>
    <w:rsid w:val="0038031D"/>
    <w:rsid w:val="00380577"/>
    <w:rsid w:val="003805C7"/>
    <w:rsid w:val="003805D1"/>
    <w:rsid w:val="00380638"/>
    <w:rsid w:val="00380665"/>
    <w:rsid w:val="0038069E"/>
    <w:rsid w:val="003806B9"/>
    <w:rsid w:val="003806F6"/>
    <w:rsid w:val="00380790"/>
    <w:rsid w:val="0038086A"/>
    <w:rsid w:val="00380980"/>
    <w:rsid w:val="00380983"/>
    <w:rsid w:val="00380985"/>
    <w:rsid w:val="00380AD8"/>
    <w:rsid w:val="00380B71"/>
    <w:rsid w:val="00380BC7"/>
    <w:rsid w:val="00380D1A"/>
    <w:rsid w:val="00380EFC"/>
    <w:rsid w:val="00380F67"/>
    <w:rsid w:val="00380FB1"/>
    <w:rsid w:val="0038107B"/>
    <w:rsid w:val="00381148"/>
    <w:rsid w:val="003812E8"/>
    <w:rsid w:val="003813BB"/>
    <w:rsid w:val="0038143B"/>
    <w:rsid w:val="003816EE"/>
    <w:rsid w:val="003816F1"/>
    <w:rsid w:val="00381749"/>
    <w:rsid w:val="003818D5"/>
    <w:rsid w:val="0038194D"/>
    <w:rsid w:val="003819BA"/>
    <w:rsid w:val="00381A25"/>
    <w:rsid w:val="00381B06"/>
    <w:rsid w:val="00381B6E"/>
    <w:rsid w:val="00381BBD"/>
    <w:rsid w:val="00381D4C"/>
    <w:rsid w:val="00381DA3"/>
    <w:rsid w:val="00381E0A"/>
    <w:rsid w:val="00381E1A"/>
    <w:rsid w:val="00381E9C"/>
    <w:rsid w:val="00381F09"/>
    <w:rsid w:val="00381FA7"/>
    <w:rsid w:val="00382014"/>
    <w:rsid w:val="0038208E"/>
    <w:rsid w:val="0038214E"/>
    <w:rsid w:val="003821E6"/>
    <w:rsid w:val="00382330"/>
    <w:rsid w:val="00382372"/>
    <w:rsid w:val="00382421"/>
    <w:rsid w:val="00382589"/>
    <w:rsid w:val="00382796"/>
    <w:rsid w:val="003827A1"/>
    <w:rsid w:val="003828CB"/>
    <w:rsid w:val="00382A17"/>
    <w:rsid w:val="00382A30"/>
    <w:rsid w:val="00382A4E"/>
    <w:rsid w:val="00382AE4"/>
    <w:rsid w:val="00382C20"/>
    <w:rsid w:val="00382DF7"/>
    <w:rsid w:val="00382DFA"/>
    <w:rsid w:val="00382E06"/>
    <w:rsid w:val="00382F33"/>
    <w:rsid w:val="00383092"/>
    <w:rsid w:val="0038310C"/>
    <w:rsid w:val="003831B1"/>
    <w:rsid w:val="003831F0"/>
    <w:rsid w:val="00383215"/>
    <w:rsid w:val="00383232"/>
    <w:rsid w:val="003832DD"/>
    <w:rsid w:val="00383446"/>
    <w:rsid w:val="0038346C"/>
    <w:rsid w:val="0038352E"/>
    <w:rsid w:val="003835BB"/>
    <w:rsid w:val="0038362D"/>
    <w:rsid w:val="0038368A"/>
    <w:rsid w:val="003836ED"/>
    <w:rsid w:val="00383778"/>
    <w:rsid w:val="00383A4D"/>
    <w:rsid w:val="00383B76"/>
    <w:rsid w:val="00383C3A"/>
    <w:rsid w:val="00383C45"/>
    <w:rsid w:val="00383C8A"/>
    <w:rsid w:val="00383E01"/>
    <w:rsid w:val="00383F11"/>
    <w:rsid w:val="00383F32"/>
    <w:rsid w:val="00383F6E"/>
    <w:rsid w:val="00383F70"/>
    <w:rsid w:val="00383F96"/>
    <w:rsid w:val="00383FC9"/>
    <w:rsid w:val="003840A3"/>
    <w:rsid w:val="003841B4"/>
    <w:rsid w:val="003841B9"/>
    <w:rsid w:val="00384252"/>
    <w:rsid w:val="00384387"/>
    <w:rsid w:val="00384530"/>
    <w:rsid w:val="0038465C"/>
    <w:rsid w:val="00384853"/>
    <w:rsid w:val="0038485B"/>
    <w:rsid w:val="003848F8"/>
    <w:rsid w:val="003849DD"/>
    <w:rsid w:val="00384B14"/>
    <w:rsid w:val="00384BF6"/>
    <w:rsid w:val="00384C7B"/>
    <w:rsid w:val="00384E6F"/>
    <w:rsid w:val="003850C6"/>
    <w:rsid w:val="00385109"/>
    <w:rsid w:val="00385211"/>
    <w:rsid w:val="003852AA"/>
    <w:rsid w:val="003853EF"/>
    <w:rsid w:val="00385434"/>
    <w:rsid w:val="003855FC"/>
    <w:rsid w:val="00385735"/>
    <w:rsid w:val="00385810"/>
    <w:rsid w:val="00385B18"/>
    <w:rsid w:val="00385B1B"/>
    <w:rsid w:val="00385B86"/>
    <w:rsid w:val="00385C09"/>
    <w:rsid w:val="00385C14"/>
    <w:rsid w:val="00385C32"/>
    <w:rsid w:val="00385CF5"/>
    <w:rsid w:val="00385ECD"/>
    <w:rsid w:val="00385FC8"/>
    <w:rsid w:val="00386038"/>
    <w:rsid w:val="0038603A"/>
    <w:rsid w:val="003861C6"/>
    <w:rsid w:val="00386304"/>
    <w:rsid w:val="00386315"/>
    <w:rsid w:val="00386319"/>
    <w:rsid w:val="00386355"/>
    <w:rsid w:val="003863C6"/>
    <w:rsid w:val="0038640E"/>
    <w:rsid w:val="003866C1"/>
    <w:rsid w:val="003866C8"/>
    <w:rsid w:val="0038680A"/>
    <w:rsid w:val="003869EE"/>
    <w:rsid w:val="003869FB"/>
    <w:rsid w:val="00386B07"/>
    <w:rsid w:val="00386C76"/>
    <w:rsid w:val="00386C87"/>
    <w:rsid w:val="00386CA6"/>
    <w:rsid w:val="00386E2C"/>
    <w:rsid w:val="00386F39"/>
    <w:rsid w:val="00386F6F"/>
    <w:rsid w:val="00387021"/>
    <w:rsid w:val="003871B0"/>
    <w:rsid w:val="003871F3"/>
    <w:rsid w:val="003872F8"/>
    <w:rsid w:val="00387428"/>
    <w:rsid w:val="00387463"/>
    <w:rsid w:val="00387472"/>
    <w:rsid w:val="00387548"/>
    <w:rsid w:val="00387583"/>
    <w:rsid w:val="00387858"/>
    <w:rsid w:val="003878F3"/>
    <w:rsid w:val="00387969"/>
    <w:rsid w:val="0038796E"/>
    <w:rsid w:val="003879B8"/>
    <w:rsid w:val="003879EC"/>
    <w:rsid w:val="00387A1E"/>
    <w:rsid w:val="00387A36"/>
    <w:rsid w:val="00387B6E"/>
    <w:rsid w:val="00387B84"/>
    <w:rsid w:val="00387B9F"/>
    <w:rsid w:val="00387C5D"/>
    <w:rsid w:val="00387CB0"/>
    <w:rsid w:val="00387CC9"/>
    <w:rsid w:val="00387D2B"/>
    <w:rsid w:val="00387E8E"/>
    <w:rsid w:val="00390000"/>
    <w:rsid w:val="00390100"/>
    <w:rsid w:val="003901FB"/>
    <w:rsid w:val="003902E6"/>
    <w:rsid w:val="00390337"/>
    <w:rsid w:val="003904AA"/>
    <w:rsid w:val="003904BE"/>
    <w:rsid w:val="003904E5"/>
    <w:rsid w:val="00390591"/>
    <w:rsid w:val="0039063D"/>
    <w:rsid w:val="00390661"/>
    <w:rsid w:val="003906A6"/>
    <w:rsid w:val="003906B9"/>
    <w:rsid w:val="00390753"/>
    <w:rsid w:val="003907AE"/>
    <w:rsid w:val="003907F6"/>
    <w:rsid w:val="003909D7"/>
    <w:rsid w:val="00390AAE"/>
    <w:rsid w:val="00390B79"/>
    <w:rsid w:val="00390B87"/>
    <w:rsid w:val="00390BD0"/>
    <w:rsid w:val="00390C5A"/>
    <w:rsid w:val="00390C93"/>
    <w:rsid w:val="00390D08"/>
    <w:rsid w:val="00391207"/>
    <w:rsid w:val="003912F0"/>
    <w:rsid w:val="0039136A"/>
    <w:rsid w:val="0039142B"/>
    <w:rsid w:val="003914C5"/>
    <w:rsid w:val="00391547"/>
    <w:rsid w:val="00391625"/>
    <w:rsid w:val="00391661"/>
    <w:rsid w:val="00391716"/>
    <w:rsid w:val="0039175D"/>
    <w:rsid w:val="003917DF"/>
    <w:rsid w:val="00391AC1"/>
    <w:rsid w:val="00391AC4"/>
    <w:rsid w:val="00391B19"/>
    <w:rsid w:val="00391BD6"/>
    <w:rsid w:val="00391C36"/>
    <w:rsid w:val="00391D6C"/>
    <w:rsid w:val="00391D99"/>
    <w:rsid w:val="00391DAF"/>
    <w:rsid w:val="00391DD1"/>
    <w:rsid w:val="0039203C"/>
    <w:rsid w:val="0039204C"/>
    <w:rsid w:val="003920C8"/>
    <w:rsid w:val="00392227"/>
    <w:rsid w:val="00392318"/>
    <w:rsid w:val="0039235B"/>
    <w:rsid w:val="00392418"/>
    <w:rsid w:val="003925A6"/>
    <w:rsid w:val="00392658"/>
    <w:rsid w:val="00392689"/>
    <w:rsid w:val="003926DC"/>
    <w:rsid w:val="003926FA"/>
    <w:rsid w:val="003928EC"/>
    <w:rsid w:val="00392918"/>
    <w:rsid w:val="00392A70"/>
    <w:rsid w:val="00392AB0"/>
    <w:rsid w:val="00392AB7"/>
    <w:rsid w:val="00392AE4"/>
    <w:rsid w:val="00392BA3"/>
    <w:rsid w:val="00392D10"/>
    <w:rsid w:val="00392D20"/>
    <w:rsid w:val="00392DE0"/>
    <w:rsid w:val="00392DE9"/>
    <w:rsid w:val="00392F7D"/>
    <w:rsid w:val="0039303A"/>
    <w:rsid w:val="0039311C"/>
    <w:rsid w:val="00393158"/>
    <w:rsid w:val="00393243"/>
    <w:rsid w:val="003933B0"/>
    <w:rsid w:val="003934CE"/>
    <w:rsid w:val="0039377C"/>
    <w:rsid w:val="003937C4"/>
    <w:rsid w:val="003937CB"/>
    <w:rsid w:val="003938E9"/>
    <w:rsid w:val="00393933"/>
    <w:rsid w:val="003939ED"/>
    <w:rsid w:val="00393BAC"/>
    <w:rsid w:val="00393C63"/>
    <w:rsid w:val="00393D05"/>
    <w:rsid w:val="00393FB9"/>
    <w:rsid w:val="00393FEF"/>
    <w:rsid w:val="003940AD"/>
    <w:rsid w:val="0039411E"/>
    <w:rsid w:val="0039412B"/>
    <w:rsid w:val="0039414C"/>
    <w:rsid w:val="00394189"/>
    <w:rsid w:val="003941CE"/>
    <w:rsid w:val="00394201"/>
    <w:rsid w:val="00394304"/>
    <w:rsid w:val="003943DF"/>
    <w:rsid w:val="00394407"/>
    <w:rsid w:val="0039444E"/>
    <w:rsid w:val="0039445E"/>
    <w:rsid w:val="003944B6"/>
    <w:rsid w:val="003945CB"/>
    <w:rsid w:val="00394858"/>
    <w:rsid w:val="003948E6"/>
    <w:rsid w:val="003949BE"/>
    <w:rsid w:val="00394A8E"/>
    <w:rsid w:val="00394AC7"/>
    <w:rsid w:val="00394C0C"/>
    <w:rsid w:val="00394C26"/>
    <w:rsid w:val="00394C38"/>
    <w:rsid w:val="00394CC1"/>
    <w:rsid w:val="00394D0E"/>
    <w:rsid w:val="00394E51"/>
    <w:rsid w:val="00394EE9"/>
    <w:rsid w:val="00394EFE"/>
    <w:rsid w:val="003950C0"/>
    <w:rsid w:val="00395182"/>
    <w:rsid w:val="003951FC"/>
    <w:rsid w:val="003953D1"/>
    <w:rsid w:val="003953DC"/>
    <w:rsid w:val="0039540B"/>
    <w:rsid w:val="003954C3"/>
    <w:rsid w:val="003955A7"/>
    <w:rsid w:val="003955CD"/>
    <w:rsid w:val="00395679"/>
    <w:rsid w:val="003958D2"/>
    <w:rsid w:val="00395926"/>
    <w:rsid w:val="00395A9A"/>
    <w:rsid w:val="00395CB1"/>
    <w:rsid w:val="00395DBC"/>
    <w:rsid w:val="00396088"/>
    <w:rsid w:val="003960CC"/>
    <w:rsid w:val="00396147"/>
    <w:rsid w:val="00396229"/>
    <w:rsid w:val="00396282"/>
    <w:rsid w:val="003967DD"/>
    <w:rsid w:val="0039685C"/>
    <w:rsid w:val="0039686C"/>
    <w:rsid w:val="003968A9"/>
    <w:rsid w:val="00396A22"/>
    <w:rsid w:val="00396AA7"/>
    <w:rsid w:val="00396ADF"/>
    <w:rsid w:val="00396AF9"/>
    <w:rsid w:val="00396B68"/>
    <w:rsid w:val="00396D50"/>
    <w:rsid w:val="00396E35"/>
    <w:rsid w:val="00396E3A"/>
    <w:rsid w:val="00396F0C"/>
    <w:rsid w:val="00396F34"/>
    <w:rsid w:val="00396F8B"/>
    <w:rsid w:val="00397041"/>
    <w:rsid w:val="0039706D"/>
    <w:rsid w:val="003970A1"/>
    <w:rsid w:val="00397146"/>
    <w:rsid w:val="003971C1"/>
    <w:rsid w:val="003972E6"/>
    <w:rsid w:val="003972F0"/>
    <w:rsid w:val="0039742C"/>
    <w:rsid w:val="0039742F"/>
    <w:rsid w:val="003974F9"/>
    <w:rsid w:val="0039755D"/>
    <w:rsid w:val="003976E4"/>
    <w:rsid w:val="003978CE"/>
    <w:rsid w:val="00397926"/>
    <w:rsid w:val="003979A5"/>
    <w:rsid w:val="003979DC"/>
    <w:rsid w:val="003979FE"/>
    <w:rsid w:val="00397A9F"/>
    <w:rsid w:val="00397BEF"/>
    <w:rsid w:val="00397C0F"/>
    <w:rsid w:val="00397CC9"/>
    <w:rsid w:val="00397EAE"/>
    <w:rsid w:val="00397F46"/>
    <w:rsid w:val="0039F86C"/>
    <w:rsid w:val="003A01DE"/>
    <w:rsid w:val="003A021B"/>
    <w:rsid w:val="003A0279"/>
    <w:rsid w:val="003A03E9"/>
    <w:rsid w:val="003A0410"/>
    <w:rsid w:val="003A04DE"/>
    <w:rsid w:val="003A053F"/>
    <w:rsid w:val="003A079F"/>
    <w:rsid w:val="003A07E9"/>
    <w:rsid w:val="003A098B"/>
    <w:rsid w:val="003A09E9"/>
    <w:rsid w:val="003A0A06"/>
    <w:rsid w:val="003A0A14"/>
    <w:rsid w:val="003A0AC5"/>
    <w:rsid w:val="003A0AD7"/>
    <w:rsid w:val="003A0B88"/>
    <w:rsid w:val="003A0D28"/>
    <w:rsid w:val="003A0EDE"/>
    <w:rsid w:val="003A0F0F"/>
    <w:rsid w:val="003A0F52"/>
    <w:rsid w:val="003A0FD3"/>
    <w:rsid w:val="003A106E"/>
    <w:rsid w:val="003A10D5"/>
    <w:rsid w:val="003A11CC"/>
    <w:rsid w:val="003A1249"/>
    <w:rsid w:val="003A12BA"/>
    <w:rsid w:val="003A12D2"/>
    <w:rsid w:val="003A1400"/>
    <w:rsid w:val="003A146F"/>
    <w:rsid w:val="003A1498"/>
    <w:rsid w:val="003A151F"/>
    <w:rsid w:val="003A1578"/>
    <w:rsid w:val="003A174A"/>
    <w:rsid w:val="003A1881"/>
    <w:rsid w:val="003A19E6"/>
    <w:rsid w:val="003A19ED"/>
    <w:rsid w:val="003A1A71"/>
    <w:rsid w:val="003A1B35"/>
    <w:rsid w:val="003A1B5A"/>
    <w:rsid w:val="003A1C19"/>
    <w:rsid w:val="003A1D5D"/>
    <w:rsid w:val="003A1E42"/>
    <w:rsid w:val="003A1F23"/>
    <w:rsid w:val="003A1FD1"/>
    <w:rsid w:val="003A200D"/>
    <w:rsid w:val="003A20A6"/>
    <w:rsid w:val="003A211B"/>
    <w:rsid w:val="003A215F"/>
    <w:rsid w:val="003A223F"/>
    <w:rsid w:val="003A2312"/>
    <w:rsid w:val="003A23C5"/>
    <w:rsid w:val="003A23ED"/>
    <w:rsid w:val="003A2481"/>
    <w:rsid w:val="003A249E"/>
    <w:rsid w:val="003A25DC"/>
    <w:rsid w:val="003A2655"/>
    <w:rsid w:val="003A2776"/>
    <w:rsid w:val="003A2A2B"/>
    <w:rsid w:val="003A2A42"/>
    <w:rsid w:val="003A2A61"/>
    <w:rsid w:val="003A2CC5"/>
    <w:rsid w:val="003A2CDD"/>
    <w:rsid w:val="003A2D2F"/>
    <w:rsid w:val="003A2D40"/>
    <w:rsid w:val="003A2D45"/>
    <w:rsid w:val="003A2E1C"/>
    <w:rsid w:val="003A2ECA"/>
    <w:rsid w:val="003A2EF5"/>
    <w:rsid w:val="003A2EF9"/>
    <w:rsid w:val="003A2F95"/>
    <w:rsid w:val="003A2FDD"/>
    <w:rsid w:val="003A3074"/>
    <w:rsid w:val="003A30AC"/>
    <w:rsid w:val="003A30F4"/>
    <w:rsid w:val="003A323E"/>
    <w:rsid w:val="003A33C5"/>
    <w:rsid w:val="003A352C"/>
    <w:rsid w:val="003A366C"/>
    <w:rsid w:val="003A3784"/>
    <w:rsid w:val="003A380A"/>
    <w:rsid w:val="003A3860"/>
    <w:rsid w:val="003A3899"/>
    <w:rsid w:val="003A3901"/>
    <w:rsid w:val="003A39A2"/>
    <w:rsid w:val="003A39DF"/>
    <w:rsid w:val="003A3C75"/>
    <w:rsid w:val="003A3D42"/>
    <w:rsid w:val="003A3F4A"/>
    <w:rsid w:val="003A4041"/>
    <w:rsid w:val="003A40E0"/>
    <w:rsid w:val="003A4101"/>
    <w:rsid w:val="003A4114"/>
    <w:rsid w:val="003A4214"/>
    <w:rsid w:val="003A4219"/>
    <w:rsid w:val="003A42A8"/>
    <w:rsid w:val="003A4307"/>
    <w:rsid w:val="003A4460"/>
    <w:rsid w:val="003A44C8"/>
    <w:rsid w:val="003A450A"/>
    <w:rsid w:val="003A458E"/>
    <w:rsid w:val="003A46F9"/>
    <w:rsid w:val="003A472A"/>
    <w:rsid w:val="003A474D"/>
    <w:rsid w:val="003A485B"/>
    <w:rsid w:val="003A4876"/>
    <w:rsid w:val="003A48D8"/>
    <w:rsid w:val="003A4948"/>
    <w:rsid w:val="003A49C5"/>
    <w:rsid w:val="003A4A1D"/>
    <w:rsid w:val="003A4B11"/>
    <w:rsid w:val="003A4D05"/>
    <w:rsid w:val="003A4E1E"/>
    <w:rsid w:val="003A4E68"/>
    <w:rsid w:val="003A4E95"/>
    <w:rsid w:val="003A4F07"/>
    <w:rsid w:val="003A4F42"/>
    <w:rsid w:val="003A4F9C"/>
    <w:rsid w:val="003A502F"/>
    <w:rsid w:val="003A5077"/>
    <w:rsid w:val="003A509A"/>
    <w:rsid w:val="003A50F1"/>
    <w:rsid w:val="003A5110"/>
    <w:rsid w:val="003A5166"/>
    <w:rsid w:val="003A51DC"/>
    <w:rsid w:val="003A5238"/>
    <w:rsid w:val="003A53BA"/>
    <w:rsid w:val="003A53E9"/>
    <w:rsid w:val="003A53ED"/>
    <w:rsid w:val="003A5406"/>
    <w:rsid w:val="003A549E"/>
    <w:rsid w:val="003A5507"/>
    <w:rsid w:val="003A55E6"/>
    <w:rsid w:val="003A5615"/>
    <w:rsid w:val="003A575F"/>
    <w:rsid w:val="003A58DB"/>
    <w:rsid w:val="003A5AAD"/>
    <w:rsid w:val="003A5B31"/>
    <w:rsid w:val="003A5B4F"/>
    <w:rsid w:val="003A5BBA"/>
    <w:rsid w:val="003A5C19"/>
    <w:rsid w:val="003A5CBC"/>
    <w:rsid w:val="003A5FE6"/>
    <w:rsid w:val="003A608B"/>
    <w:rsid w:val="003A618F"/>
    <w:rsid w:val="003A61E3"/>
    <w:rsid w:val="003A6284"/>
    <w:rsid w:val="003A62C7"/>
    <w:rsid w:val="003A62F2"/>
    <w:rsid w:val="003A632B"/>
    <w:rsid w:val="003A646C"/>
    <w:rsid w:val="003A648E"/>
    <w:rsid w:val="003A6492"/>
    <w:rsid w:val="003A65B5"/>
    <w:rsid w:val="003A673C"/>
    <w:rsid w:val="003A6822"/>
    <w:rsid w:val="003A6847"/>
    <w:rsid w:val="003A685B"/>
    <w:rsid w:val="003A6909"/>
    <w:rsid w:val="003A692D"/>
    <w:rsid w:val="003A69FF"/>
    <w:rsid w:val="003A6A60"/>
    <w:rsid w:val="003A6C35"/>
    <w:rsid w:val="003A6C81"/>
    <w:rsid w:val="003A6C87"/>
    <w:rsid w:val="003A6CD3"/>
    <w:rsid w:val="003A6CED"/>
    <w:rsid w:val="003A6E25"/>
    <w:rsid w:val="003A6F48"/>
    <w:rsid w:val="003A6FC7"/>
    <w:rsid w:val="003A7020"/>
    <w:rsid w:val="003A70D7"/>
    <w:rsid w:val="003A71F7"/>
    <w:rsid w:val="003A7212"/>
    <w:rsid w:val="003A72A0"/>
    <w:rsid w:val="003A72F5"/>
    <w:rsid w:val="003A73D2"/>
    <w:rsid w:val="003A748F"/>
    <w:rsid w:val="003A751C"/>
    <w:rsid w:val="003A7724"/>
    <w:rsid w:val="003A778D"/>
    <w:rsid w:val="003A77FB"/>
    <w:rsid w:val="003A7947"/>
    <w:rsid w:val="003A7A59"/>
    <w:rsid w:val="003A7B4E"/>
    <w:rsid w:val="003A7BE8"/>
    <w:rsid w:val="003A7BEA"/>
    <w:rsid w:val="003A7CB2"/>
    <w:rsid w:val="003A7DF1"/>
    <w:rsid w:val="003A7EC2"/>
    <w:rsid w:val="003A7FCD"/>
    <w:rsid w:val="003B00B4"/>
    <w:rsid w:val="003B0101"/>
    <w:rsid w:val="003B0105"/>
    <w:rsid w:val="003B0285"/>
    <w:rsid w:val="003B039F"/>
    <w:rsid w:val="003B03BB"/>
    <w:rsid w:val="003B042D"/>
    <w:rsid w:val="003B0558"/>
    <w:rsid w:val="003B05F0"/>
    <w:rsid w:val="003B060B"/>
    <w:rsid w:val="003B070D"/>
    <w:rsid w:val="003B076C"/>
    <w:rsid w:val="003B07D0"/>
    <w:rsid w:val="003B087B"/>
    <w:rsid w:val="003B089F"/>
    <w:rsid w:val="003B0C1A"/>
    <w:rsid w:val="003B0C20"/>
    <w:rsid w:val="003B0C26"/>
    <w:rsid w:val="003B0C87"/>
    <w:rsid w:val="003B0DB5"/>
    <w:rsid w:val="003B0E4A"/>
    <w:rsid w:val="003B0EE4"/>
    <w:rsid w:val="003B0F0F"/>
    <w:rsid w:val="003B0F1E"/>
    <w:rsid w:val="003B101A"/>
    <w:rsid w:val="003B1082"/>
    <w:rsid w:val="003B108C"/>
    <w:rsid w:val="003B11E1"/>
    <w:rsid w:val="003B12F5"/>
    <w:rsid w:val="003B1405"/>
    <w:rsid w:val="003B156E"/>
    <w:rsid w:val="003B162E"/>
    <w:rsid w:val="003B1763"/>
    <w:rsid w:val="003B17A3"/>
    <w:rsid w:val="003B185D"/>
    <w:rsid w:val="003B1AB2"/>
    <w:rsid w:val="003B1CB1"/>
    <w:rsid w:val="003B1E14"/>
    <w:rsid w:val="003B1E4C"/>
    <w:rsid w:val="003B1F4D"/>
    <w:rsid w:val="003B1F68"/>
    <w:rsid w:val="003B1F86"/>
    <w:rsid w:val="003B2002"/>
    <w:rsid w:val="003B2005"/>
    <w:rsid w:val="003B2033"/>
    <w:rsid w:val="003B207E"/>
    <w:rsid w:val="003B2200"/>
    <w:rsid w:val="003B22CE"/>
    <w:rsid w:val="003B2301"/>
    <w:rsid w:val="003B2340"/>
    <w:rsid w:val="003B24B8"/>
    <w:rsid w:val="003B2671"/>
    <w:rsid w:val="003B2682"/>
    <w:rsid w:val="003B26C6"/>
    <w:rsid w:val="003B275F"/>
    <w:rsid w:val="003B2824"/>
    <w:rsid w:val="003B288B"/>
    <w:rsid w:val="003B2A73"/>
    <w:rsid w:val="003B2A7C"/>
    <w:rsid w:val="003B2AD6"/>
    <w:rsid w:val="003B2BA2"/>
    <w:rsid w:val="003B2BF6"/>
    <w:rsid w:val="003B2BFA"/>
    <w:rsid w:val="003B2C0C"/>
    <w:rsid w:val="003B2C1E"/>
    <w:rsid w:val="003B2D63"/>
    <w:rsid w:val="003B2E4C"/>
    <w:rsid w:val="003B2E76"/>
    <w:rsid w:val="003B31B7"/>
    <w:rsid w:val="003B31DA"/>
    <w:rsid w:val="003B32D4"/>
    <w:rsid w:val="003B3439"/>
    <w:rsid w:val="003B348C"/>
    <w:rsid w:val="003B3550"/>
    <w:rsid w:val="003B364E"/>
    <w:rsid w:val="003B365F"/>
    <w:rsid w:val="003B3662"/>
    <w:rsid w:val="003B3684"/>
    <w:rsid w:val="003B3767"/>
    <w:rsid w:val="003B3917"/>
    <w:rsid w:val="003B3A7A"/>
    <w:rsid w:val="003B3A9F"/>
    <w:rsid w:val="003B3B26"/>
    <w:rsid w:val="003B3BCD"/>
    <w:rsid w:val="003B3BE5"/>
    <w:rsid w:val="003B3CB8"/>
    <w:rsid w:val="003B3CE7"/>
    <w:rsid w:val="003B3D06"/>
    <w:rsid w:val="003B3D12"/>
    <w:rsid w:val="003B3DD9"/>
    <w:rsid w:val="003B3E14"/>
    <w:rsid w:val="003B3EC7"/>
    <w:rsid w:val="003B3F0B"/>
    <w:rsid w:val="003B3F8E"/>
    <w:rsid w:val="003B3FE4"/>
    <w:rsid w:val="003B41B9"/>
    <w:rsid w:val="003B423F"/>
    <w:rsid w:val="003B4270"/>
    <w:rsid w:val="003B435B"/>
    <w:rsid w:val="003B43A2"/>
    <w:rsid w:val="003B4545"/>
    <w:rsid w:val="003B4589"/>
    <w:rsid w:val="003B460B"/>
    <w:rsid w:val="003B461C"/>
    <w:rsid w:val="003B4659"/>
    <w:rsid w:val="003B48F8"/>
    <w:rsid w:val="003B4908"/>
    <w:rsid w:val="003B4955"/>
    <w:rsid w:val="003B49E2"/>
    <w:rsid w:val="003B49F6"/>
    <w:rsid w:val="003B4A09"/>
    <w:rsid w:val="003B4A74"/>
    <w:rsid w:val="003B4ACE"/>
    <w:rsid w:val="003B4C15"/>
    <w:rsid w:val="003B4C35"/>
    <w:rsid w:val="003B4D5B"/>
    <w:rsid w:val="003B4DB4"/>
    <w:rsid w:val="003B4E4E"/>
    <w:rsid w:val="003B50B4"/>
    <w:rsid w:val="003B5388"/>
    <w:rsid w:val="003B540C"/>
    <w:rsid w:val="003B5581"/>
    <w:rsid w:val="003B55CA"/>
    <w:rsid w:val="003B55F2"/>
    <w:rsid w:val="003B56A5"/>
    <w:rsid w:val="003B56D8"/>
    <w:rsid w:val="003B5821"/>
    <w:rsid w:val="003B582E"/>
    <w:rsid w:val="003B5873"/>
    <w:rsid w:val="003B5A81"/>
    <w:rsid w:val="003B5AD3"/>
    <w:rsid w:val="003B5BE8"/>
    <w:rsid w:val="003B5C2E"/>
    <w:rsid w:val="003B5C90"/>
    <w:rsid w:val="003B5D4A"/>
    <w:rsid w:val="003B5D62"/>
    <w:rsid w:val="003B6272"/>
    <w:rsid w:val="003B62BA"/>
    <w:rsid w:val="003B63F7"/>
    <w:rsid w:val="003B648A"/>
    <w:rsid w:val="003B6500"/>
    <w:rsid w:val="003B6510"/>
    <w:rsid w:val="003B656B"/>
    <w:rsid w:val="003B6583"/>
    <w:rsid w:val="003B6598"/>
    <w:rsid w:val="003B6698"/>
    <w:rsid w:val="003B6844"/>
    <w:rsid w:val="003B6B0A"/>
    <w:rsid w:val="003B6B71"/>
    <w:rsid w:val="003B6B8E"/>
    <w:rsid w:val="003B6E68"/>
    <w:rsid w:val="003B6FEC"/>
    <w:rsid w:val="003B7037"/>
    <w:rsid w:val="003B705D"/>
    <w:rsid w:val="003B7178"/>
    <w:rsid w:val="003B72F3"/>
    <w:rsid w:val="003B7357"/>
    <w:rsid w:val="003B7419"/>
    <w:rsid w:val="003B7539"/>
    <w:rsid w:val="003B76F3"/>
    <w:rsid w:val="003B773D"/>
    <w:rsid w:val="003B778C"/>
    <w:rsid w:val="003B7866"/>
    <w:rsid w:val="003B7880"/>
    <w:rsid w:val="003B79B5"/>
    <w:rsid w:val="003B7A27"/>
    <w:rsid w:val="003B7A54"/>
    <w:rsid w:val="003B7A7C"/>
    <w:rsid w:val="003B7B45"/>
    <w:rsid w:val="003B7BC2"/>
    <w:rsid w:val="003B7BC9"/>
    <w:rsid w:val="003B7C24"/>
    <w:rsid w:val="003B7DF5"/>
    <w:rsid w:val="003B7E6F"/>
    <w:rsid w:val="003B7E76"/>
    <w:rsid w:val="003B7ED4"/>
    <w:rsid w:val="003B7FB5"/>
    <w:rsid w:val="003C00B5"/>
    <w:rsid w:val="003C014C"/>
    <w:rsid w:val="003C02F9"/>
    <w:rsid w:val="003C0399"/>
    <w:rsid w:val="003C0415"/>
    <w:rsid w:val="003C049C"/>
    <w:rsid w:val="003C04E8"/>
    <w:rsid w:val="003C0567"/>
    <w:rsid w:val="003C05F8"/>
    <w:rsid w:val="003C06DE"/>
    <w:rsid w:val="003C0811"/>
    <w:rsid w:val="003C0847"/>
    <w:rsid w:val="003C0863"/>
    <w:rsid w:val="003C0B17"/>
    <w:rsid w:val="003C0B86"/>
    <w:rsid w:val="003C0C67"/>
    <w:rsid w:val="003C0C6E"/>
    <w:rsid w:val="003C0D6A"/>
    <w:rsid w:val="003C1014"/>
    <w:rsid w:val="003C102D"/>
    <w:rsid w:val="003C10B0"/>
    <w:rsid w:val="003C11D0"/>
    <w:rsid w:val="003C1362"/>
    <w:rsid w:val="003C136F"/>
    <w:rsid w:val="003C1489"/>
    <w:rsid w:val="003C150D"/>
    <w:rsid w:val="003C1541"/>
    <w:rsid w:val="003C15A4"/>
    <w:rsid w:val="003C161A"/>
    <w:rsid w:val="003C16BD"/>
    <w:rsid w:val="003C18F1"/>
    <w:rsid w:val="003C1AB7"/>
    <w:rsid w:val="003C1B7C"/>
    <w:rsid w:val="003C1CC0"/>
    <w:rsid w:val="003C1CF5"/>
    <w:rsid w:val="003C1DE4"/>
    <w:rsid w:val="003C1E7D"/>
    <w:rsid w:val="003C1F14"/>
    <w:rsid w:val="003C1F92"/>
    <w:rsid w:val="003C1FB8"/>
    <w:rsid w:val="003C2161"/>
    <w:rsid w:val="003C21B3"/>
    <w:rsid w:val="003C2359"/>
    <w:rsid w:val="003C23A3"/>
    <w:rsid w:val="003C23BF"/>
    <w:rsid w:val="003C2427"/>
    <w:rsid w:val="003C24A5"/>
    <w:rsid w:val="003C2528"/>
    <w:rsid w:val="003C255E"/>
    <w:rsid w:val="003C298E"/>
    <w:rsid w:val="003C29A8"/>
    <w:rsid w:val="003C2A4D"/>
    <w:rsid w:val="003C2A6E"/>
    <w:rsid w:val="003C2A74"/>
    <w:rsid w:val="003C2A76"/>
    <w:rsid w:val="003C2A8C"/>
    <w:rsid w:val="003C2AEC"/>
    <w:rsid w:val="003C2BA3"/>
    <w:rsid w:val="003C2BE5"/>
    <w:rsid w:val="003C2C41"/>
    <w:rsid w:val="003C2CEC"/>
    <w:rsid w:val="003C2E28"/>
    <w:rsid w:val="003C31E1"/>
    <w:rsid w:val="003C32A7"/>
    <w:rsid w:val="003C32B0"/>
    <w:rsid w:val="003C335A"/>
    <w:rsid w:val="003C3375"/>
    <w:rsid w:val="003C338B"/>
    <w:rsid w:val="003C33C4"/>
    <w:rsid w:val="003C3474"/>
    <w:rsid w:val="003C3643"/>
    <w:rsid w:val="003C37CA"/>
    <w:rsid w:val="003C385C"/>
    <w:rsid w:val="003C3AC8"/>
    <w:rsid w:val="003C3E4B"/>
    <w:rsid w:val="003C3F3F"/>
    <w:rsid w:val="003C41F0"/>
    <w:rsid w:val="003C4203"/>
    <w:rsid w:val="003C4426"/>
    <w:rsid w:val="003C442C"/>
    <w:rsid w:val="003C458B"/>
    <w:rsid w:val="003C4607"/>
    <w:rsid w:val="003C4630"/>
    <w:rsid w:val="003C466A"/>
    <w:rsid w:val="003C46E0"/>
    <w:rsid w:val="003C47FC"/>
    <w:rsid w:val="003C4833"/>
    <w:rsid w:val="003C4ABB"/>
    <w:rsid w:val="003C4AF7"/>
    <w:rsid w:val="003C4C78"/>
    <w:rsid w:val="003C4E2E"/>
    <w:rsid w:val="003C4EC9"/>
    <w:rsid w:val="003C4EE3"/>
    <w:rsid w:val="003C4FBC"/>
    <w:rsid w:val="003C504C"/>
    <w:rsid w:val="003C507C"/>
    <w:rsid w:val="003C515B"/>
    <w:rsid w:val="003C51E6"/>
    <w:rsid w:val="003C533C"/>
    <w:rsid w:val="003C55AA"/>
    <w:rsid w:val="003C58AD"/>
    <w:rsid w:val="003C58E8"/>
    <w:rsid w:val="003C5A44"/>
    <w:rsid w:val="003C5AE7"/>
    <w:rsid w:val="003C5B4D"/>
    <w:rsid w:val="003C5B72"/>
    <w:rsid w:val="003C5C40"/>
    <w:rsid w:val="003C5DD5"/>
    <w:rsid w:val="003C5F52"/>
    <w:rsid w:val="003C5FC0"/>
    <w:rsid w:val="003C5FCF"/>
    <w:rsid w:val="003C5FE0"/>
    <w:rsid w:val="003C608F"/>
    <w:rsid w:val="003C611A"/>
    <w:rsid w:val="003C61A5"/>
    <w:rsid w:val="003C6331"/>
    <w:rsid w:val="003C644C"/>
    <w:rsid w:val="003C6451"/>
    <w:rsid w:val="003C668D"/>
    <w:rsid w:val="003C6C34"/>
    <w:rsid w:val="003C6C9B"/>
    <w:rsid w:val="003C6CB9"/>
    <w:rsid w:val="003C6D10"/>
    <w:rsid w:val="003C6D35"/>
    <w:rsid w:val="003C6D5F"/>
    <w:rsid w:val="003C6DA9"/>
    <w:rsid w:val="003C6EC5"/>
    <w:rsid w:val="003C6EEC"/>
    <w:rsid w:val="003C6F4A"/>
    <w:rsid w:val="003C7065"/>
    <w:rsid w:val="003C70DE"/>
    <w:rsid w:val="003C7128"/>
    <w:rsid w:val="003C713C"/>
    <w:rsid w:val="003C7184"/>
    <w:rsid w:val="003C7236"/>
    <w:rsid w:val="003C72A8"/>
    <w:rsid w:val="003C72FB"/>
    <w:rsid w:val="003C7329"/>
    <w:rsid w:val="003C738D"/>
    <w:rsid w:val="003C73C2"/>
    <w:rsid w:val="003C7462"/>
    <w:rsid w:val="003C7483"/>
    <w:rsid w:val="003C7579"/>
    <w:rsid w:val="003C7598"/>
    <w:rsid w:val="003C7731"/>
    <w:rsid w:val="003C78AE"/>
    <w:rsid w:val="003C795E"/>
    <w:rsid w:val="003C79DD"/>
    <w:rsid w:val="003C7ABA"/>
    <w:rsid w:val="003C7ABC"/>
    <w:rsid w:val="003C7AF2"/>
    <w:rsid w:val="003C7C96"/>
    <w:rsid w:val="003C7D5C"/>
    <w:rsid w:val="003C7D9F"/>
    <w:rsid w:val="003C7DC3"/>
    <w:rsid w:val="003C7DDD"/>
    <w:rsid w:val="003C7F2D"/>
    <w:rsid w:val="003C7F5E"/>
    <w:rsid w:val="003D0010"/>
    <w:rsid w:val="003D0158"/>
    <w:rsid w:val="003D02B5"/>
    <w:rsid w:val="003D0347"/>
    <w:rsid w:val="003D0466"/>
    <w:rsid w:val="003D0543"/>
    <w:rsid w:val="003D05B5"/>
    <w:rsid w:val="003D08A1"/>
    <w:rsid w:val="003D08CB"/>
    <w:rsid w:val="003D0DB2"/>
    <w:rsid w:val="003D0DCC"/>
    <w:rsid w:val="003D0F63"/>
    <w:rsid w:val="003D0F77"/>
    <w:rsid w:val="003D0FF8"/>
    <w:rsid w:val="003D100E"/>
    <w:rsid w:val="003D1025"/>
    <w:rsid w:val="003D10E8"/>
    <w:rsid w:val="003D11C9"/>
    <w:rsid w:val="003D120C"/>
    <w:rsid w:val="003D12E2"/>
    <w:rsid w:val="003D148D"/>
    <w:rsid w:val="003D14B3"/>
    <w:rsid w:val="003D14C6"/>
    <w:rsid w:val="003D14D3"/>
    <w:rsid w:val="003D1561"/>
    <w:rsid w:val="003D15E8"/>
    <w:rsid w:val="003D1648"/>
    <w:rsid w:val="003D176D"/>
    <w:rsid w:val="003D19A2"/>
    <w:rsid w:val="003D19F0"/>
    <w:rsid w:val="003D1B15"/>
    <w:rsid w:val="003D1B99"/>
    <w:rsid w:val="003D1BCD"/>
    <w:rsid w:val="003D1C52"/>
    <w:rsid w:val="003D1D69"/>
    <w:rsid w:val="003D1E5D"/>
    <w:rsid w:val="003D1F38"/>
    <w:rsid w:val="003D1F50"/>
    <w:rsid w:val="003D1FF7"/>
    <w:rsid w:val="003D2068"/>
    <w:rsid w:val="003D21E1"/>
    <w:rsid w:val="003D244E"/>
    <w:rsid w:val="003D2458"/>
    <w:rsid w:val="003D2491"/>
    <w:rsid w:val="003D2584"/>
    <w:rsid w:val="003D25CB"/>
    <w:rsid w:val="003D2645"/>
    <w:rsid w:val="003D26D7"/>
    <w:rsid w:val="003D2712"/>
    <w:rsid w:val="003D2747"/>
    <w:rsid w:val="003D2924"/>
    <w:rsid w:val="003D2B92"/>
    <w:rsid w:val="003D2D18"/>
    <w:rsid w:val="003D2D40"/>
    <w:rsid w:val="003D2E9A"/>
    <w:rsid w:val="003D2EB0"/>
    <w:rsid w:val="003D2F04"/>
    <w:rsid w:val="003D2FD1"/>
    <w:rsid w:val="003D2FE4"/>
    <w:rsid w:val="003D3085"/>
    <w:rsid w:val="003D315D"/>
    <w:rsid w:val="003D32F9"/>
    <w:rsid w:val="003D33CC"/>
    <w:rsid w:val="003D3442"/>
    <w:rsid w:val="003D3568"/>
    <w:rsid w:val="003D3594"/>
    <w:rsid w:val="003D3661"/>
    <w:rsid w:val="003D3669"/>
    <w:rsid w:val="003D36FD"/>
    <w:rsid w:val="003D37C3"/>
    <w:rsid w:val="003D37ED"/>
    <w:rsid w:val="003D3844"/>
    <w:rsid w:val="003D3864"/>
    <w:rsid w:val="003D3995"/>
    <w:rsid w:val="003D39F6"/>
    <w:rsid w:val="003D3A50"/>
    <w:rsid w:val="003D3A5D"/>
    <w:rsid w:val="003D3BCD"/>
    <w:rsid w:val="003D3C06"/>
    <w:rsid w:val="003D3CAD"/>
    <w:rsid w:val="003D3D2E"/>
    <w:rsid w:val="003D3E55"/>
    <w:rsid w:val="003D3E5D"/>
    <w:rsid w:val="003D406C"/>
    <w:rsid w:val="003D40C7"/>
    <w:rsid w:val="003D43AA"/>
    <w:rsid w:val="003D43B8"/>
    <w:rsid w:val="003D451E"/>
    <w:rsid w:val="003D4577"/>
    <w:rsid w:val="003D45FD"/>
    <w:rsid w:val="003D4683"/>
    <w:rsid w:val="003D468D"/>
    <w:rsid w:val="003D4692"/>
    <w:rsid w:val="003D46A6"/>
    <w:rsid w:val="003D4745"/>
    <w:rsid w:val="003D47B8"/>
    <w:rsid w:val="003D480E"/>
    <w:rsid w:val="003D4843"/>
    <w:rsid w:val="003D487C"/>
    <w:rsid w:val="003D4886"/>
    <w:rsid w:val="003D49C3"/>
    <w:rsid w:val="003D4A3F"/>
    <w:rsid w:val="003D4AC4"/>
    <w:rsid w:val="003D4AE6"/>
    <w:rsid w:val="003D4AE9"/>
    <w:rsid w:val="003D4BEE"/>
    <w:rsid w:val="003D4C05"/>
    <w:rsid w:val="003D4EBB"/>
    <w:rsid w:val="003D4FA4"/>
    <w:rsid w:val="003D503E"/>
    <w:rsid w:val="003D526D"/>
    <w:rsid w:val="003D530B"/>
    <w:rsid w:val="003D536A"/>
    <w:rsid w:val="003D53FD"/>
    <w:rsid w:val="003D549D"/>
    <w:rsid w:val="003D5502"/>
    <w:rsid w:val="003D550E"/>
    <w:rsid w:val="003D57E8"/>
    <w:rsid w:val="003D581A"/>
    <w:rsid w:val="003D588D"/>
    <w:rsid w:val="003D58FD"/>
    <w:rsid w:val="003D59A2"/>
    <w:rsid w:val="003D5A70"/>
    <w:rsid w:val="003D5AF8"/>
    <w:rsid w:val="003D5B7F"/>
    <w:rsid w:val="003D5D0C"/>
    <w:rsid w:val="003D5D26"/>
    <w:rsid w:val="003D5D66"/>
    <w:rsid w:val="003D5DAC"/>
    <w:rsid w:val="003D5DCB"/>
    <w:rsid w:val="003D5EFB"/>
    <w:rsid w:val="003D5F01"/>
    <w:rsid w:val="003D5F75"/>
    <w:rsid w:val="003D5FEA"/>
    <w:rsid w:val="003D604C"/>
    <w:rsid w:val="003D6223"/>
    <w:rsid w:val="003D62E5"/>
    <w:rsid w:val="003D637E"/>
    <w:rsid w:val="003D63F2"/>
    <w:rsid w:val="003D6418"/>
    <w:rsid w:val="003D6483"/>
    <w:rsid w:val="003D649F"/>
    <w:rsid w:val="003D6693"/>
    <w:rsid w:val="003D6734"/>
    <w:rsid w:val="003D67A5"/>
    <w:rsid w:val="003D681E"/>
    <w:rsid w:val="003D68E1"/>
    <w:rsid w:val="003D691F"/>
    <w:rsid w:val="003D6A0A"/>
    <w:rsid w:val="003D6C7E"/>
    <w:rsid w:val="003D6D76"/>
    <w:rsid w:val="003D6E14"/>
    <w:rsid w:val="003D6EDD"/>
    <w:rsid w:val="003D6F07"/>
    <w:rsid w:val="003D7006"/>
    <w:rsid w:val="003D7011"/>
    <w:rsid w:val="003D7079"/>
    <w:rsid w:val="003D7086"/>
    <w:rsid w:val="003D7254"/>
    <w:rsid w:val="003D753A"/>
    <w:rsid w:val="003D76C0"/>
    <w:rsid w:val="003D77EB"/>
    <w:rsid w:val="003D7821"/>
    <w:rsid w:val="003D7839"/>
    <w:rsid w:val="003D7930"/>
    <w:rsid w:val="003D7A59"/>
    <w:rsid w:val="003D7B33"/>
    <w:rsid w:val="003D7B74"/>
    <w:rsid w:val="003D7BB4"/>
    <w:rsid w:val="003D7BEC"/>
    <w:rsid w:val="003D7C0A"/>
    <w:rsid w:val="003D7C15"/>
    <w:rsid w:val="003D7C98"/>
    <w:rsid w:val="003D7D22"/>
    <w:rsid w:val="003D7DBE"/>
    <w:rsid w:val="003D7DFB"/>
    <w:rsid w:val="003D7E14"/>
    <w:rsid w:val="003D7E16"/>
    <w:rsid w:val="003D7E37"/>
    <w:rsid w:val="003E0056"/>
    <w:rsid w:val="003E00A9"/>
    <w:rsid w:val="003E00DF"/>
    <w:rsid w:val="003E0117"/>
    <w:rsid w:val="003E012B"/>
    <w:rsid w:val="003E017B"/>
    <w:rsid w:val="003E0223"/>
    <w:rsid w:val="003E0320"/>
    <w:rsid w:val="003E036D"/>
    <w:rsid w:val="003E063F"/>
    <w:rsid w:val="003E070B"/>
    <w:rsid w:val="003E0792"/>
    <w:rsid w:val="003E07D1"/>
    <w:rsid w:val="003E0885"/>
    <w:rsid w:val="003E0895"/>
    <w:rsid w:val="003E09C4"/>
    <w:rsid w:val="003E0A4A"/>
    <w:rsid w:val="003E0AD5"/>
    <w:rsid w:val="003E0B49"/>
    <w:rsid w:val="003E0B96"/>
    <w:rsid w:val="003E0C3B"/>
    <w:rsid w:val="003E0C81"/>
    <w:rsid w:val="003E0C82"/>
    <w:rsid w:val="003E0D71"/>
    <w:rsid w:val="003E1088"/>
    <w:rsid w:val="003E11FF"/>
    <w:rsid w:val="003E12A0"/>
    <w:rsid w:val="003E1312"/>
    <w:rsid w:val="003E1364"/>
    <w:rsid w:val="003E14D5"/>
    <w:rsid w:val="003E1592"/>
    <w:rsid w:val="003E165F"/>
    <w:rsid w:val="003E1682"/>
    <w:rsid w:val="003E16C6"/>
    <w:rsid w:val="003E172D"/>
    <w:rsid w:val="003E1A82"/>
    <w:rsid w:val="003E1AE4"/>
    <w:rsid w:val="003E1BED"/>
    <w:rsid w:val="003E1C0A"/>
    <w:rsid w:val="003E1C87"/>
    <w:rsid w:val="003E1C9A"/>
    <w:rsid w:val="003E1D78"/>
    <w:rsid w:val="003E1E2A"/>
    <w:rsid w:val="003E1E3F"/>
    <w:rsid w:val="003E1E52"/>
    <w:rsid w:val="003E1E87"/>
    <w:rsid w:val="003E1FEB"/>
    <w:rsid w:val="003E201D"/>
    <w:rsid w:val="003E2079"/>
    <w:rsid w:val="003E2449"/>
    <w:rsid w:val="003E24CB"/>
    <w:rsid w:val="003E24EF"/>
    <w:rsid w:val="003E25A6"/>
    <w:rsid w:val="003E26E6"/>
    <w:rsid w:val="003E28E7"/>
    <w:rsid w:val="003E29E7"/>
    <w:rsid w:val="003E2ABD"/>
    <w:rsid w:val="003E2BBB"/>
    <w:rsid w:val="003E2BCD"/>
    <w:rsid w:val="003E2DA1"/>
    <w:rsid w:val="003E2E30"/>
    <w:rsid w:val="003E2E66"/>
    <w:rsid w:val="003E309F"/>
    <w:rsid w:val="003E30AF"/>
    <w:rsid w:val="003E30BF"/>
    <w:rsid w:val="003E3411"/>
    <w:rsid w:val="003E34C6"/>
    <w:rsid w:val="003E34D1"/>
    <w:rsid w:val="003E35B2"/>
    <w:rsid w:val="003E361A"/>
    <w:rsid w:val="003E3684"/>
    <w:rsid w:val="003E3762"/>
    <w:rsid w:val="003E3803"/>
    <w:rsid w:val="003E381F"/>
    <w:rsid w:val="003E3957"/>
    <w:rsid w:val="003E3A16"/>
    <w:rsid w:val="003E3A48"/>
    <w:rsid w:val="003E3A56"/>
    <w:rsid w:val="003E3E5E"/>
    <w:rsid w:val="003E3E93"/>
    <w:rsid w:val="003E3EBC"/>
    <w:rsid w:val="003E3F54"/>
    <w:rsid w:val="003E3F88"/>
    <w:rsid w:val="003E3FDB"/>
    <w:rsid w:val="003E42B5"/>
    <w:rsid w:val="003E4326"/>
    <w:rsid w:val="003E4593"/>
    <w:rsid w:val="003E485F"/>
    <w:rsid w:val="003E4869"/>
    <w:rsid w:val="003E48D4"/>
    <w:rsid w:val="003E4C50"/>
    <w:rsid w:val="003E4DA4"/>
    <w:rsid w:val="003E50AF"/>
    <w:rsid w:val="003E51AD"/>
    <w:rsid w:val="003E5385"/>
    <w:rsid w:val="003E54F7"/>
    <w:rsid w:val="003E56A3"/>
    <w:rsid w:val="003E56B7"/>
    <w:rsid w:val="003E57FA"/>
    <w:rsid w:val="003E5841"/>
    <w:rsid w:val="003E5927"/>
    <w:rsid w:val="003E5A42"/>
    <w:rsid w:val="003E5B95"/>
    <w:rsid w:val="003E5C4C"/>
    <w:rsid w:val="003E5CCD"/>
    <w:rsid w:val="003E5D86"/>
    <w:rsid w:val="003E5DE3"/>
    <w:rsid w:val="003E5E74"/>
    <w:rsid w:val="003E5EF8"/>
    <w:rsid w:val="003E5F44"/>
    <w:rsid w:val="003E5FB1"/>
    <w:rsid w:val="003E6275"/>
    <w:rsid w:val="003E6428"/>
    <w:rsid w:val="003E647C"/>
    <w:rsid w:val="003E65D3"/>
    <w:rsid w:val="003E6616"/>
    <w:rsid w:val="003E664C"/>
    <w:rsid w:val="003E676F"/>
    <w:rsid w:val="003E6803"/>
    <w:rsid w:val="003E694E"/>
    <w:rsid w:val="003E6971"/>
    <w:rsid w:val="003E69DB"/>
    <w:rsid w:val="003E6BBC"/>
    <w:rsid w:val="003E6CF5"/>
    <w:rsid w:val="003E6FCB"/>
    <w:rsid w:val="003E70D7"/>
    <w:rsid w:val="003E7250"/>
    <w:rsid w:val="003E72C6"/>
    <w:rsid w:val="003E7341"/>
    <w:rsid w:val="003E7356"/>
    <w:rsid w:val="003E7369"/>
    <w:rsid w:val="003E73F0"/>
    <w:rsid w:val="003E75E0"/>
    <w:rsid w:val="003E76B1"/>
    <w:rsid w:val="003E7703"/>
    <w:rsid w:val="003E7790"/>
    <w:rsid w:val="003E79B5"/>
    <w:rsid w:val="003E7A35"/>
    <w:rsid w:val="003E7B49"/>
    <w:rsid w:val="003E7BD8"/>
    <w:rsid w:val="003E7C73"/>
    <w:rsid w:val="003E7CD9"/>
    <w:rsid w:val="003E7DF5"/>
    <w:rsid w:val="003E7E1C"/>
    <w:rsid w:val="003E7E63"/>
    <w:rsid w:val="003E7E76"/>
    <w:rsid w:val="003E7EBC"/>
    <w:rsid w:val="003E7ED1"/>
    <w:rsid w:val="003F009F"/>
    <w:rsid w:val="003F0148"/>
    <w:rsid w:val="003F0151"/>
    <w:rsid w:val="003F0262"/>
    <w:rsid w:val="003F0425"/>
    <w:rsid w:val="003F0440"/>
    <w:rsid w:val="003F04AA"/>
    <w:rsid w:val="003F0780"/>
    <w:rsid w:val="003F07AD"/>
    <w:rsid w:val="003F07EB"/>
    <w:rsid w:val="003F07FF"/>
    <w:rsid w:val="003F0825"/>
    <w:rsid w:val="003F0A3E"/>
    <w:rsid w:val="003F0B2E"/>
    <w:rsid w:val="003F0C42"/>
    <w:rsid w:val="003F0DD4"/>
    <w:rsid w:val="003F0E03"/>
    <w:rsid w:val="003F0EE2"/>
    <w:rsid w:val="003F12F5"/>
    <w:rsid w:val="003F1336"/>
    <w:rsid w:val="003F1359"/>
    <w:rsid w:val="003F14CD"/>
    <w:rsid w:val="003F154B"/>
    <w:rsid w:val="003F1550"/>
    <w:rsid w:val="003F16B3"/>
    <w:rsid w:val="003F175D"/>
    <w:rsid w:val="003F18CF"/>
    <w:rsid w:val="003F19B9"/>
    <w:rsid w:val="003F1AA2"/>
    <w:rsid w:val="003F1BB2"/>
    <w:rsid w:val="003F1C57"/>
    <w:rsid w:val="003F1C7A"/>
    <w:rsid w:val="003F1D9F"/>
    <w:rsid w:val="003F1DF0"/>
    <w:rsid w:val="003F1F13"/>
    <w:rsid w:val="003F1FC2"/>
    <w:rsid w:val="003F200A"/>
    <w:rsid w:val="003F2099"/>
    <w:rsid w:val="003F209C"/>
    <w:rsid w:val="003F20E3"/>
    <w:rsid w:val="003F2236"/>
    <w:rsid w:val="003F2284"/>
    <w:rsid w:val="003F22A5"/>
    <w:rsid w:val="003F22F3"/>
    <w:rsid w:val="003F231B"/>
    <w:rsid w:val="003F246B"/>
    <w:rsid w:val="003F248F"/>
    <w:rsid w:val="003F251D"/>
    <w:rsid w:val="003F2801"/>
    <w:rsid w:val="003F28C0"/>
    <w:rsid w:val="003F29D9"/>
    <w:rsid w:val="003F2A4B"/>
    <w:rsid w:val="003F2B3D"/>
    <w:rsid w:val="003F2C15"/>
    <w:rsid w:val="003F2E23"/>
    <w:rsid w:val="003F2E91"/>
    <w:rsid w:val="003F2EF7"/>
    <w:rsid w:val="003F2F6C"/>
    <w:rsid w:val="003F2F72"/>
    <w:rsid w:val="003F3056"/>
    <w:rsid w:val="003F306A"/>
    <w:rsid w:val="003F30E7"/>
    <w:rsid w:val="003F31BB"/>
    <w:rsid w:val="003F33AA"/>
    <w:rsid w:val="003F341E"/>
    <w:rsid w:val="003F343E"/>
    <w:rsid w:val="003F34C6"/>
    <w:rsid w:val="003F35FC"/>
    <w:rsid w:val="003F3759"/>
    <w:rsid w:val="003F37E8"/>
    <w:rsid w:val="003F3927"/>
    <w:rsid w:val="003F398F"/>
    <w:rsid w:val="003F3C77"/>
    <w:rsid w:val="003F3F21"/>
    <w:rsid w:val="003F3FAC"/>
    <w:rsid w:val="003F4057"/>
    <w:rsid w:val="003F40BF"/>
    <w:rsid w:val="003F416A"/>
    <w:rsid w:val="003F418B"/>
    <w:rsid w:val="003F4195"/>
    <w:rsid w:val="003F41BE"/>
    <w:rsid w:val="003F4291"/>
    <w:rsid w:val="003F42CA"/>
    <w:rsid w:val="003F42FF"/>
    <w:rsid w:val="003F43AD"/>
    <w:rsid w:val="003F4486"/>
    <w:rsid w:val="003F4821"/>
    <w:rsid w:val="003F48DC"/>
    <w:rsid w:val="003F4975"/>
    <w:rsid w:val="003F49D9"/>
    <w:rsid w:val="003F4ADC"/>
    <w:rsid w:val="003F4C03"/>
    <w:rsid w:val="003F4C22"/>
    <w:rsid w:val="003F4D39"/>
    <w:rsid w:val="003F4D3D"/>
    <w:rsid w:val="003F4D6E"/>
    <w:rsid w:val="003F4DF1"/>
    <w:rsid w:val="003F4EF9"/>
    <w:rsid w:val="003F4F01"/>
    <w:rsid w:val="003F4F3B"/>
    <w:rsid w:val="003F506D"/>
    <w:rsid w:val="003F50CF"/>
    <w:rsid w:val="003F521D"/>
    <w:rsid w:val="003F5234"/>
    <w:rsid w:val="003F5335"/>
    <w:rsid w:val="003F55BE"/>
    <w:rsid w:val="003F55E5"/>
    <w:rsid w:val="003F584D"/>
    <w:rsid w:val="003F58C5"/>
    <w:rsid w:val="003F59C4"/>
    <w:rsid w:val="003F5A2D"/>
    <w:rsid w:val="003F5A6A"/>
    <w:rsid w:val="003F5BC4"/>
    <w:rsid w:val="003F5BFF"/>
    <w:rsid w:val="003F5CB7"/>
    <w:rsid w:val="003F5CFC"/>
    <w:rsid w:val="003F5D48"/>
    <w:rsid w:val="003F5E84"/>
    <w:rsid w:val="003F5EFC"/>
    <w:rsid w:val="003F5F41"/>
    <w:rsid w:val="003F5FB8"/>
    <w:rsid w:val="003F5FF4"/>
    <w:rsid w:val="003F609B"/>
    <w:rsid w:val="003F60CE"/>
    <w:rsid w:val="003F60DF"/>
    <w:rsid w:val="003F611A"/>
    <w:rsid w:val="003F617E"/>
    <w:rsid w:val="003F618F"/>
    <w:rsid w:val="003F63CF"/>
    <w:rsid w:val="003F63ED"/>
    <w:rsid w:val="003F6405"/>
    <w:rsid w:val="003F648A"/>
    <w:rsid w:val="003F6567"/>
    <w:rsid w:val="003F6635"/>
    <w:rsid w:val="003F6699"/>
    <w:rsid w:val="003F66AA"/>
    <w:rsid w:val="003F6745"/>
    <w:rsid w:val="003F679B"/>
    <w:rsid w:val="003F691A"/>
    <w:rsid w:val="003F6B1F"/>
    <w:rsid w:val="003F6B51"/>
    <w:rsid w:val="003F6B93"/>
    <w:rsid w:val="003F6C66"/>
    <w:rsid w:val="003F6DCF"/>
    <w:rsid w:val="003F6E91"/>
    <w:rsid w:val="003F701E"/>
    <w:rsid w:val="003F7050"/>
    <w:rsid w:val="003F707C"/>
    <w:rsid w:val="003F70FD"/>
    <w:rsid w:val="003F7133"/>
    <w:rsid w:val="003F71AB"/>
    <w:rsid w:val="003F71BD"/>
    <w:rsid w:val="003F721A"/>
    <w:rsid w:val="003F738B"/>
    <w:rsid w:val="003F74F8"/>
    <w:rsid w:val="003F752D"/>
    <w:rsid w:val="003F7560"/>
    <w:rsid w:val="003F7577"/>
    <w:rsid w:val="003F766A"/>
    <w:rsid w:val="003F772D"/>
    <w:rsid w:val="003F7784"/>
    <w:rsid w:val="003F79E8"/>
    <w:rsid w:val="003F7A7F"/>
    <w:rsid w:val="003F7A90"/>
    <w:rsid w:val="003F7B2F"/>
    <w:rsid w:val="003F7DDF"/>
    <w:rsid w:val="003F7F7E"/>
    <w:rsid w:val="004001FB"/>
    <w:rsid w:val="00400202"/>
    <w:rsid w:val="004002A5"/>
    <w:rsid w:val="0040035B"/>
    <w:rsid w:val="0040035F"/>
    <w:rsid w:val="00400433"/>
    <w:rsid w:val="00400637"/>
    <w:rsid w:val="00400649"/>
    <w:rsid w:val="004006BE"/>
    <w:rsid w:val="0040077C"/>
    <w:rsid w:val="004008A1"/>
    <w:rsid w:val="004008AC"/>
    <w:rsid w:val="004009CD"/>
    <w:rsid w:val="004009EA"/>
    <w:rsid w:val="00400A66"/>
    <w:rsid w:val="00400A93"/>
    <w:rsid w:val="00400B4B"/>
    <w:rsid w:val="00400B86"/>
    <w:rsid w:val="00400BA3"/>
    <w:rsid w:val="00400BEF"/>
    <w:rsid w:val="00400CBF"/>
    <w:rsid w:val="00400D21"/>
    <w:rsid w:val="00400D95"/>
    <w:rsid w:val="00400F00"/>
    <w:rsid w:val="00401159"/>
    <w:rsid w:val="0040115E"/>
    <w:rsid w:val="004012D9"/>
    <w:rsid w:val="00401407"/>
    <w:rsid w:val="00401525"/>
    <w:rsid w:val="00401591"/>
    <w:rsid w:val="00401782"/>
    <w:rsid w:val="00401849"/>
    <w:rsid w:val="00401965"/>
    <w:rsid w:val="0040196F"/>
    <w:rsid w:val="004019D8"/>
    <w:rsid w:val="004019ED"/>
    <w:rsid w:val="00401AA5"/>
    <w:rsid w:val="00401BC2"/>
    <w:rsid w:val="00401C64"/>
    <w:rsid w:val="00401C75"/>
    <w:rsid w:val="00401D25"/>
    <w:rsid w:val="00401D3E"/>
    <w:rsid w:val="00401F55"/>
    <w:rsid w:val="00401F62"/>
    <w:rsid w:val="00401FF2"/>
    <w:rsid w:val="00402025"/>
    <w:rsid w:val="004020A2"/>
    <w:rsid w:val="00402191"/>
    <w:rsid w:val="004021F6"/>
    <w:rsid w:val="0040227E"/>
    <w:rsid w:val="0040233A"/>
    <w:rsid w:val="004023EC"/>
    <w:rsid w:val="00402791"/>
    <w:rsid w:val="0040297C"/>
    <w:rsid w:val="00402B15"/>
    <w:rsid w:val="00402B2B"/>
    <w:rsid w:val="00402CC8"/>
    <w:rsid w:val="00402E98"/>
    <w:rsid w:val="00402F04"/>
    <w:rsid w:val="0040307E"/>
    <w:rsid w:val="00403194"/>
    <w:rsid w:val="004031C3"/>
    <w:rsid w:val="00403450"/>
    <w:rsid w:val="00403554"/>
    <w:rsid w:val="004035FA"/>
    <w:rsid w:val="0040362D"/>
    <w:rsid w:val="00403802"/>
    <w:rsid w:val="0040382F"/>
    <w:rsid w:val="004038D9"/>
    <w:rsid w:val="0040396E"/>
    <w:rsid w:val="004039DF"/>
    <w:rsid w:val="00403BBC"/>
    <w:rsid w:val="00403DD7"/>
    <w:rsid w:val="00403E52"/>
    <w:rsid w:val="00404052"/>
    <w:rsid w:val="004041E6"/>
    <w:rsid w:val="004042DE"/>
    <w:rsid w:val="004043A4"/>
    <w:rsid w:val="004043F2"/>
    <w:rsid w:val="0040471C"/>
    <w:rsid w:val="00404795"/>
    <w:rsid w:val="00404839"/>
    <w:rsid w:val="004048C5"/>
    <w:rsid w:val="004048D2"/>
    <w:rsid w:val="0040491E"/>
    <w:rsid w:val="0040494A"/>
    <w:rsid w:val="00404A1B"/>
    <w:rsid w:val="00404A4D"/>
    <w:rsid w:val="00404B11"/>
    <w:rsid w:val="00404B50"/>
    <w:rsid w:val="00404C72"/>
    <w:rsid w:val="00404C93"/>
    <w:rsid w:val="00404CE9"/>
    <w:rsid w:val="00404E16"/>
    <w:rsid w:val="00404E98"/>
    <w:rsid w:val="00404EBB"/>
    <w:rsid w:val="00404F76"/>
    <w:rsid w:val="00405082"/>
    <w:rsid w:val="00405097"/>
    <w:rsid w:val="004051BD"/>
    <w:rsid w:val="00405215"/>
    <w:rsid w:val="0040557F"/>
    <w:rsid w:val="004058C7"/>
    <w:rsid w:val="004058F4"/>
    <w:rsid w:val="00405907"/>
    <w:rsid w:val="00405AF7"/>
    <w:rsid w:val="00405B28"/>
    <w:rsid w:val="00405C97"/>
    <w:rsid w:val="00405CA7"/>
    <w:rsid w:val="00405D1A"/>
    <w:rsid w:val="00405D1F"/>
    <w:rsid w:val="00405EB3"/>
    <w:rsid w:val="00406053"/>
    <w:rsid w:val="00406058"/>
    <w:rsid w:val="004060F0"/>
    <w:rsid w:val="0040623A"/>
    <w:rsid w:val="00406243"/>
    <w:rsid w:val="004063DD"/>
    <w:rsid w:val="004063F8"/>
    <w:rsid w:val="0040641C"/>
    <w:rsid w:val="00406443"/>
    <w:rsid w:val="0040649D"/>
    <w:rsid w:val="00406523"/>
    <w:rsid w:val="004065A5"/>
    <w:rsid w:val="004065FF"/>
    <w:rsid w:val="00406617"/>
    <w:rsid w:val="0040674B"/>
    <w:rsid w:val="00406776"/>
    <w:rsid w:val="0040684D"/>
    <w:rsid w:val="004068D9"/>
    <w:rsid w:val="004069D4"/>
    <w:rsid w:val="00406AA6"/>
    <w:rsid w:val="00406AE4"/>
    <w:rsid w:val="00406BF7"/>
    <w:rsid w:val="00406C11"/>
    <w:rsid w:val="00406C26"/>
    <w:rsid w:val="00406C7B"/>
    <w:rsid w:val="00406C98"/>
    <w:rsid w:val="00406F93"/>
    <w:rsid w:val="0040700E"/>
    <w:rsid w:val="00407039"/>
    <w:rsid w:val="00407066"/>
    <w:rsid w:val="00407090"/>
    <w:rsid w:val="004071F2"/>
    <w:rsid w:val="0040720A"/>
    <w:rsid w:val="00407220"/>
    <w:rsid w:val="00407226"/>
    <w:rsid w:val="004072C3"/>
    <w:rsid w:val="004072F9"/>
    <w:rsid w:val="00407336"/>
    <w:rsid w:val="004073D9"/>
    <w:rsid w:val="004074E8"/>
    <w:rsid w:val="00407577"/>
    <w:rsid w:val="0040771D"/>
    <w:rsid w:val="00407802"/>
    <w:rsid w:val="00407863"/>
    <w:rsid w:val="00407903"/>
    <w:rsid w:val="00407DC3"/>
    <w:rsid w:val="00407FCE"/>
    <w:rsid w:val="0041002E"/>
    <w:rsid w:val="0041009B"/>
    <w:rsid w:val="004103B0"/>
    <w:rsid w:val="004103CE"/>
    <w:rsid w:val="0041044F"/>
    <w:rsid w:val="0041054C"/>
    <w:rsid w:val="00410673"/>
    <w:rsid w:val="00410810"/>
    <w:rsid w:val="00410953"/>
    <w:rsid w:val="00410A52"/>
    <w:rsid w:val="00410B59"/>
    <w:rsid w:val="00410C70"/>
    <w:rsid w:val="00410CE3"/>
    <w:rsid w:val="00410E15"/>
    <w:rsid w:val="00410EE1"/>
    <w:rsid w:val="00410F46"/>
    <w:rsid w:val="00410F79"/>
    <w:rsid w:val="004110DD"/>
    <w:rsid w:val="004111F5"/>
    <w:rsid w:val="0041124E"/>
    <w:rsid w:val="004112F0"/>
    <w:rsid w:val="0041130E"/>
    <w:rsid w:val="00411397"/>
    <w:rsid w:val="0041141E"/>
    <w:rsid w:val="004115E3"/>
    <w:rsid w:val="004115FB"/>
    <w:rsid w:val="00411637"/>
    <w:rsid w:val="00411759"/>
    <w:rsid w:val="004117EA"/>
    <w:rsid w:val="004117EB"/>
    <w:rsid w:val="00411840"/>
    <w:rsid w:val="00411852"/>
    <w:rsid w:val="004119D1"/>
    <w:rsid w:val="00411AA5"/>
    <w:rsid w:val="00411B71"/>
    <w:rsid w:val="00411BDD"/>
    <w:rsid w:val="00411FBB"/>
    <w:rsid w:val="00411FBC"/>
    <w:rsid w:val="00411FC4"/>
    <w:rsid w:val="0041208E"/>
    <w:rsid w:val="00412110"/>
    <w:rsid w:val="00412263"/>
    <w:rsid w:val="004122DC"/>
    <w:rsid w:val="004122F6"/>
    <w:rsid w:val="004122F7"/>
    <w:rsid w:val="00412412"/>
    <w:rsid w:val="00412451"/>
    <w:rsid w:val="0041254F"/>
    <w:rsid w:val="0041269D"/>
    <w:rsid w:val="004126B0"/>
    <w:rsid w:val="004129A1"/>
    <w:rsid w:val="00412AAF"/>
    <w:rsid w:val="00412AE1"/>
    <w:rsid w:val="00412B33"/>
    <w:rsid w:val="00412BF4"/>
    <w:rsid w:val="00412C18"/>
    <w:rsid w:val="00412C48"/>
    <w:rsid w:val="00412CBB"/>
    <w:rsid w:val="00412CE5"/>
    <w:rsid w:val="00412CEB"/>
    <w:rsid w:val="00412D4B"/>
    <w:rsid w:val="00412D4E"/>
    <w:rsid w:val="00412E01"/>
    <w:rsid w:val="00412E08"/>
    <w:rsid w:val="00412E82"/>
    <w:rsid w:val="00412E84"/>
    <w:rsid w:val="004130FC"/>
    <w:rsid w:val="00413137"/>
    <w:rsid w:val="004131EC"/>
    <w:rsid w:val="004131F3"/>
    <w:rsid w:val="00413273"/>
    <w:rsid w:val="004132CA"/>
    <w:rsid w:val="0041330E"/>
    <w:rsid w:val="0041338F"/>
    <w:rsid w:val="004133C2"/>
    <w:rsid w:val="004133E1"/>
    <w:rsid w:val="0041365C"/>
    <w:rsid w:val="00413721"/>
    <w:rsid w:val="004137B9"/>
    <w:rsid w:val="004138AE"/>
    <w:rsid w:val="00413A10"/>
    <w:rsid w:val="00413AAD"/>
    <w:rsid w:val="00413C75"/>
    <w:rsid w:val="00413C78"/>
    <w:rsid w:val="00413C8B"/>
    <w:rsid w:val="00413CAC"/>
    <w:rsid w:val="00413CB7"/>
    <w:rsid w:val="00413DBE"/>
    <w:rsid w:val="00413E73"/>
    <w:rsid w:val="00413E77"/>
    <w:rsid w:val="0041400B"/>
    <w:rsid w:val="00414049"/>
    <w:rsid w:val="00414078"/>
    <w:rsid w:val="004140DA"/>
    <w:rsid w:val="004142A1"/>
    <w:rsid w:val="004142D4"/>
    <w:rsid w:val="004142FA"/>
    <w:rsid w:val="00414319"/>
    <w:rsid w:val="0041433A"/>
    <w:rsid w:val="00414456"/>
    <w:rsid w:val="0041447C"/>
    <w:rsid w:val="004146C6"/>
    <w:rsid w:val="004146E2"/>
    <w:rsid w:val="00414780"/>
    <w:rsid w:val="004147DD"/>
    <w:rsid w:val="0041485C"/>
    <w:rsid w:val="00414876"/>
    <w:rsid w:val="004148C5"/>
    <w:rsid w:val="00414915"/>
    <w:rsid w:val="0041493C"/>
    <w:rsid w:val="004149B7"/>
    <w:rsid w:val="00414A0F"/>
    <w:rsid w:val="00414A19"/>
    <w:rsid w:val="00414A6B"/>
    <w:rsid w:val="00414BAA"/>
    <w:rsid w:val="00414C33"/>
    <w:rsid w:val="00414C40"/>
    <w:rsid w:val="00414D45"/>
    <w:rsid w:val="00414DDC"/>
    <w:rsid w:val="00414EBE"/>
    <w:rsid w:val="00414EF0"/>
    <w:rsid w:val="0041506D"/>
    <w:rsid w:val="0041509D"/>
    <w:rsid w:val="00415150"/>
    <w:rsid w:val="00415271"/>
    <w:rsid w:val="004152B4"/>
    <w:rsid w:val="00415668"/>
    <w:rsid w:val="00415833"/>
    <w:rsid w:val="00415AB9"/>
    <w:rsid w:val="00415ABC"/>
    <w:rsid w:val="00415B6E"/>
    <w:rsid w:val="00415CC0"/>
    <w:rsid w:val="00415E04"/>
    <w:rsid w:val="00415E27"/>
    <w:rsid w:val="00415EF1"/>
    <w:rsid w:val="00415F04"/>
    <w:rsid w:val="00416259"/>
    <w:rsid w:val="004162CB"/>
    <w:rsid w:val="004162F6"/>
    <w:rsid w:val="00416329"/>
    <w:rsid w:val="004164DB"/>
    <w:rsid w:val="00416535"/>
    <w:rsid w:val="00416581"/>
    <w:rsid w:val="0041680F"/>
    <w:rsid w:val="00416887"/>
    <w:rsid w:val="004168E9"/>
    <w:rsid w:val="00416929"/>
    <w:rsid w:val="00416AF1"/>
    <w:rsid w:val="00416D43"/>
    <w:rsid w:val="00416E12"/>
    <w:rsid w:val="00416EAF"/>
    <w:rsid w:val="00416ECE"/>
    <w:rsid w:val="00416EF6"/>
    <w:rsid w:val="00416FC2"/>
    <w:rsid w:val="0041707B"/>
    <w:rsid w:val="0041707D"/>
    <w:rsid w:val="004170DD"/>
    <w:rsid w:val="004170F0"/>
    <w:rsid w:val="004171DF"/>
    <w:rsid w:val="0041721C"/>
    <w:rsid w:val="0041739F"/>
    <w:rsid w:val="004174D6"/>
    <w:rsid w:val="004174E6"/>
    <w:rsid w:val="0041751F"/>
    <w:rsid w:val="0041757A"/>
    <w:rsid w:val="00417672"/>
    <w:rsid w:val="004176AF"/>
    <w:rsid w:val="00417804"/>
    <w:rsid w:val="00417960"/>
    <w:rsid w:val="004179BE"/>
    <w:rsid w:val="00417A3D"/>
    <w:rsid w:val="00417A5C"/>
    <w:rsid w:val="00417B48"/>
    <w:rsid w:val="00417CD1"/>
    <w:rsid w:val="00417D46"/>
    <w:rsid w:val="00417E35"/>
    <w:rsid w:val="00417EA1"/>
    <w:rsid w:val="00417F2A"/>
    <w:rsid w:val="00417F7B"/>
    <w:rsid w:val="0042017F"/>
    <w:rsid w:val="00420220"/>
    <w:rsid w:val="00420279"/>
    <w:rsid w:val="00420419"/>
    <w:rsid w:val="004204FF"/>
    <w:rsid w:val="00420561"/>
    <w:rsid w:val="00420565"/>
    <w:rsid w:val="00420658"/>
    <w:rsid w:val="004206AD"/>
    <w:rsid w:val="00420728"/>
    <w:rsid w:val="0042088D"/>
    <w:rsid w:val="00420B7C"/>
    <w:rsid w:val="00420CB0"/>
    <w:rsid w:val="00420CF0"/>
    <w:rsid w:val="00420D49"/>
    <w:rsid w:val="00420E36"/>
    <w:rsid w:val="00420E5B"/>
    <w:rsid w:val="00420F85"/>
    <w:rsid w:val="00421271"/>
    <w:rsid w:val="00421390"/>
    <w:rsid w:val="004213E0"/>
    <w:rsid w:val="004214BB"/>
    <w:rsid w:val="00421580"/>
    <w:rsid w:val="00421619"/>
    <w:rsid w:val="0042173E"/>
    <w:rsid w:val="00421883"/>
    <w:rsid w:val="0042197E"/>
    <w:rsid w:val="00421D53"/>
    <w:rsid w:val="00421DAE"/>
    <w:rsid w:val="00421FED"/>
    <w:rsid w:val="004221A0"/>
    <w:rsid w:val="00422242"/>
    <w:rsid w:val="0042227C"/>
    <w:rsid w:val="004222C7"/>
    <w:rsid w:val="00422334"/>
    <w:rsid w:val="00422344"/>
    <w:rsid w:val="00422462"/>
    <w:rsid w:val="004224E2"/>
    <w:rsid w:val="004225A1"/>
    <w:rsid w:val="004225A7"/>
    <w:rsid w:val="004225AE"/>
    <w:rsid w:val="004225D0"/>
    <w:rsid w:val="00422661"/>
    <w:rsid w:val="004226D4"/>
    <w:rsid w:val="00422744"/>
    <w:rsid w:val="0042285A"/>
    <w:rsid w:val="004229DB"/>
    <w:rsid w:val="00422A85"/>
    <w:rsid w:val="00422B97"/>
    <w:rsid w:val="00422BC4"/>
    <w:rsid w:val="00422C0A"/>
    <w:rsid w:val="00422EC6"/>
    <w:rsid w:val="00422EFD"/>
    <w:rsid w:val="00422F1B"/>
    <w:rsid w:val="00422FB7"/>
    <w:rsid w:val="00423069"/>
    <w:rsid w:val="004230DC"/>
    <w:rsid w:val="00423149"/>
    <w:rsid w:val="004232C4"/>
    <w:rsid w:val="004234AB"/>
    <w:rsid w:val="004234BF"/>
    <w:rsid w:val="00423616"/>
    <w:rsid w:val="0042361F"/>
    <w:rsid w:val="004236D9"/>
    <w:rsid w:val="0042374A"/>
    <w:rsid w:val="00423982"/>
    <w:rsid w:val="004239CB"/>
    <w:rsid w:val="00423A52"/>
    <w:rsid w:val="00423B75"/>
    <w:rsid w:val="00423BB8"/>
    <w:rsid w:val="00423BC7"/>
    <w:rsid w:val="00423C51"/>
    <w:rsid w:val="00423C5B"/>
    <w:rsid w:val="00423C71"/>
    <w:rsid w:val="00423D5A"/>
    <w:rsid w:val="00423D64"/>
    <w:rsid w:val="00423D65"/>
    <w:rsid w:val="00423F55"/>
    <w:rsid w:val="00423F88"/>
    <w:rsid w:val="00423F94"/>
    <w:rsid w:val="00424232"/>
    <w:rsid w:val="00424258"/>
    <w:rsid w:val="00424264"/>
    <w:rsid w:val="004242D7"/>
    <w:rsid w:val="0042449E"/>
    <w:rsid w:val="00424515"/>
    <w:rsid w:val="00424667"/>
    <w:rsid w:val="00424700"/>
    <w:rsid w:val="0042472F"/>
    <w:rsid w:val="0042475A"/>
    <w:rsid w:val="004249D2"/>
    <w:rsid w:val="00424A45"/>
    <w:rsid w:val="00424A9E"/>
    <w:rsid w:val="00424C26"/>
    <w:rsid w:val="00424C7D"/>
    <w:rsid w:val="00424CAA"/>
    <w:rsid w:val="00424D16"/>
    <w:rsid w:val="00424D7D"/>
    <w:rsid w:val="00424E87"/>
    <w:rsid w:val="00424F43"/>
    <w:rsid w:val="00424FC0"/>
    <w:rsid w:val="00425061"/>
    <w:rsid w:val="00425080"/>
    <w:rsid w:val="004250B7"/>
    <w:rsid w:val="004250C8"/>
    <w:rsid w:val="00425112"/>
    <w:rsid w:val="00425175"/>
    <w:rsid w:val="00425183"/>
    <w:rsid w:val="004251B4"/>
    <w:rsid w:val="00425293"/>
    <w:rsid w:val="004252AA"/>
    <w:rsid w:val="004253B3"/>
    <w:rsid w:val="0042548D"/>
    <w:rsid w:val="004254FD"/>
    <w:rsid w:val="0042552F"/>
    <w:rsid w:val="004257F0"/>
    <w:rsid w:val="00425863"/>
    <w:rsid w:val="00425872"/>
    <w:rsid w:val="004258E9"/>
    <w:rsid w:val="00425A60"/>
    <w:rsid w:val="00425AE3"/>
    <w:rsid w:val="00425BFE"/>
    <w:rsid w:val="00425C7A"/>
    <w:rsid w:val="00425DAF"/>
    <w:rsid w:val="00425DE7"/>
    <w:rsid w:val="00425F04"/>
    <w:rsid w:val="00425F17"/>
    <w:rsid w:val="00425F41"/>
    <w:rsid w:val="0042606C"/>
    <w:rsid w:val="00426193"/>
    <w:rsid w:val="0042622C"/>
    <w:rsid w:val="00426242"/>
    <w:rsid w:val="004262B0"/>
    <w:rsid w:val="00426342"/>
    <w:rsid w:val="0042635F"/>
    <w:rsid w:val="004263D3"/>
    <w:rsid w:val="00426497"/>
    <w:rsid w:val="004264CE"/>
    <w:rsid w:val="00426831"/>
    <w:rsid w:val="00426867"/>
    <w:rsid w:val="004269B0"/>
    <w:rsid w:val="00426A30"/>
    <w:rsid w:val="00426A8A"/>
    <w:rsid w:val="00426ABB"/>
    <w:rsid w:val="00426B9D"/>
    <w:rsid w:val="00426BCB"/>
    <w:rsid w:val="00426C6E"/>
    <w:rsid w:val="00426CA3"/>
    <w:rsid w:val="00426D23"/>
    <w:rsid w:val="00426F0C"/>
    <w:rsid w:val="00426FB6"/>
    <w:rsid w:val="00426FF1"/>
    <w:rsid w:val="00426FF4"/>
    <w:rsid w:val="00427051"/>
    <w:rsid w:val="00427104"/>
    <w:rsid w:val="004274CF"/>
    <w:rsid w:val="004274D2"/>
    <w:rsid w:val="00427506"/>
    <w:rsid w:val="00427523"/>
    <w:rsid w:val="004275A8"/>
    <w:rsid w:val="00427613"/>
    <w:rsid w:val="00427629"/>
    <w:rsid w:val="0042769A"/>
    <w:rsid w:val="004276F3"/>
    <w:rsid w:val="00427739"/>
    <w:rsid w:val="00427756"/>
    <w:rsid w:val="00427774"/>
    <w:rsid w:val="00427881"/>
    <w:rsid w:val="00427966"/>
    <w:rsid w:val="004279A6"/>
    <w:rsid w:val="004279F7"/>
    <w:rsid w:val="00427BBD"/>
    <w:rsid w:val="00427C28"/>
    <w:rsid w:val="00427F63"/>
    <w:rsid w:val="00430077"/>
    <w:rsid w:val="0043016D"/>
    <w:rsid w:val="0043017E"/>
    <w:rsid w:val="004301BA"/>
    <w:rsid w:val="004302A3"/>
    <w:rsid w:val="0043037A"/>
    <w:rsid w:val="004303B1"/>
    <w:rsid w:val="004303BA"/>
    <w:rsid w:val="004303F1"/>
    <w:rsid w:val="004304BB"/>
    <w:rsid w:val="004304D5"/>
    <w:rsid w:val="00430584"/>
    <w:rsid w:val="004307CE"/>
    <w:rsid w:val="00430824"/>
    <w:rsid w:val="004308C9"/>
    <w:rsid w:val="00430992"/>
    <w:rsid w:val="00430AF0"/>
    <w:rsid w:val="00430D17"/>
    <w:rsid w:val="00430D9F"/>
    <w:rsid w:val="00430DA0"/>
    <w:rsid w:val="00430E41"/>
    <w:rsid w:val="00430F6B"/>
    <w:rsid w:val="00430F80"/>
    <w:rsid w:val="004311D8"/>
    <w:rsid w:val="004312C9"/>
    <w:rsid w:val="0043140C"/>
    <w:rsid w:val="00431518"/>
    <w:rsid w:val="00431590"/>
    <w:rsid w:val="00431684"/>
    <w:rsid w:val="0043168C"/>
    <w:rsid w:val="004316A6"/>
    <w:rsid w:val="004316B1"/>
    <w:rsid w:val="00431731"/>
    <w:rsid w:val="00431911"/>
    <w:rsid w:val="004319EE"/>
    <w:rsid w:val="00431A31"/>
    <w:rsid w:val="00431A5B"/>
    <w:rsid w:val="00431B3B"/>
    <w:rsid w:val="00431B4E"/>
    <w:rsid w:val="00431B74"/>
    <w:rsid w:val="00431B80"/>
    <w:rsid w:val="00431B83"/>
    <w:rsid w:val="00431BA1"/>
    <w:rsid w:val="00431BAC"/>
    <w:rsid w:val="00431C00"/>
    <w:rsid w:val="00431C2A"/>
    <w:rsid w:val="00431CC7"/>
    <w:rsid w:val="00431E2A"/>
    <w:rsid w:val="00431F54"/>
    <w:rsid w:val="00431F77"/>
    <w:rsid w:val="0043210B"/>
    <w:rsid w:val="0043223B"/>
    <w:rsid w:val="0043237F"/>
    <w:rsid w:val="00432391"/>
    <w:rsid w:val="004323F8"/>
    <w:rsid w:val="0043244D"/>
    <w:rsid w:val="00432451"/>
    <w:rsid w:val="00432593"/>
    <w:rsid w:val="004325E9"/>
    <w:rsid w:val="004326E0"/>
    <w:rsid w:val="00432765"/>
    <w:rsid w:val="004328EC"/>
    <w:rsid w:val="004329A3"/>
    <w:rsid w:val="00432A85"/>
    <w:rsid w:val="00432B1A"/>
    <w:rsid w:val="00432B1F"/>
    <w:rsid w:val="00432B3E"/>
    <w:rsid w:val="00432D46"/>
    <w:rsid w:val="00432D64"/>
    <w:rsid w:val="00432DF2"/>
    <w:rsid w:val="00432F90"/>
    <w:rsid w:val="00433274"/>
    <w:rsid w:val="004333FD"/>
    <w:rsid w:val="0043363B"/>
    <w:rsid w:val="004338BC"/>
    <w:rsid w:val="004338FD"/>
    <w:rsid w:val="004339F5"/>
    <w:rsid w:val="00433B89"/>
    <w:rsid w:val="00433BBC"/>
    <w:rsid w:val="00433BF6"/>
    <w:rsid w:val="00433C92"/>
    <w:rsid w:val="00433DBE"/>
    <w:rsid w:val="00433E07"/>
    <w:rsid w:val="00433E35"/>
    <w:rsid w:val="00433ECF"/>
    <w:rsid w:val="00433F3D"/>
    <w:rsid w:val="00433F70"/>
    <w:rsid w:val="00433FFC"/>
    <w:rsid w:val="0043402B"/>
    <w:rsid w:val="00434145"/>
    <w:rsid w:val="0043422F"/>
    <w:rsid w:val="0043440C"/>
    <w:rsid w:val="0043449F"/>
    <w:rsid w:val="004344BE"/>
    <w:rsid w:val="00434538"/>
    <w:rsid w:val="0043457E"/>
    <w:rsid w:val="0043459F"/>
    <w:rsid w:val="004345C6"/>
    <w:rsid w:val="0043467A"/>
    <w:rsid w:val="00434681"/>
    <w:rsid w:val="004346F9"/>
    <w:rsid w:val="004347F7"/>
    <w:rsid w:val="004348C1"/>
    <w:rsid w:val="00434927"/>
    <w:rsid w:val="0043493D"/>
    <w:rsid w:val="00434963"/>
    <w:rsid w:val="00434AC8"/>
    <w:rsid w:val="00434C2D"/>
    <w:rsid w:val="00434C42"/>
    <w:rsid w:val="00434D0B"/>
    <w:rsid w:val="00434D11"/>
    <w:rsid w:val="00434F82"/>
    <w:rsid w:val="0043502C"/>
    <w:rsid w:val="00435076"/>
    <w:rsid w:val="00435106"/>
    <w:rsid w:val="00435294"/>
    <w:rsid w:val="0043529B"/>
    <w:rsid w:val="004352AA"/>
    <w:rsid w:val="00435320"/>
    <w:rsid w:val="0043532F"/>
    <w:rsid w:val="004353F6"/>
    <w:rsid w:val="0043546D"/>
    <w:rsid w:val="00435476"/>
    <w:rsid w:val="004354EA"/>
    <w:rsid w:val="00435561"/>
    <w:rsid w:val="004355B4"/>
    <w:rsid w:val="00435686"/>
    <w:rsid w:val="004356EB"/>
    <w:rsid w:val="00435714"/>
    <w:rsid w:val="00435807"/>
    <w:rsid w:val="00435A08"/>
    <w:rsid w:val="00435A09"/>
    <w:rsid w:val="00435AA2"/>
    <w:rsid w:val="00435BB8"/>
    <w:rsid w:val="00435C57"/>
    <w:rsid w:val="00435CA1"/>
    <w:rsid w:val="00435CCF"/>
    <w:rsid w:val="00435CD8"/>
    <w:rsid w:val="00435E39"/>
    <w:rsid w:val="00435E9F"/>
    <w:rsid w:val="00435F4E"/>
    <w:rsid w:val="00436068"/>
    <w:rsid w:val="00436176"/>
    <w:rsid w:val="0043622E"/>
    <w:rsid w:val="00436339"/>
    <w:rsid w:val="0043634D"/>
    <w:rsid w:val="00436418"/>
    <w:rsid w:val="004364AB"/>
    <w:rsid w:val="00436624"/>
    <w:rsid w:val="00436632"/>
    <w:rsid w:val="0043669D"/>
    <w:rsid w:val="0043678F"/>
    <w:rsid w:val="00436AC3"/>
    <w:rsid w:val="00436AC7"/>
    <w:rsid w:val="00436BBE"/>
    <w:rsid w:val="00436C2B"/>
    <w:rsid w:val="00436CB6"/>
    <w:rsid w:val="00436D5C"/>
    <w:rsid w:val="00436D92"/>
    <w:rsid w:val="00436F06"/>
    <w:rsid w:val="00436FBB"/>
    <w:rsid w:val="00437068"/>
    <w:rsid w:val="00437443"/>
    <w:rsid w:val="00437580"/>
    <w:rsid w:val="00437594"/>
    <w:rsid w:val="004375EF"/>
    <w:rsid w:val="0043760D"/>
    <w:rsid w:val="00437757"/>
    <w:rsid w:val="00437828"/>
    <w:rsid w:val="004378FB"/>
    <w:rsid w:val="004379CB"/>
    <w:rsid w:val="004379F1"/>
    <w:rsid w:val="00437A28"/>
    <w:rsid w:val="00437AC5"/>
    <w:rsid w:val="00437B94"/>
    <w:rsid w:val="00437C68"/>
    <w:rsid w:val="00437C69"/>
    <w:rsid w:val="00437E38"/>
    <w:rsid w:val="00437E49"/>
    <w:rsid w:val="00437EB6"/>
    <w:rsid w:val="00437EFB"/>
    <w:rsid w:val="00437F97"/>
    <w:rsid w:val="00437FE4"/>
    <w:rsid w:val="00440032"/>
    <w:rsid w:val="00440110"/>
    <w:rsid w:val="00440154"/>
    <w:rsid w:val="0044016A"/>
    <w:rsid w:val="0044028B"/>
    <w:rsid w:val="00440323"/>
    <w:rsid w:val="004403F2"/>
    <w:rsid w:val="00440472"/>
    <w:rsid w:val="0044048F"/>
    <w:rsid w:val="004406BD"/>
    <w:rsid w:val="00440723"/>
    <w:rsid w:val="004407C6"/>
    <w:rsid w:val="0044082A"/>
    <w:rsid w:val="0044082B"/>
    <w:rsid w:val="00440956"/>
    <w:rsid w:val="0044098C"/>
    <w:rsid w:val="004409BE"/>
    <w:rsid w:val="00440A53"/>
    <w:rsid w:val="00440A78"/>
    <w:rsid w:val="00440CD9"/>
    <w:rsid w:val="00440CF0"/>
    <w:rsid w:val="00440CFC"/>
    <w:rsid w:val="00440DFC"/>
    <w:rsid w:val="00440E7D"/>
    <w:rsid w:val="00440F4F"/>
    <w:rsid w:val="00440FE9"/>
    <w:rsid w:val="00440FEB"/>
    <w:rsid w:val="004411AB"/>
    <w:rsid w:val="00441218"/>
    <w:rsid w:val="0044121C"/>
    <w:rsid w:val="004412C4"/>
    <w:rsid w:val="00441451"/>
    <w:rsid w:val="00441582"/>
    <w:rsid w:val="00441698"/>
    <w:rsid w:val="004416FA"/>
    <w:rsid w:val="00441729"/>
    <w:rsid w:val="00441760"/>
    <w:rsid w:val="004417E6"/>
    <w:rsid w:val="00441820"/>
    <w:rsid w:val="004418CD"/>
    <w:rsid w:val="004419DF"/>
    <w:rsid w:val="00441A68"/>
    <w:rsid w:val="00441A96"/>
    <w:rsid w:val="00441AB1"/>
    <w:rsid w:val="00441B64"/>
    <w:rsid w:val="00441B86"/>
    <w:rsid w:val="00441C78"/>
    <w:rsid w:val="00441DD7"/>
    <w:rsid w:val="00441E3D"/>
    <w:rsid w:val="00441E67"/>
    <w:rsid w:val="00441EDE"/>
    <w:rsid w:val="00441FA9"/>
    <w:rsid w:val="00441FE5"/>
    <w:rsid w:val="004422E4"/>
    <w:rsid w:val="004423F5"/>
    <w:rsid w:val="00442416"/>
    <w:rsid w:val="00442617"/>
    <w:rsid w:val="004426FC"/>
    <w:rsid w:val="00442750"/>
    <w:rsid w:val="00442772"/>
    <w:rsid w:val="0044278C"/>
    <w:rsid w:val="004427DA"/>
    <w:rsid w:val="0044296D"/>
    <w:rsid w:val="00442A3F"/>
    <w:rsid w:val="00442A5D"/>
    <w:rsid w:val="00442CD9"/>
    <w:rsid w:val="00442D08"/>
    <w:rsid w:val="00442E48"/>
    <w:rsid w:val="00442EDD"/>
    <w:rsid w:val="00442F8E"/>
    <w:rsid w:val="00442FC8"/>
    <w:rsid w:val="00443068"/>
    <w:rsid w:val="00443078"/>
    <w:rsid w:val="00443160"/>
    <w:rsid w:val="004431E2"/>
    <w:rsid w:val="00443201"/>
    <w:rsid w:val="0044323B"/>
    <w:rsid w:val="00443256"/>
    <w:rsid w:val="0044328E"/>
    <w:rsid w:val="00443297"/>
    <w:rsid w:val="00443352"/>
    <w:rsid w:val="00443357"/>
    <w:rsid w:val="00443551"/>
    <w:rsid w:val="004435A5"/>
    <w:rsid w:val="004435E2"/>
    <w:rsid w:val="00443634"/>
    <w:rsid w:val="004436C0"/>
    <w:rsid w:val="004436F8"/>
    <w:rsid w:val="0044370D"/>
    <w:rsid w:val="0044376D"/>
    <w:rsid w:val="0044396F"/>
    <w:rsid w:val="00443A77"/>
    <w:rsid w:val="00443AFE"/>
    <w:rsid w:val="00443B7B"/>
    <w:rsid w:val="00443C30"/>
    <w:rsid w:val="00443D7F"/>
    <w:rsid w:val="00443DA6"/>
    <w:rsid w:val="00443DB0"/>
    <w:rsid w:val="00443DD8"/>
    <w:rsid w:val="00443E05"/>
    <w:rsid w:val="00443E17"/>
    <w:rsid w:val="00443EC1"/>
    <w:rsid w:val="00443F70"/>
    <w:rsid w:val="00444071"/>
    <w:rsid w:val="0044419B"/>
    <w:rsid w:val="004442A6"/>
    <w:rsid w:val="0044435F"/>
    <w:rsid w:val="004443C3"/>
    <w:rsid w:val="004443DE"/>
    <w:rsid w:val="004444B2"/>
    <w:rsid w:val="00444645"/>
    <w:rsid w:val="00444652"/>
    <w:rsid w:val="004447E0"/>
    <w:rsid w:val="00444800"/>
    <w:rsid w:val="00444A41"/>
    <w:rsid w:val="00444A4C"/>
    <w:rsid w:val="00444B5A"/>
    <w:rsid w:val="00444D0C"/>
    <w:rsid w:val="00444DE1"/>
    <w:rsid w:val="00444E2D"/>
    <w:rsid w:val="00445081"/>
    <w:rsid w:val="0044510C"/>
    <w:rsid w:val="0044525A"/>
    <w:rsid w:val="00445365"/>
    <w:rsid w:val="00445409"/>
    <w:rsid w:val="0044542F"/>
    <w:rsid w:val="0044547A"/>
    <w:rsid w:val="00445688"/>
    <w:rsid w:val="004456AF"/>
    <w:rsid w:val="004456F5"/>
    <w:rsid w:val="00445868"/>
    <w:rsid w:val="00445883"/>
    <w:rsid w:val="004458E2"/>
    <w:rsid w:val="0044594D"/>
    <w:rsid w:val="004459C8"/>
    <w:rsid w:val="004459F3"/>
    <w:rsid w:val="00445A6D"/>
    <w:rsid w:val="00445BD9"/>
    <w:rsid w:val="00445BF0"/>
    <w:rsid w:val="00445DC8"/>
    <w:rsid w:val="00445DE7"/>
    <w:rsid w:val="00445E10"/>
    <w:rsid w:val="00445E37"/>
    <w:rsid w:val="00445ED0"/>
    <w:rsid w:val="00445F0D"/>
    <w:rsid w:val="00445F10"/>
    <w:rsid w:val="00445F9F"/>
    <w:rsid w:val="00446018"/>
    <w:rsid w:val="004460DD"/>
    <w:rsid w:val="004461C3"/>
    <w:rsid w:val="004461FC"/>
    <w:rsid w:val="004462C2"/>
    <w:rsid w:val="00446370"/>
    <w:rsid w:val="0044637E"/>
    <w:rsid w:val="004464EA"/>
    <w:rsid w:val="00446571"/>
    <w:rsid w:val="004465BB"/>
    <w:rsid w:val="0044678C"/>
    <w:rsid w:val="004468CC"/>
    <w:rsid w:val="00446A42"/>
    <w:rsid w:val="00446B7B"/>
    <w:rsid w:val="00446CAD"/>
    <w:rsid w:val="00446DB5"/>
    <w:rsid w:val="00446DDF"/>
    <w:rsid w:val="00446DEF"/>
    <w:rsid w:val="00446E1B"/>
    <w:rsid w:val="00446E93"/>
    <w:rsid w:val="00446F76"/>
    <w:rsid w:val="00446FC3"/>
    <w:rsid w:val="00446FD3"/>
    <w:rsid w:val="00447029"/>
    <w:rsid w:val="0044704F"/>
    <w:rsid w:val="004470F6"/>
    <w:rsid w:val="00447206"/>
    <w:rsid w:val="00447276"/>
    <w:rsid w:val="00447292"/>
    <w:rsid w:val="004472CC"/>
    <w:rsid w:val="004472D2"/>
    <w:rsid w:val="00447378"/>
    <w:rsid w:val="004474DC"/>
    <w:rsid w:val="00447525"/>
    <w:rsid w:val="0044772D"/>
    <w:rsid w:val="004477AB"/>
    <w:rsid w:val="004478F5"/>
    <w:rsid w:val="00447908"/>
    <w:rsid w:val="00447947"/>
    <w:rsid w:val="00447997"/>
    <w:rsid w:val="004479D9"/>
    <w:rsid w:val="004479E6"/>
    <w:rsid w:val="00447A39"/>
    <w:rsid w:val="00447A89"/>
    <w:rsid w:val="00447B34"/>
    <w:rsid w:val="00447B7C"/>
    <w:rsid w:val="00447CD6"/>
    <w:rsid w:val="00447D6B"/>
    <w:rsid w:val="00447D8B"/>
    <w:rsid w:val="00447E27"/>
    <w:rsid w:val="00447E9B"/>
    <w:rsid w:val="00447EC5"/>
    <w:rsid w:val="00447EF0"/>
    <w:rsid w:val="00447F6B"/>
    <w:rsid w:val="00447F96"/>
    <w:rsid w:val="00450148"/>
    <w:rsid w:val="004501A4"/>
    <w:rsid w:val="004503C2"/>
    <w:rsid w:val="004503FE"/>
    <w:rsid w:val="0045049F"/>
    <w:rsid w:val="004505BE"/>
    <w:rsid w:val="004505D9"/>
    <w:rsid w:val="004505FF"/>
    <w:rsid w:val="004506A5"/>
    <w:rsid w:val="004506AA"/>
    <w:rsid w:val="004506C8"/>
    <w:rsid w:val="00450763"/>
    <w:rsid w:val="004507F6"/>
    <w:rsid w:val="00450837"/>
    <w:rsid w:val="0045093A"/>
    <w:rsid w:val="004509A8"/>
    <w:rsid w:val="004509EA"/>
    <w:rsid w:val="00450AAA"/>
    <w:rsid w:val="00450B2A"/>
    <w:rsid w:val="00450B74"/>
    <w:rsid w:val="00450CC3"/>
    <w:rsid w:val="00450DF8"/>
    <w:rsid w:val="00450F59"/>
    <w:rsid w:val="00451131"/>
    <w:rsid w:val="0045118E"/>
    <w:rsid w:val="00451398"/>
    <w:rsid w:val="00451400"/>
    <w:rsid w:val="00451493"/>
    <w:rsid w:val="0045155E"/>
    <w:rsid w:val="004515A3"/>
    <w:rsid w:val="00451693"/>
    <w:rsid w:val="0045172E"/>
    <w:rsid w:val="0045184F"/>
    <w:rsid w:val="0045191A"/>
    <w:rsid w:val="00451ADD"/>
    <w:rsid w:val="00451C25"/>
    <w:rsid w:val="00451C39"/>
    <w:rsid w:val="00451CA7"/>
    <w:rsid w:val="00451CFD"/>
    <w:rsid w:val="00451D72"/>
    <w:rsid w:val="00451D9B"/>
    <w:rsid w:val="00451F27"/>
    <w:rsid w:val="00451FAD"/>
    <w:rsid w:val="00451FB0"/>
    <w:rsid w:val="00452112"/>
    <w:rsid w:val="0045232D"/>
    <w:rsid w:val="00452404"/>
    <w:rsid w:val="00452586"/>
    <w:rsid w:val="00452606"/>
    <w:rsid w:val="004526EB"/>
    <w:rsid w:val="00452770"/>
    <w:rsid w:val="00452793"/>
    <w:rsid w:val="00452794"/>
    <w:rsid w:val="004527D1"/>
    <w:rsid w:val="004528E0"/>
    <w:rsid w:val="0045290A"/>
    <w:rsid w:val="004529BF"/>
    <w:rsid w:val="00452A13"/>
    <w:rsid w:val="00452A97"/>
    <w:rsid w:val="00452B74"/>
    <w:rsid w:val="00452D91"/>
    <w:rsid w:val="00452E21"/>
    <w:rsid w:val="00452E55"/>
    <w:rsid w:val="00452E6B"/>
    <w:rsid w:val="00452E7B"/>
    <w:rsid w:val="00452EC9"/>
    <w:rsid w:val="004530FD"/>
    <w:rsid w:val="00453195"/>
    <w:rsid w:val="0045326D"/>
    <w:rsid w:val="00453321"/>
    <w:rsid w:val="00453326"/>
    <w:rsid w:val="0045334C"/>
    <w:rsid w:val="0045353C"/>
    <w:rsid w:val="004537CF"/>
    <w:rsid w:val="0045396D"/>
    <w:rsid w:val="004539E7"/>
    <w:rsid w:val="00453A0F"/>
    <w:rsid w:val="00453A4A"/>
    <w:rsid w:val="00453A81"/>
    <w:rsid w:val="00453B8C"/>
    <w:rsid w:val="00453C8F"/>
    <w:rsid w:val="00453D27"/>
    <w:rsid w:val="00453D29"/>
    <w:rsid w:val="00453D61"/>
    <w:rsid w:val="00453E44"/>
    <w:rsid w:val="00453E9F"/>
    <w:rsid w:val="00453EC4"/>
    <w:rsid w:val="00453F68"/>
    <w:rsid w:val="00454092"/>
    <w:rsid w:val="004542AD"/>
    <w:rsid w:val="004546D2"/>
    <w:rsid w:val="00454701"/>
    <w:rsid w:val="004548CD"/>
    <w:rsid w:val="004548DB"/>
    <w:rsid w:val="004548F3"/>
    <w:rsid w:val="004549B8"/>
    <w:rsid w:val="00454A69"/>
    <w:rsid w:val="00454B02"/>
    <w:rsid w:val="00454B5C"/>
    <w:rsid w:val="00454B61"/>
    <w:rsid w:val="00454BBD"/>
    <w:rsid w:val="00454C39"/>
    <w:rsid w:val="00454CBC"/>
    <w:rsid w:val="00454CEC"/>
    <w:rsid w:val="00454D58"/>
    <w:rsid w:val="00454DBF"/>
    <w:rsid w:val="00454E1E"/>
    <w:rsid w:val="00454E2F"/>
    <w:rsid w:val="00454E57"/>
    <w:rsid w:val="00454F8B"/>
    <w:rsid w:val="004550A7"/>
    <w:rsid w:val="00455113"/>
    <w:rsid w:val="004551C9"/>
    <w:rsid w:val="004552A0"/>
    <w:rsid w:val="004552FE"/>
    <w:rsid w:val="00455301"/>
    <w:rsid w:val="0045536F"/>
    <w:rsid w:val="004553BB"/>
    <w:rsid w:val="0045540E"/>
    <w:rsid w:val="00455419"/>
    <w:rsid w:val="00455489"/>
    <w:rsid w:val="004554D6"/>
    <w:rsid w:val="004554F6"/>
    <w:rsid w:val="00455504"/>
    <w:rsid w:val="0045553F"/>
    <w:rsid w:val="004558DF"/>
    <w:rsid w:val="004559D8"/>
    <w:rsid w:val="00455BB5"/>
    <w:rsid w:val="00455BF6"/>
    <w:rsid w:val="00455D1C"/>
    <w:rsid w:val="00455D6D"/>
    <w:rsid w:val="00455DCA"/>
    <w:rsid w:val="00455EB8"/>
    <w:rsid w:val="00455F68"/>
    <w:rsid w:val="00456115"/>
    <w:rsid w:val="00456156"/>
    <w:rsid w:val="00456175"/>
    <w:rsid w:val="0045619C"/>
    <w:rsid w:val="004561AC"/>
    <w:rsid w:val="004562B6"/>
    <w:rsid w:val="004563B4"/>
    <w:rsid w:val="004563F0"/>
    <w:rsid w:val="00456424"/>
    <w:rsid w:val="0045644E"/>
    <w:rsid w:val="004564A9"/>
    <w:rsid w:val="004564D3"/>
    <w:rsid w:val="0045655E"/>
    <w:rsid w:val="004565A1"/>
    <w:rsid w:val="004567D3"/>
    <w:rsid w:val="004567ED"/>
    <w:rsid w:val="00456876"/>
    <w:rsid w:val="00456918"/>
    <w:rsid w:val="0045694A"/>
    <w:rsid w:val="0045699F"/>
    <w:rsid w:val="00456A45"/>
    <w:rsid w:val="00456A59"/>
    <w:rsid w:val="00456A62"/>
    <w:rsid w:val="00456B33"/>
    <w:rsid w:val="00456B57"/>
    <w:rsid w:val="00456BCB"/>
    <w:rsid w:val="00456CC8"/>
    <w:rsid w:val="00456E9E"/>
    <w:rsid w:val="00456F25"/>
    <w:rsid w:val="0045725C"/>
    <w:rsid w:val="00457264"/>
    <w:rsid w:val="00457294"/>
    <w:rsid w:val="004573D3"/>
    <w:rsid w:val="004573DC"/>
    <w:rsid w:val="004573FA"/>
    <w:rsid w:val="0045745C"/>
    <w:rsid w:val="00457587"/>
    <w:rsid w:val="0045773C"/>
    <w:rsid w:val="004577BC"/>
    <w:rsid w:val="00457825"/>
    <w:rsid w:val="00457859"/>
    <w:rsid w:val="00457943"/>
    <w:rsid w:val="00457A3F"/>
    <w:rsid w:val="00457B0E"/>
    <w:rsid w:val="00457BBF"/>
    <w:rsid w:val="00457D62"/>
    <w:rsid w:val="00457DC6"/>
    <w:rsid w:val="00457E0A"/>
    <w:rsid w:val="00457E2C"/>
    <w:rsid w:val="00457E89"/>
    <w:rsid w:val="00457FD5"/>
    <w:rsid w:val="0045BF47"/>
    <w:rsid w:val="00460100"/>
    <w:rsid w:val="00460328"/>
    <w:rsid w:val="00460345"/>
    <w:rsid w:val="00460353"/>
    <w:rsid w:val="004603ED"/>
    <w:rsid w:val="004603F0"/>
    <w:rsid w:val="004604CC"/>
    <w:rsid w:val="004606B9"/>
    <w:rsid w:val="00460702"/>
    <w:rsid w:val="00460759"/>
    <w:rsid w:val="0046075B"/>
    <w:rsid w:val="0046078F"/>
    <w:rsid w:val="004607C7"/>
    <w:rsid w:val="00460838"/>
    <w:rsid w:val="0046099D"/>
    <w:rsid w:val="00460BA1"/>
    <w:rsid w:val="00460D25"/>
    <w:rsid w:val="00460D9F"/>
    <w:rsid w:val="00460DF3"/>
    <w:rsid w:val="00460E22"/>
    <w:rsid w:val="00460E5A"/>
    <w:rsid w:val="00460F8B"/>
    <w:rsid w:val="00461056"/>
    <w:rsid w:val="0046136C"/>
    <w:rsid w:val="004613F2"/>
    <w:rsid w:val="004614E3"/>
    <w:rsid w:val="004615F2"/>
    <w:rsid w:val="004616D2"/>
    <w:rsid w:val="004616FB"/>
    <w:rsid w:val="004617BE"/>
    <w:rsid w:val="004617D2"/>
    <w:rsid w:val="00461883"/>
    <w:rsid w:val="00461A3D"/>
    <w:rsid w:val="00461ABC"/>
    <w:rsid w:val="00461BC2"/>
    <w:rsid w:val="00461BEC"/>
    <w:rsid w:val="00461C15"/>
    <w:rsid w:val="00461C55"/>
    <w:rsid w:val="00461CD6"/>
    <w:rsid w:val="00461CE4"/>
    <w:rsid w:val="00461E13"/>
    <w:rsid w:val="00461EB2"/>
    <w:rsid w:val="00461EDA"/>
    <w:rsid w:val="00461FE0"/>
    <w:rsid w:val="00462008"/>
    <w:rsid w:val="0046204D"/>
    <w:rsid w:val="004620A3"/>
    <w:rsid w:val="004620A5"/>
    <w:rsid w:val="004621DF"/>
    <w:rsid w:val="00462266"/>
    <w:rsid w:val="004622A6"/>
    <w:rsid w:val="00462372"/>
    <w:rsid w:val="0046245E"/>
    <w:rsid w:val="00462499"/>
    <w:rsid w:val="00462584"/>
    <w:rsid w:val="00462676"/>
    <w:rsid w:val="004626E5"/>
    <w:rsid w:val="0046276E"/>
    <w:rsid w:val="00462874"/>
    <w:rsid w:val="00462957"/>
    <w:rsid w:val="004629CA"/>
    <w:rsid w:val="00462A3E"/>
    <w:rsid w:val="00462BF9"/>
    <w:rsid w:val="00462CD0"/>
    <w:rsid w:val="00462DE5"/>
    <w:rsid w:val="00462DFA"/>
    <w:rsid w:val="00462E11"/>
    <w:rsid w:val="00462EB6"/>
    <w:rsid w:val="00462EF8"/>
    <w:rsid w:val="00463032"/>
    <w:rsid w:val="0046305A"/>
    <w:rsid w:val="004630FB"/>
    <w:rsid w:val="00463124"/>
    <w:rsid w:val="00463484"/>
    <w:rsid w:val="004634C7"/>
    <w:rsid w:val="00463520"/>
    <w:rsid w:val="00463606"/>
    <w:rsid w:val="00463625"/>
    <w:rsid w:val="0046364C"/>
    <w:rsid w:val="004636C9"/>
    <w:rsid w:val="004636F5"/>
    <w:rsid w:val="004637D4"/>
    <w:rsid w:val="00463832"/>
    <w:rsid w:val="004639DA"/>
    <w:rsid w:val="00463A4D"/>
    <w:rsid w:val="00463A82"/>
    <w:rsid w:val="00463AD9"/>
    <w:rsid w:val="00463BAD"/>
    <w:rsid w:val="00463C81"/>
    <w:rsid w:val="00463E88"/>
    <w:rsid w:val="00463FBD"/>
    <w:rsid w:val="004641EA"/>
    <w:rsid w:val="0046424A"/>
    <w:rsid w:val="004643F4"/>
    <w:rsid w:val="00464429"/>
    <w:rsid w:val="004644E6"/>
    <w:rsid w:val="0046455D"/>
    <w:rsid w:val="0046458A"/>
    <w:rsid w:val="004647A5"/>
    <w:rsid w:val="00464999"/>
    <w:rsid w:val="00464AAC"/>
    <w:rsid w:val="00464B8A"/>
    <w:rsid w:val="00464BDA"/>
    <w:rsid w:val="00464CD3"/>
    <w:rsid w:val="00464E14"/>
    <w:rsid w:val="00464E9F"/>
    <w:rsid w:val="00464F58"/>
    <w:rsid w:val="00465092"/>
    <w:rsid w:val="00465163"/>
    <w:rsid w:val="004652BE"/>
    <w:rsid w:val="004652D0"/>
    <w:rsid w:val="004652DF"/>
    <w:rsid w:val="004652F2"/>
    <w:rsid w:val="00465446"/>
    <w:rsid w:val="004654C2"/>
    <w:rsid w:val="00465500"/>
    <w:rsid w:val="00465507"/>
    <w:rsid w:val="0046551A"/>
    <w:rsid w:val="0046552C"/>
    <w:rsid w:val="004655D4"/>
    <w:rsid w:val="0046571A"/>
    <w:rsid w:val="00465727"/>
    <w:rsid w:val="00465856"/>
    <w:rsid w:val="00465876"/>
    <w:rsid w:val="004658DF"/>
    <w:rsid w:val="00465908"/>
    <w:rsid w:val="00465994"/>
    <w:rsid w:val="00465A7B"/>
    <w:rsid w:val="00465B1E"/>
    <w:rsid w:val="00465D6A"/>
    <w:rsid w:val="00465F37"/>
    <w:rsid w:val="00465F76"/>
    <w:rsid w:val="00465FAB"/>
    <w:rsid w:val="00465FCD"/>
    <w:rsid w:val="004660A3"/>
    <w:rsid w:val="004660A4"/>
    <w:rsid w:val="00466251"/>
    <w:rsid w:val="004665A1"/>
    <w:rsid w:val="004665FB"/>
    <w:rsid w:val="0046663D"/>
    <w:rsid w:val="00466654"/>
    <w:rsid w:val="00466726"/>
    <w:rsid w:val="00466765"/>
    <w:rsid w:val="00466767"/>
    <w:rsid w:val="004668A1"/>
    <w:rsid w:val="004668A6"/>
    <w:rsid w:val="0046694F"/>
    <w:rsid w:val="00466956"/>
    <w:rsid w:val="00466D74"/>
    <w:rsid w:val="00466DDA"/>
    <w:rsid w:val="00466DDF"/>
    <w:rsid w:val="00466E0A"/>
    <w:rsid w:val="00466E29"/>
    <w:rsid w:val="00466E6E"/>
    <w:rsid w:val="00466EE2"/>
    <w:rsid w:val="0046711B"/>
    <w:rsid w:val="004671F0"/>
    <w:rsid w:val="004672A8"/>
    <w:rsid w:val="00467350"/>
    <w:rsid w:val="004673B1"/>
    <w:rsid w:val="004675E9"/>
    <w:rsid w:val="004675F9"/>
    <w:rsid w:val="00467885"/>
    <w:rsid w:val="004678FF"/>
    <w:rsid w:val="004679D7"/>
    <w:rsid w:val="00467AC0"/>
    <w:rsid w:val="00467AE4"/>
    <w:rsid w:val="00467D49"/>
    <w:rsid w:val="00467D53"/>
    <w:rsid w:val="00467E07"/>
    <w:rsid w:val="00467F0E"/>
    <w:rsid w:val="00467F3C"/>
    <w:rsid w:val="00467FCE"/>
    <w:rsid w:val="0047019E"/>
    <w:rsid w:val="004701D5"/>
    <w:rsid w:val="00470225"/>
    <w:rsid w:val="0047022E"/>
    <w:rsid w:val="0047029E"/>
    <w:rsid w:val="004704B3"/>
    <w:rsid w:val="004705A1"/>
    <w:rsid w:val="004705F7"/>
    <w:rsid w:val="00470600"/>
    <w:rsid w:val="00470626"/>
    <w:rsid w:val="00470636"/>
    <w:rsid w:val="00470A11"/>
    <w:rsid w:val="00470E37"/>
    <w:rsid w:val="00470EF6"/>
    <w:rsid w:val="004710FD"/>
    <w:rsid w:val="00471132"/>
    <w:rsid w:val="0047117D"/>
    <w:rsid w:val="00471208"/>
    <w:rsid w:val="00471211"/>
    <w:rsid w:val="004712B2"/>
    <w:rsid w:val="004712D0"/>
    <w:rsid w:val="004712D6"/>
    <w:rsid w:val="0047137A"/>
    <w:rsid w:val="0047145D"/>
    <w:rsid w:val="00471490"/>
    <w:rsid w:val="0047150E"/>
    <w:rsid w:val="004716A8"/>
    <w:rsid w:val="00471C1F"/>
    <w:rsid w:val="00471C2B"/>
    <w:rsid w:val="00471C87"/>
    <w:rsid w:val="00471DFE"/>
    <w:rsid w:val="00471FC1"/>
    <w:rsid w:val="00472046"/>
    <w:rsid w:val="004720DA"/>
    <w:rsid w:val="004720EA"/>
    <w:rsid w:val="004721D7"/>
    <w:rsid w:val="004721F1"/>
    <w:rsid w:val="00472204"/>
    <w:rsid w:val="0047224B"/>
    <w:rsid w:val="00472414"/>
    <w:rsid w:val="0047241D"/>
    <w:rsid w:val="00472672"/>
    <w:rsid w:val="0047268D"/>
    <w:rsid w:val="004726B9"/>
    <w:rsid w:val="00472798"/>
    <w:rsid w:val="004727DD"/>
    <w:rsid w:val="00472897"/>
    <w:rsid w:val="00472A3B"/>
    <w:rsid w:val="00472AA2"/>
    <w:rsid w:val="00472B8B"/>
    <w:rsid w:val="00472BF3"/>
    <w:rsid w:val="00472D06"/>
    <w:rsid w:val="00472E10"/>
    <w:rsid w:val="00472F55"/>
    <w:rsid w:val="00472FBB"/>
    <w:rsid w:val="00473027"/>
    <w:rsid w:val="0047307A"/>
    <w:rsid w:val="004731F8"/>
    <w:rsid w:val="0047323F"/>
    <w:rsid w:val="0047326E"/>
    <w:rsid w:val="00473279"/>
    <w:rsid w:val="00473427"/>
    <w:rsid w:val="00473489"/>
    <w:rsid w:val="00473738"/>
    <w:rsid w:val="00473A04"/>
    <w:rsid w:val="00473AC4"/>
    <w:rsid w:val="00473B13"/>
    <w:rsid w:val="00473B4F"/>
    <w:rsid w:val="00473B55"/>
    <w:rsid w:val="00473BFF"/>
    <w:rsid w:val="00473C1B"/>
    <w:rsid w:val="00473CD2"/>
    <w:rsid w:val="00473D74"/>
    <w:rsid w:val="00473EFD"/>
    <w:rsid w:val="00473F20"/>
    <w:rsid w:val="00473F4A"/>
    <w:rsid w:val="00473FE0"/>
    <w:rsid w:val="00474029"/>
    <w:rsid w:val="0047408D"/>
    <w:rsid w:val="00474095"/>
    <w:rsid w:val="004741AC"/>
    <w:rsid w:val="004742B4"/>
    <w:rsid w:val="004742F1"/>
    <w:rsid w:val="0047444B"/>
    <w:rsid w:val="0047454D"/>
    <w:rsid w:val="0047458B"/>
    <w:rsid w:val="0047459D"/>
    <w:rsid w:val="004746E8"/>
    <w:rsid w:val="004746F2"/>
    <w:rsid w:val="00474778"/>
    <w:rsid w:val="00474793"/>
    <w:rsid w:val="00474871"/>
    <w:rsid w:val="00474962"/>
    <w:rsid w:val="0047497D"/>
    <w:rsid w:val="00474B0F"/>
    <w:rsid w:val="00474BF1"/>
    <w:rsid w:val="00474C30"/>
    <w:rsid w:val="00474C5E"/>
    <w:rsid w:val="00474CB5"/>
    <w:rsid w:val="00474E59"/>
    <w:rsid w:val="00474E80"/>
    <w:rsid w:val="00474E94"/>
    <w:rsid w:val="00475192"/>
    <w:rsid w:val="004751DC"/>
    <w:rsid w:val="0047527B"/>
    <w:rsid w:val="004752DA"/>
    <w:rsid w:val="00475403"/>
    <w:rsid w:val="0047561D"/>
    <w:rsid w:val="0047564E"/>
    <w:rsid w:val="0047567B"/>
    <w:rsid w:val="004756B0"/>
    <w:rsid w:val="00475771"/>
    <w:rsid w:val="004758AB"/>
    <w:rsid w:val="0047598E"/>
    <w:rsid w:val="00475A09"/>
    <w:rsid w:val="00475ABD"/>
    <w:rsid w:val="00475B4F"/>
    <w:rsid w:val="00475C21"/>
    <w:rsid w:val="00475D8C"/>
    <w:rsid w:val="00475E3A"/>
    <w:rsid w:val="00475E82"/>
    <w:rsid w:val="00475ED9"/>
    <w:rsid w:val="00475FE0"/>
    <w:rsid w:val="00475FFF"/>
    <w:rsid w:val="00476191"/>
    <w:rsid w:val="004761D2"/>
    <w:rsid w:val="0047640B"/>
    <w:rsid w:val="00476587"/>
    <w:rsid w:val="0047659C"/>
    <w:rsid w:val="0047674E"/>
    <w:rsid w:val="004767EA"/>
    <w:rsid w:val="00476870"/>
    <w:rsid w:val="004768AC"/>
    <w:rsid w:val="004768DD"/>
    <w:rsid w:val="004768EB"/>
    <w:rsid w:val="004769ED"/>
    <w:rsid w:val="00476C2E"/>
    <w:rsid w:val="00476C9D"/>
    <w:rsid w:val="00476CB3"/>
    <w:rsid w:val="00476CFF"/>
    <w:rsid w:val="00476D6B"/>
    <w:rsid w:val="00476EAE"/>
    <w:rsid w:val="00476F74"/>
    <w:rsid w:val="00476FB1"/>
    <w:rsid w:val="00477081"/>
    <w:rsid w:val="004770F9"/>
    <w:rsid w:val="0047719A"/>
    <w:rsid w:val="004771B0"/>
    <w:rsid w:val="004771E1"/>
    <w:rsid w:val="00477239"/>
    <w:rsid w:val="0047735C"/>
    <w:rsid w:val="004773BB"/>
    <w:rsid w:val="004773C5"/>
    <w:rsid w:val="00477505"/>
    <w:rsid w:val="004775D1"/>
    <w:rsid w:val="004775DE"/>
    <w:rsid w:val="00477731"/>
    <w:rsid w:val="00477770"/>
    <w:rsid w:val="00477821"/>
    <w:rsid w:val="00477A67"/>
    <w:rsid w:val="00477A6E"/>
    <w:rsid w:val="00477CF6"/>
    <w:rsid w:val="00477E27"/>
    <w:rsid w:val="00479C3A"/>
    <w:rsid w:val="00480018"/>
    <w:rsid w:val="0048015F"/>
    <w:rsid w:val="0048016D"/>
    <w:rsid w:val="00480225"/>
    <w:rsid w:val="004802DF"/>
    <w:rsid w:val="004802FC"/>
    <w:rsid w:val="0048043B"/>
    <w:rsid w:val="0048047D"/>
    <w:rsid w:val="004804A1"/>
    <w:rsid w:val="00480552"/>
    <w:rsid w:val="00480572"/>
    <w:rsid w:val="004805FF"/>
    <w:rsid w:val="00480686"/>
    <w:rsid w:val="004806A0"/>
    <w:rsid w:val="004807B6"/>
    <w:rsid w:val="0048092E"/>
    <w:rsid w:val="004809E7"/>
    <w:rsid w:val="00480B07"/>
    <w:rsid w:val="00480B28"/>
    <w:rsid w:val="00480B59"/>
    <w:rsid w:val="00480B6E"/>
    <w:rsid w:val="00480BA5"/>
    <w:rsid w:val="00480C0C"/>
    <w:rsid w:val="00480C72"/>
    <w:rsid w:val="00480D96"/>
    <w:rsid w:val="00480DEF"/>
    <w:rsid w:val="00480F4B"/>
    <w:rsid w:val="0048100F"/>
    <w:rsid w:val="00481090"/>
    <w:rsid w:val="004810F7"/>
    <w:rsid w:val="004812C9"/>
    <w:rsid w:val="00481311"/>
    <w:rsid w:val="0048153C"/>
    <w:rsid w:val="00481604"/>
    <w:rsid w:val="00481725"/>
    <w:rsid w:val="00481749"/>
    <w:rsid w:val="004817C9"/>
    <w:rsid w:val="004817D8"/>
    <w:rsid w:val="004817DE"/>
    <w:rsid w:val="0048181E"/>
    <w:rsid w:val="0048185D"/>
    <w:rsid w:val="004818F4"/>
    <w:rsid w:val="00481989"/>
    <w:rsid w:val="00481ABF"/>
    <w:rsid w:val="00481AD1"/>
    <w:rsid w:val="00481B22"/>
    <w:rsid w:val="00481B77"/>
    <w:rsid w:val="00481C6B"/>
    <w:rsid w:val="00481D71"/>
    <w:rsid w:val="00481D91"/>
    <w:rsid w:val="00481E35"/>
    <w:rsid w:val="00481EF5"/>
    <w:rsid w:val="00481F70"/>
    <w:rsid w:val="004820A2"/>
    <w:rsid w:val="004820B4"/>
    <w:rsid w:val="0048220D"/>
    <w:rsid w:val="0048221A"/>
    <w:rsid w:val="00482238"/>
    <w:rsid w:val="004822A5"/>
    <w:rsid w:val="00482384"/>
    <w:rsid w:val="00482608"/>
    <w:rsid w:val="004826BA"/>
    <w:rsid w:val="004827B9"/>
    <w:rsid w:val="00482820"/>
    <w:rsid w:val="0048282D"/>
    <w:rsid w:val="004828FB"/>
    <w:rsid w:val="00482933"/>
    <w:rsid w:val="00482AC2"/>
    <w:rsid w:val="00482D56"/>
    <w:rsid w:val="00482E16"/>
    <w:rsid w:val="00482E81"/>
    <w:rsid w:val="00482F7D"/>
    <w:rsid w:val="00483005"/>
    <w:rsid w:val="0048309D"/>
    <w:rsid w:val="004832C2"/>
    <w:rsid w:val="004833F7"/>
    <w:rsid w:val="0048361E"/>
    <w:rsid w:val="00483721"/>
    <w:rsid w:val="004837F9"/>
    <w:rsid w:val="004838E6"/>
    <w:rsid w:val="004839AE"/>
    <w:rsid w:val="00483ADA"/>
    <w:rsid w:val="00483B76"/>
    <w:rsid w:val="00483C1A"/>
    <w:rsid w:val="00483CC7"/>
    <w:rsid w:val="00483D87"/>
    <w:rsid w:val="00483D8D"/>
    <w:rsid w:val="00483DBC"/>
    <w:rsid w:val="00483E30"/>
    <w:rsid w:val="00483F92"/>
    <w:rsid w:val="00484026"/>
    <w:rsid w:val="00484032"/>
    <w:rsid w:val="004840B0"/>
    <w:rsid w:val="00484470"/>
    <w:rsid w:val="004844C6"/>
    <w:rsid w:val="0048467E"/>
    <w:rsid w:val="0048468E"/>
    <w:rsid w:val="00484759"/>
    <w:rsid w:val="004847B8"/>
    <w:rsid w:val="00484849"/>
    <w:rsid w:val="0048485E"/>
    <w:rsid w:val="00484A39"/>
    <w:rsid w:val="00484AAA"/>
    <w:rsid w:val="00484ADF"/>
    <w:rsid w:val="00484BF1"/>
    <w:rsid w:val="00484D12"/>
    <w:rsid w:val="00484E33"/>
    <w:rsid w:val="00484E61"/>
    <w:rsid w:val="00484ED1"/>
    <w:rsid w:val="00484F8A"/>
    <w:rsid w:val="00484F8B"/>
    <w:rsid w:val="00484F8E"/>
    <w:rsid w:val="0048500D"/>
    <w:rsid w:val="00485075"/>
    <w:rsid w:val="004850BE"/>
    <w:rsid w:val="0048517A"/>
    <w:rsid w:val="0048521B"/>
    <w:rsid w:val="00485281"/>
    <w:rsid w:val="00485282"/>
    <w:rsid w:val="0048529C"/>
    <w:rsid w:val="004853B2"/>
    <w:rsid w:val="00485434"/>
    <w:rsid w:val="00485506"/>
    <w:rsid w:val="004855A9"/>
    <w:rsid w:val="004855CD"/>
    <w:rsid w:val="004855EC"/>
    <w:rsid w:val="00485896"/>
    <w:rsid w:val="00485900"/>
    <w:rsid w:val="00485ACB"/>
    <w:rsid w:val="00485B51"/>
    <w:rsid w:val="00485CD9"/>
    <w:rsid w:val="00485CF1"/>
    <w:rsid w:val="00485D01"/>
    <w:rsid w:val="00485DA5"/>
    <w:rsid w:val="00485E7A"/>
    <w:rsid w:val="00485E88"/>
    <w:rsid w:val="00485EAB"/>
    <w:rsid w:val="00485F82"/>
    <w:rsid w:val="00485F86"/>
    <w:rsid w:val="00485FF7"/>
    <w:rsid w:val="00486089"/>
    <w:rsid w:val="004860B4"/>
    <w:rsid w:val="004861FD"/>
    <w:rsid w:val="00486217"/>
    <w:rsid w:val="00486251"/>
    <w:rsid w:val="004863F1"/>
    <w:rsid w:val="004863F2"/>
    <w:rsid w:val="0048655D"/>
    <w:rsid w:val="004865D7"/>
    <w:rsid w:val="0048660E"/>
    <w:rsid w:val="00486646"/>
    <w:rsid w:val="004867F0"/>
    <w:rsid w:val="004868A5"/>
    <w:rsid w:val="004868F9"/>
    <w:rsid w:val="00486958"/>
    <w:rsid w:val="00486BC8"/>
    <w:rsid w:val="00486BD1"/>
    <w:rsid w:val="00486C8F"/>
    <w:rsid w:val="00486DC5"/>
    <w:rsid w:val="00486DE9"/>
    <w:rsid w:val="00486E49"/>
    <w:rsid w:val="00486E92"/>
    <w:rsid w:val="00486E93"/>
    <w:rsid w:val="00486EA3"/>
    <w:rsid w:val="00486F83"/>
    <w:rsid w:val="00487041"/>
    <w:rsid w:val="00487092"/>
    <w:rsid w:val="0048711A"/>
    <w:rsid w:val="00487350"/>
    <w:rsid w:val="004873EB"/>
    <w:rsid w:val="00487433"/>
    <w:rsid w:val="0048746A"/>
    <w:rsid w:val="00487480"/>
    <w:rsid w:val="004874BA"/>
    <w:rsid w:val="00487517"/>
    <w:rsid w:val="0048766B"/>
    <w:rsid w:val="00487700"/>
    <w:rsid w:val="00487960"/>
    <w:rsid w:val="004879F7"/>
    <w:rsid w:val="00487AA2"/>
    <w:rsid w:val="00487B50"/>
    <w:rsid w:val="00487B77"/>
    <w:rsid w:val="00487D14"/>
    <w:rsid w:val="00487FEF"/>
    <w:rsid w:val="00490080"/>
    <w:rsid w:val="004900D0"/>
    <w:rsid w:val="00490136"/>
    <w:rsid w:val="0049015D"/>
    <w:rsid w:val="0049033D"/>
    <w:rsid w:val="00490380"/>
    <w:rsid w:val="00490385"/>
    <w:rsid w:val="00490445"/>
    <w:rsid w:val="0049058A"/>
    <w:rsid w:val="00490591"/>
    <w:rsid w:val="004905A9"/>
    <w:rsid w:val="00490663"/>
    <w:rsid w:val="004906A2"/>
    <w:rsid w:val="00490C5E"/>
    <w:rsid w:val="00490C95"/>
    <w:rsid w:val="00490CC9"/>
    <w:rsid w:val="00490D32"/>
    <w:rsid w:val="00490DDB"/>
    <w:rsid w:val="00490E4B"/>
    <w:rsid w:val="00490E7D"/>
    <w:rsid w:val="00490EA3"/>
    <w:rsid w:val="00490EF6"/>
    <w:rsid w:val="0049108C"/>
    <w:rsid w:val="00491174"/>
    <w:rsid w:val="004911DF"/>
    <w:rsid w:val="004911E2"/>
    <w:rsid w:val="004913D1"/>
    <w:rsid w:val="00491438"/>
    <w:rsid w:val="00491468"/>
    <w:rsid w:val="00491495"/>
    <w:rsid w:val="004915E3"/>
    <w:rsid w:val="004916C5"/>
    <w:rsid w:val="0049181E"/>
    <w:rsid w:val="004918BA"/>
    <w:rsid w:val="004918E7"/>
    <w:rsid w:val="00491937"/>
    <w:rsid w:val="004919C8"/>
    <w:rsid w:val="00491AF4"/>
    <w:rsid w:val="00491B10"/>
    <w:rsid w:val="00491B19"/>
    <w:rsid w:val="00491C8A"/>
    <w:rsid w:val="00491C8F"/>
    <w:rsid w:val="00491C95"/>
    <w:rsid w:val="00491C96"/>
    <w:rsid w:val="00491CD2"/>
    <w:rsid w:val="00491DFF"/>
    <w:rsid w:val="00491E27"/>
    <w:rsid w:val="0049202C"/>
    <w:rsid w:val="00492257"/>
    <w:rsid w:val="00492276"/>
    <w:rsid w:val="0049227A"/>
    <w:rsid w:val="00492297"/>
    <w:rsid w:val="00492466"/>
    <w:rsid w:val="004925DD"/>
    <w:rsid w:val="004925F8"/>
    <w:rsid w:val="004926E1"/>
    <w:rsid w:val="004927D9"/>
    <w:rsid w:val="0049290F"/>
    <w:rsid w:val="00492995"/>
    <w:rsid w:val="00492A2B"/>
    <w:rsid w:val="00492B2D"/>
    <w:rsid w:val="00492B69"/>
    <w:rsid w:val="00492B75"/>
    <w:rsid w:val="00492C28"/>
    <w:rsid w:val="00492CD7"/>
    <w:rsid w:val="00492EFA"/>
    <w:rsid w:val="00492FA7"/>
    <w:rsid w:val="00492FE8"/>
    <w:rsid w:val="0049301A"/>
    <w:rsid w:val="00493023"/>
    <w:rsid w:val="0049306D"/>
    <w:rsid w:val="004930C7"/>
    <w:rsid w:val="004930DC"/>
    <w:rsid w:val="0049315F"/>
    <w:rsid w:val="0049321B"/>
    <w:rsid w:val="00493220"/>
    <w:rsid w:val="00493277"/>
    <w:rsid w:val="00493301"/>
    <w:rsid w:val="00493342"/>
    <w:rsid w:val="004934DA"/>
    <w:rsid w:val="00493629"/>
    <w:rsid w:val="004936AC"/>
    <w:rsid w:val="004936F9"/>
    <w:rsid w:val="0049376E"/>
    <w:rsid w:val="004937D3"/>
    <w:rsid w:val="00493884"/>
    <w:rsid w:val="00493911"/>
    <w:rsid w:val="0049393B"/>
    <w:rsid w:val="00493A3B"/>
    <w:rsid w:val="00493AD4"/>
    <w:rsid w:val="00493C24"/>
    <w:rsid w:val="00493CE8"/>
    <w:rsid w:val="00493D3C"/>
    <w:rsid w:val="00493E0E"/>
    <w:rsid w:val="00493E44"/>
    <w:rsid w:val="00493F2A"/>
    <w:rsid w:val="00493F88"/>
    <w:rsid w:val="00493FC8"/>
    <w:rsid w:val="00494175"/>
    <w:rsid w:val="00494266"/>
    <w:rsid w:val="004942DF"/>
    <w:rsid w:val="004943A7"/>
    <w:rsid w:val="00494406"/>
    <w:rsid w:val="0049441E"/>
    <w:rsid w:val="0049448A"/>
    <w:rsid w:val="004945E5"/>
    <w:rsid w:val="00494626"/>
    <w:rsid w:val="0049474F"/>
    <w:rsid w:val="00494983"/>
    <w:rsid w:val="00494A84"/>
    <w:rsid w:val="00494ACB"/>
    <w:rsid w:val="00494BAC"/>
    <w:rsid w:val="00494BFE"/>
    <w:rsid w:val="00494D1C"/>
    <w:rsid w:val="00494DF4"/>
    <w:rsid w:val="00494E8C"/>
    <w:rsid w:val="0049500B"/>
    <w:rsid w:val="004950B5"/>
    <w:rsid w:val="004952DC"/>
    <w:rsid w:val="00495456"/>
    <w:rsid w:val="00495476"/>
    <w:rsid w:val="004954B6"/>
    <w:rsid w:val="00495581"/>
    <w:rsid w:val="0049558F"/>
    <w:rsid w:val="00495619"/>
    <w:rsid w:val="00495676"/>
    <w:rsid w:val="00495687"/>
    <w:rsid w:val="004956B9"/>
    <w:rsid w:val="004956D2"/>
    <w:rsid w:val="004956FA"/>
    <w:rsid w:val="00495896"/>
    <w:rsid w:val="004958A1"/>
    <w:rsid w:val="004958C1"/>
    <w:rsid w:val="00495B0D"/>
    <w:rsid w:val="00495B27"/>
    <w:rsid w:val="00495B44"/>
    <w:rsid w:val="00495EAA"/>
    <w:rsid w:val="00495F10"/>
    <w:rsid w:val="00495F72"/>
    <w:rsid w:val="00496070"/>
    <w:rsid w:val="004960A6"/>
    <w:rsid w:val="004960C4"/>
    <w:rsid w:val="004960CE"/>
    <w:rsid w:val="004962C5"/>
    <w:rsid w:val="004962F2"/>
    <w:rsid w:val="004963E1"/>
    <w:rsid w:val="00496497"/>
    <w:rsid w:val="00496546"/>
    <w:rsid w:val="00496594"/>
    <w:rsid w:val="00496940"/>
    <w:rsid w:val="00496943"/>
    <w:rsid w:val="004969D4"/>
    <w:rsid w:val="00496A70"/>
    <w:rsid w:val="00496B73"/>
    <w:rsid w:val="00496B7D"/>
    <w:rsid w:val="00496C78"/>
    <w:rsid w:val="00496F04"/>
    <w:rsid w:val="00497075"/>
    <w:rsid w:val="00497239"/>
    <w:rsid w:val="004972B0"/>
    <w:rsid w:val="004973D4"/>
    <w:rsid w:val="004973EF"/>
    <w:rsid w:val="00497448"/>
    <w:rsid w:val="004974C2"/>
    <w:rsid w:val="00497581"/>
    <w:rsid w:val="00497770"/>
    <w:rsid w:val="00497794"/>
    <w:rsid w:val="0049780A"/>
    <w:rsid w:val="0049786B"/>
    <w:rsid w:val="004978B2"/>
    <w:rsid w:val="00497967"/>
    <w:rsid w:val="0049797A"/>
    <w:rsid w:val="00497A29"/>
    <w:rsid w:val="00497AA2"/>
    <w:rsid w:val="00497D07"/>
    <w:rsid w:val="00497D95"/>
    <w:rsid w:val="004A00FB"/>
    <w:rsid w:val="004A0131"/>
    <w:rsid w:val="004A01DF"/>
    <w:rsid w:val="004A0279"/>
    <w:rsid w:val="004A02F6"/>
    <w:rsid w:val="004A04AE"/>
    <w:rsid w:val="004A055B"/>
    <w:rsid w:val="004A06F2"/>
    <w:rsid w:val="004A0720"/>
    <w:rsid w:val="004A07BC"/>
    <w:rsid w:val="004A0AAD"/>
    <w:rsid w:val="004A0B23"/>
    <w:rsid w:val="004A0CB0"/>
    <w:rsid w:val="004A0CC7"/>
    <w:rsid w:val="004A0CD2"/>
    <w:rsid w:val="004A0CDB"/>
    <w:rsid w:val="004A0CF8"/>
    <w:rsid w:val="004A0D82"/>
    <w:rsid w:val="004A102A"/>
    <w:rsid w:val="004A10F3"/>
    <w:rsid w:val="004A112D"/>
    <w:rsid w:val="004A123D"/>
    <w:rsid w:val="004A156A"/>
    <w:rsid w:val="004A1585"/>
    <w:rsid w:val="004A160F"/>
    <w:rsid w:val="004A174F"/>
    <w:rsid w:val="004A17A8"/>
    <w:rsid w:val="004A17AE"/>
    <w:rsid w:val="004A1826"/>
    <w:rsid w:val="004A1835"/>
    <w:rsid w:val="004A1856"/>
    <w:rsid w:val="004A18D0"/>
    <w:rsid w:val="004A19F1"/>
    <w:rsid w:val="004A1AA0"/>
    <w:rsid w:val="004A1C42"/>
    <w:rsid w:val="004A1D42"/>
    <w:rsid w:val="004A1F3A"/>
    <w:rsid w:val="004A21DC"/>
    <w:rsid w:val="004A2480"/>
    <w:rsid w:val="004A24D9"/>
    <w:rsid w:val="004A24F9"/>
    <w:rsid w:val="004A265B"/>
    <w:rsid w:val="004A2665"/>
    <w:rsid w:val="004A2729"/>
    <w:rsid w:val="004A29DC"/>
    <w:rsid w:val="004A2A27"/>
    <w:rsid w:val="004A2A32"/>
    <w:rsid w:val="004A2A5C"/>
    <w:rsid w:val="004A2ACE"/>
    <w:rsid w:val="004A2B78"/>
    <w:rsid w:val="004A2BD5"/>
    <w:rsid w:val="004A2C74"/>
    <w:rsid w:val="004A2CD2"/>
    <w:rsid w:val="004A2D1A"/>
    <w:rsid w:val="004A2E32"/>
    <w:rsid w:val="004A2E33"/>
    <w:rsid w:val="004A2E76"/>
    <w:rsid w:val="004A2F81"/>
    <w:rsid w:val="004A32DD"/>
    <w:rsid w:val="004A3346"/>
    <w:rsid w:val="004A33EE"/>
    <w:rsid w:val="004A34EC"/>
    <w:rsid w:val="004A35CE"/>
    <w:rsid w:val="004A3657"/>
    <w:rsid w:val="004A3658"/>
    <w:rsid w:val="004A387B"/>
    <w:rsid w:val="004A38C4"/>
    <w:rsid w:val="004A39BC"/>
    <w:rsid w:val="004A3A8A"/>
    <w:rsid w:val="004A3B44"/>
    <w:rsid w:val="004A3BBC"/>
    <w:rsid w:val="004A3C09"/>
    <w:rsid w:val="004A3C24"/>
    <w:rsid w:val="004A3CCE"/>
    <w:rsid w:val="004A3D80"/>
    <w:rsid w:val="004A3EA5"/>
    <w:rsid w:val="004A3EB1"/>
    <w:rsid w:val="004A3EC5"/>
    <w:rsid w:val="004A3F8A"/>
    <w:rsid w:val="004A4074"/>
    <w:rsid w:val="004A4131"/>
    <w:rsid w:val="004A413C"/>
    <w:rsid w:val="004A42F6"/>
    <w:rsid w:val="004A42F9"/>
    <w:rsid w:val="004A4349"/>
    <w:rsid w:val="004A4364"/>
    <w:rsid w:val="004A43CF"/>
    <w:rsid w:val="004A43D6"/>
    <w:rsid w:val="004A444B"/>
    <w:rsid w:val="004A4493"/>
    <w:rsid w:val="004A4503"/>
    <w:rsid w:val="004A4511"/>
    <w:rsid w:val="004A45D8"/>
    <w:rsid w:val="004A4880"/>
    <w:rsid w:val="004A48B8"/>
    <w:rsid w:val="004A48C3"/>
    <w:rsid w:val="004A48D2"/>
    <w:rsid w:val="004A4968"/>
    <w:rsid w:val="004A49E8"/>
    <w:rsid w:val="004A4C85"/>
    <w:rsid w:val="004A4D99"/>
    <w:rsid w:val="004A4DA7"/>
    <w:rsid w:val="004A4F48"/>
    <w:rsid w:val="004A5009"/>
    <w:rsid w:val="004A50A8"/>
    <w:rsid w:val="004A5115"/>
    <w:rsid w:val="004A51A9"/>
    <w:rsid w:val="004A524D"/>
    <w:rsid w:val="004A55AB"/>
    <w:rsid w:val="004A5603"/>
    <w:rsid w:val="004A5634"/>
    <w:rsid w:val="004A5799"/>
    <w:rsid w:val="004A57DE"/>
    <w:rsid w:val="004A586C"/>
    <w:rsid w:val="004A5899"/>
    <w:rsid w:val="004A5ACC"/>
    <w:rsid w:val="004A5B1F"/>
    <w:rsid w:val="004A5C65"/>
    <w:rsid w:val="004A5E02"/>
    <w:rsid w:val="004A5F73"/>
    <w:rsid w:val="004A5FA7"/>
    <w:rsid w:val="004A600D"/>
    <w:rsid w:val="004A604A"/>
    <w:rsid w:val="004A605C"/>
    <w:rsid w:val="004A60F2"/>
    <w:rsid w:val="004A613B"/>
    <w:rsid w:val="004A6250"/>
    <w:rsid w:val="004A65E9"/>
    <w:rsid w:val="004A66CF"/>
    <w:rsid w:val="004A67AF"/>
    <w:rsid w:val="004A6836"/>
    <w:rsid w:val="004A68FA"/>
    <w:rsid w:val="004A6C82"/>
    <w:rsid w:val="004A6D9A"/>
    <w:rsid w:val="004A6E0C"/>
    <w:rsid w:val="004A6E50"/>
    <w:rsid w:val="004A6EB4"/>
    <w:rsid w:val="004A6F0D"/>
    <w:rsid w:val="004A70A3"/>
    <w:rsid w:val="004A7244"/>
    <w:rsid w:val="004A724C"/>
    <w:rsid w:val="004A7315"/>
    <w:rsid w:val="004A7468"/>
    <w:rsid w:val="004A757E"/>
    <w:rsid w:val="004A757F"/>
    <w:rsid w:val="004A75FE"/>
    <w:rsid w:val="004A764C"/>
    <w:rsid w:val="004A76A5"/>
    <w:rsid w:val="004A76B5"/>
    <w:rsid w:val="004A7759"/>
    <w:rsid w:val="004A7782"/>
    <w:rsid w:val="004A786D"/>
    <w:rsid w:val="004A7923"/>
    <w:rsid w:val="004A7A6C"/>
    <w:rsid w:val="004A7B6A"/>
    <w:rsid w:val="004A7BC8"/>
    <w:rsid w:val="004A7CDE"/>
    <w:rsid w:val="004A7CE7"/>
    <w:rsid w:val="004A7CEA"/>
    <w:rsid w:val="004A7D69"/>
    <w:rsid w:val="004A7D75"/>
    <w:rsid w:val="004A7DC7"/>
    <w:rsid w:val="004A7E99"/>
    <w:rsid w:val="004B0006"/>
    <w:rsid w:val="004B00E6"/>
    <w:rsid w:val="004B01A4"/>
    <w:rsid w:val="004B0422"/>
    <w:rsid w:val="004B0466"/>
    <w:rsid w:val="004B04CD"/>
    <w:rsid w:val="004B0557"/>
    <w:rsid w:val="004B06BC"/>
    <w:rsid w:val="004B0826"/>
    <w:rsid w:val="004B086D"/>
    <w:rsid w:val="004B087C"/>
    <w:rsid w:val="004B091F"/>
    <w:rsid w:val="004B092F"/>
    <w:rsid w:val="004B0A3E"/>
    <w:rsid w:val="004B0A70"/>
    <w:rsid w:val="004B0C6C"/>
    <w:rsid w:val="004B0C87"/>
    <w:rsid w:val="004B0CFD"/>
    <w:rsid w:val="004B0D84"/>
    <w:rsid w:val="004B0DF0"/>
    <w:rsid w:val="004B0E9D"/>
    <w:rsid w:val="004B0EC2"/>
    <w:rsid w:val="004B1352"/>
    <w:rsid w:val="004B13C6"/>
    <w:rsid w:val="004B13DC"/>
    <w:rsid w:val="004B14FE"/>
    <w:rsid w:val="004B159D"/>
    <w:rsid w:val="004B15B6"/>
    <w:rsid w:val="004B15C3"/>
    <w:rsid w:val="004B17E2"/>
    <w:rsid w:val="004B19D7"/>
    <w:rsid w:val="004B1B6E"/>
    <w:rsid w:val="004B1BBB"/>
    <w:rsid w:val="004B1BF8"/>
    <w:rsid w:val="004B1C67"/>
    <w:rsid w:val="004B1CE5"/>
    <w:rsid w:val="004B1F33"/>
    <w:rsid w:val="004B202C"/>
    <w:rsid w:val="004B210E"/>
    <w:rsid w:val="004B214E"/>
    <w:rsid w:val="004B218C"/>
    <w:rsid w:val="004B2194"/>
    <w:rsid w:val="004B21A5"/>
    <w:rsid w:val="004B21EE"/>
    <w:rsid w:val="004B235B"/>
    <w:rsid w:val="004B2373"/>
    <w:rsid w:val="004B23A5"/>
    <w:rsid w:val="004B23C7"/>
    <w:rsid w:val="004B2417"/>
    <w:rsid w:val="004B246C"/>
    <w:rsid w:val="004B2502"/>
    <w:rsid w:val="004B2562"/>
    <w:rsid w:val="004B26AA"/>
    <w:rsid w:val="004B26D7"/>
    <w:rsid w:val="004B26EB"/>
    <w:rsid w:val="004B2713"/>
    <w:rsid w:val="004B275B"/>
    <w:rsid w:val="004B283E"/>
    <w:rsid w:val="004B28BD"/>
    <w:rsid w:val="004B2991"/>
    <w:rsid w:val="004B2A2C"/>
    <w:rsid w:val="004B2BF8"/>
    <w:rsid w:val="004B2E0E"/>
    <w:rsid w:val="004B2E9D"/>
    <w:rsid w:val="004B2FEA"/>
    <w:rsid w:val="004B3037"/>
    <w:rsid w:val="004B3099"/>
    <w:rsid w:val="004B313D"/>
    <w:rsid w:val="004B317C"/>
    <w:rsid w:val="004B31B9"/>
    <w:rsid w:val="004B3219"/>
    <w:rsid w:val="004B371B"/>
    <w:rsid w:val="004B3812"/>
    <w:rsid w:val="004B38DB"/>
    <w:rsid w:val="004B3945"/>
    <w:rsid w:val="004B3A26"/>
    <w:rsid w:val="004B3AF6"/>
    <w:rsid w:val="004B3BF9"/>
    <w:rsid w:val="004B3E07"/>
    <w:rsid w:val="004B3F2B"/>
    <w:rsid w:val="004B3F6C"/>
    <w:rsid w:val="004B4095"/>
    <w:rsid w:val="004B40B6"/>
    <w:rsid w:val="004B40E7"/>
    <w:rsid w:val="004B41A6"/>
    <w:rsid w:val="004B41E4"/>
    <w:rsid w:val="004B42C2"/>
    <w:rsid w:val="004B42FF"/>
    <w:rsid w:val="004B434B"/>
    <w:rsid w:val="004B436E"/>
    <w:rsid w:val="004B4453"/>
    <w:rsid w:val="004B4487"/>
    <w:rsid w:val="004B4593"/>
    <w:rsid w:val="004B45CA"/>
    <w:rsid w:val="004B4671"/>
    <w:rsid w:val="004B467B"/>
    <w:rsid w:val="004B471D"/>
    <w:rsid w:val="004B473D"/>
    <w:rsid w:val="004B48BC"/>
    <w:rsid w:val="004B48E1"/>
    <w:rsid w:val="004B49C0"/>
    <w:rsid w:val="004B4A10"/>
    <w:rsid w:val="004B4AB6"/>
    <w:rsid w:val="004B4AD7"/>
    <w:rsid w:val="004B4C0C"/>
    <w:rsid w:val="004B4D23"/>
    <w:rsid w:val="004B4D69"/>
    <w:rsid w:val="004B4FB1"/>
    <w:rsid w:val="004B5103"/>
    <w:rsid w:val="004B513A"/>
    <w:rsid w:val="004B5183"/>
    <w:rsid w:val="004B522C"/>
    <w:rsid w:val="004B527D"/>
    <w:rsid w:val="004B53D4"/>
    <w:rsid w:val="004B540D"/>
    <w:rsid w:val="004B541D"/>
    <w:rsid w:val="004B552C"/>
    <w:rsid w:val="004B5533"/>
    <w:rsid w:val="004B569C"/>
    <w:rsid w:val="004B56C6"/>
    <w:rsid w:val="004B570B"/>
    <w:rsid w:val="004B57CF"/>
    <w:rsid w:val="004B582A"/>
    <w:rsid w:val="004B5930"/>
    <w:rsid w:val="004B5976"/>
    <w:rsid w:val="004B59DD"/>
    <w:rsid w:val="004B5A41"/>
    <w:rsid w:val="004B5A69"/>
    <w:rsid w:val="004B5AAC"/>
    <w:rsid w:val="004B5AE3"/>
    <w:rsid w:val="004B5B03"/>
    <w:rsid w:val="004B5B06"/>
    <w:rsid w:val="004B5BDF"/>
    <w:rsid w:val="004B5C60"/>
    <w:rsid w:val="004B5D81"/>
    <w:rsid w:val="004B5DC5"/>
    <w:rsid w:val="004B5E5B"/>
    <w:rsid w:val="004B5F88"/>
    <w:rsid w:val="004B6050"/>
    <w:rsid w:val="004B6073"/>
    <w:rsid w:val="004B6096"/>
    <w:rsid w:val="004B60FB"/>
    <w:rsid w:val="004B611A"/>
    <w:rsid w:val="004B61D4"/>
    <w:rsid w:val="004B637D"/>
    <w:rsid w:val="004B638C"/>
    <w:rsid w:val="004B6614"/>
    <w:rsid w:val="004B6673"/>
    <w:rsid w:val="004B66F6"/>
    <w:rsid w:val="004B673C"/>
    <w:rsid w:val="004B687D"/>
    <w:rsid w:val="004B6A26"/>
    <w:rsid w:val="004B6B1F"/>
    <w:rsid w:val="004B6B48"/>
    <w:rsid w:val="004B6D07"/>
    <w:rsid w:val="004B6D86"/>
    <w:rsid w:val="004B6DDC"/>
    <w:rsid w:val="004B700C"/>
    <w:rsid w:val="004B7056"/>
    <w:rsid w:val="004B7074"/>
    <w:rsid w:val="004B7083"/>
    <w:rsid w:val="004B7084"/>
    <w:rsid w:val="004B7152"/>
    <w:rsid w:val="004B724D"/>
    <w:rsid w:val="004B7250"/>
    <w:rsid w:val="004B74E2"/>
    <w:rsid w:val="004B74EB"/>
    <w:rsid w:val="004B752F"/>
    <w:rsid w:val="004B764A"/>
    <w:rsid w:val="004B7777"/>
    <w:rsid w:val="004B778F"/>
    <w:rsid w:val="004B78B4"/>
    <w:rsid w:val="004B78F9"/>
    <w:rsid w:val="004B7998"/>
    <w:rsid w:val="004B7B22"/>
    <w:rsid w:val="004B7C06"/>
    <w:rsid w:val="004B7C32"/>
    <w:rsid w:val="004B7C3A"/>
    <w:rsid w:val="004B7E74"/>
    <w:rsid w:val="004B7F51"/>
    <w:rsid w:val="004C0029"/>
    <w:rsid w:val="004C0099"/>
    <w:rsid w:val="004C01AA"/>
    <w:rsid w:val="004C01EC"/>
    <w:rsid w:val="004C0260"/>
    <w:rsid w:val="004C0328"/>
    <w:rsid w:val="004C035F"/>
    <w:rsid w:val="004C05D7"/>
    <w:rsid w:val="004C065E"/>
    <w:rsid w:val="004C06E6"/>
    <w:rsid w:val="004C076D"/>
    <w:rsid w:val="004C081A"/>
    <w:rsid w:val="004C0881"/>
    <w:rsid w:val="004C0935"/>
    <w:rsid w:val="004C096F"/>
    <w:rsid w:val="004C0A15"/>
    <w:rsid w:val="004C0A2D"/>
    <w:rsid w:val="004C0A90"/>
    <w:rsid w:val="004C0BFD"/>
    <w:rsid w:val="004C0C43"/>
    <w:rsid w:val="004C0C58"/>
    <w:rsid w:val="004C0C76"/>
    <w:rsid w:val="004C0EC9"/>
    <w:rsid w:val="004C0F80"/>
    <w:rsid w:val="004C0F98"/>
    <w:rsid w:val="004C122D"/>
    <w:rsid w:val="004C1240"/>
    <w:rsid w:val="004C1244"/>
    <w:rsid w:val="004C1306"/>
    <w:rsid w:val="004C1682"/>
    <w:rsid w:val="004C169F"/>
    <w:rsid w:val="004C1723"/>
    <w:rsid w:val="004C17AD"/>
    <w:rsid w:val="004C17BC"/>
    <w:rsid w:val="004C17BF"/>
    <w:rsid w:val="004C1886"/>
    <w:rsid w:val="004C18A6"/>
    <w:rsid w:val="004C18C4"/>
    <w:rsid w:val="004C1A44"/>
    <w:rsid w:val="004C1A4F"/>
    <w:rsid w:val="004C1B3D"/>
    <w:rsid w:val="004C1B84"/>
    <w:rsid w:val="004C1BB3"/>
    <w:rsid w:val="004C1C60"/>
    <w:rsid w:val="004C1CB5"/>
    <w:rsid w:val="004C1D80"/>
    <w:rsid w:val="004C1E25"/>
    <w:rsid w:val="004C1E7E"/>
    <w:rsid w:val="004C1F69"/>
    <w:rsid w:val="004C1F6F"/>
    <w:rsid w:val="004C20C1"/>
    <w:rsid w:val="004C20FA"/>
    <w:rsid w:val="004C216E"/>
    <w:rsid w:val="004C21DA"/>
    <w:rsid w:val="004C23F1"/>
    <w:rsid w:val="004C2406"/>
    <w:rsid w:val="004C2416"/>
    <w:rsid w:val="004C2422"/>
    <w:rsid w:val="004C24C7"/>
    <w:rsid w:val="004C2513"/>
    <w:rsid w:val="004C2553"/>
    <w:rsid w:val="004C2571"/>
    <w:rsid w:val="004C25CA"/>
    <w:rsid w:val="004C2749"/>
    <w:rsid w:val="004C274C"/>
    <w:rsid w:val="004C2800"/>
    <w:rsid w:val="004C28D4"/>
    <w:rsid w:val="004C2978"/>
    <w:rsid w:val="004C2B3A"/>
    <w:rsid w:val="004C2D50"/>
    <w:rsid w:val="004C2D63"/>
    <w:rsid w:val="004C2E2F"/>
    <w:rsid w:val="004C2F13"/>
    <w:rsid w:val="004C2F57"/>
    <w:rsid w:val="004C2FBA"/>
    <w:rsid w:val="004C30C6"/>
    <w:rsid w:val="004C32E8"/>
    <w:rsid w:val="004C3367"/>
    <w:rsid w:val="004C3617"/>
    <w:rsid w:val="004C3991"/>
    <w:rsid w:val="004C39DB"/>
    <w:rsid w:val="004C3A7B"/>
    <w:rsid w:val="004C3AFA"/>
    <w:rsid w:val="004C3B5A"/>
    <w:rsid w:val="004C3CE6"/>
    <w:rsid w:val="004C3D03"/>
    <w:rsid w:val="004C3EAD"/>
    <w:rsid w:val="004C3EF3"/>
    <w:rsid w:val="004C405B"/>
    <w:rsid w:val="004C40DE"/>
    <w:rsid w:val="004C4188"/>
    <w:rsid w:val="004C421E"/>
    <w:rsid w:val="004C4355"/>
    <w:rsid w:val="004C435D"/>
    <w:rsid w:val="004C437A"/>
    <w:rsid w:val="004C43F8"/>
    <w:rsid w:val="004C445C"/>
    <w:rsid w:val="004C4529"/>
    <w:rsid w:val="004C4576"/>
    <w:rsid w:val="004C4686"/>
    <w:rsid w:val="004C4830"/>
    <w:rsid w:val="004C489C"/>
    <w:rsid w:val="004C4983"/>
    <w:rsid w:val="004C49D6"/>
    <w:rsid w:val="004C4A6C"/>
    <w:rsid w:val="004C4CC0"/>
    <w:rsid w:val="004C4CC6"/>
    <w:rsid w:val="004C4CED"/>
    <w:rsid w:val="004C4D1A"/>
    <w:rsid w:val="004C4D9B"/>
    <w:rsid w:val="004C4DA2"/>
    <w:rsid w:val="004C4E75"/>
    <w:rsid w:val="004C4EE5"/>
    <w:rsid w:val="004C4F36"/>
    <w:rsid w:val="004C4FF2"/>
    <w:rsid w:val="004C5053"/>
    <w:rsid w:val="004C5091"/>
    <w:rsid w:val="004C54D8"/>
    <w:rsid w:val="004C583E"/>
    <w:rsid w:val="004C5966"/>
    <w:rsid w:val="004C59A8"/>
    <w:rsid w:val="004C5A59"/>
    <w:rsid w:val="004C5A62"/>
    <w:rsid w:val="004C5AA4"/>
    <w:rsid w:val="004C5AA8"/>
    <w:rsid w:val="004C5CC8"/>
    <w:rsid w:val="004C5E41"/>
    <w:rsid w:val="004C5FC0"/>
    <w:rsid w:val="004C5FC1"/>
    <w:rsid w:val="004C60BA"/>
    <w:rsid w:val="004C60E7"/>
    <w:rsid w:val="004C60FB"/>
    <w:rsid w:val="004C6143"/>
    <w:rsid w:val="004C6320"/>
    <w:rsid w:val="004C651A"/>
    <w:rsid w:val="004C65D1"/>
    <w:rsid w:val="004C6630"/>
    <w:rsid w:val="004C66E6"/>
    <w:rsid w:val="004C6716"/>
    <w:rsid w:val="004C6721"/>
    <w:rsid w:val="004C676D"/>
    <w:rsid w:val="004C6775"/>
    <w:rsid w:val="004C677F"/>
    <w:rsid w:val="004C68E0"/>
    <w:rsid w:val="004C6BCF"/>
    <w:rsid w:val="004C6C0B"/>
    <w:rsid w:val="004C6C23"/>
    <w:rsid w:val="004C6C3D"/>
    <w:rsid w:val="004C6CD7"/>
    <w:rsid w:val="004C6D4D"/>
    <w:rsid w:val="004C6DDE"/>
    <w:rsid w:val="004C6F44"/>
    <w:rsid w:val="004C710B"/>
    <w:rsid w:val="004C71A7"/>
    <w:rsid w:val="004C73CB"/>
    <w:rsid w:val="004C749B"/>
    <w:rsid w:val="004C7562"/>
    <w:rsid w:val="004C7671"/>
    <w:rsid w:val="004C7677"/>
    <w:rsid w:val="004C76E7"/>
    <w:rsid w:val="004C76EE"/>
    <w:rsid w:val="004C77C7"/>
    <w:rsid w:val="004C7844"/>
    <w:rsid w:val="004C79E0"/>
    <w:rsid w:val="004C7C05"/>
    <w:rsid w:val="004C7D52"/>
    <w:rsid w:val="004C7D73"/>
    <w:rsid w:val="004C7DBF"/>
    <w:rsid w:val="004C7F4A"/>
    <w:rsid w:val="004C7F4E"/>
    <w:rsid w:val="004C7FB3"/>
    <w:rsid w:val="004D0121"/>
    <w:rsid w:val="004D0127"/>
    <w:rsid w:val="004D013E"/>
    <w:rsid w:val="004D01F7"/>
    <w:rsid w:val="004D020D"/>
    <w:rsid w:val="004D02A9"/>
    <w:rsid w:val="004D02FB"/>
    <w:rsid w:val="004D0434"/>
    <w:rsid w:val="004D04BD"/>
    <w:rsid w:val="004D04FE"/>
    <w:rsid w:val="004D059F"/>
    <w:rsid w:val="004D05CF"/>
    <w:rsid w:val="004D0613"/>
    <w:rsid w:val="004D075F"/>
    <w:rsid w:val="004D081E"/>
    <w:rsid w:val="004D083C"/>
    <w:rsid w:val="004D0872"/>
    <w:rsid w:val="004D09CA"/>
    <w:rsid w:val="004D0A82"/>
    <w:rsid w:val="004D0AE8"/>
    <w:rsid w:val="004D0B15"/>
    <w:rsid w:val="004D0CBF"/>
    <w:rsid w:val="004D0CFA"/>
    <w:rsid w:val="004D0D26"/>
    <w:rsid w:val="004D0ED1"/>
    <w:rsid w:val="004D0F78"/>
    <w:rsid w:val="004D0FA9"/>
    <w:rsid w:val="004D106D"/>
    <w:rsid w:val="004D11AB"/>
    <w:rsid w:val="004D11F5"/>
    <w:rsid w:val="004D126B"/>
    <w:rsid w:val="004D1351"/>
    <w:rsid w:val="004D13C0"/>
    <w:rsid w:val="004D143C"/>
    <w:rsid w:val="004D1531"/>
    <w:rsid w:val="004D15D7"/>
    <w:rsid w:val="004D1690"/>
    <w:rsid w:val="004D175C"/>
    <w:rsid w:val="004D186E"/>
    <w:rsid w:val="004D198C"/>
    <w:rsid w:val="004D19DA"/>
    <w:rsid w:val="004D19EE"/>
    <w:rsid w:val="004D1A16"/>
    <w:rsid w:val="004D1A1F"/>
    <w:rsid w:val="004D1A41"/>
    <w:rsid w:val="004D1A97"/>
    <w:rsid w:val="004D1B70"/>
    <w:rsid w:val="004D1C3C"/>
    <w:rsid w:val="004D1CB0"/>
    <w:rsid w:val="004D1D2C"/>
    <w:rsid w:val="004D1D7B"/>
    <w:rsid w:val="004D1F66"/>
    <w:rsid w:val="004D1F7D"/>
    <w:rsid w:val="004D1FC1"/>
    <w:rsid w:val="004D1FC9"/>
    <w:rsid w:val="004D2131"/>
    <w:rsid w:val="004D2236"/>
    <w:rsid w:val="004D2291"/>
    <w:rsid w:val="004D22DB"/>
    <w:rsid w:val="004D251F"/>
    <w:rsid w:val="004D262B"/>
    <w:rsid w:val="004D26EE"/>
    <w:rsid w:val="004D279F"/>
    <w:rsid w:val="004D2897"/>
    <w:rsid w:val="004D28BA"/>
    <w:rsid w:val="004D28DA"/>
    <w:rsid w:val="004D2B74"/>
    <w:rsid w:val="004D2BED"/>
    <w:rsid w:val="004D2C55"/>
    <w:rsid w:val="004D2CEE"/>
    <w:rsid w:val="004D2D2A"/>
    <w:rsid w:val="004D2D35"/>
    <w:rsid w:val="004D2D7C"/>
    <w:rsid w:val="004D2EF9"/>
    <w:rsid w:val="004D3162"/>
    <w:rsid w:val="004D31A7"/>
    <w:rsid w:val="004D31AE"/>
    <w:rsid w:val="004D321A"/>
    <w:rsid w:val="004D3298"/>
    <w:rsid w:val="004D3313"/>
    <w:rsid w:val="004D3344"/>
    <w:rsid w:val="004D33A0"/>
    <w:rsid w:val="004D347C"/>
    <w:rsid w:val="004D359C"/>
    <w:rsid w:val="004D35BB"/>
    <w:rsid w:val="004D35DA"/>
    <w:rsid w:val="004D364B"/>
    <w:rsid w:val="004D36C9"/>
    <w:rsid w:val="004D36E8"/>
    <w:rsid w:val="004D3737"/>
    <w:rsid w:val="004D37CD"/>
    <w:rsid w:val="004D3821"/>
    <w:rsid w:val="004D3983"/>
    <w:rsid w:val="004D3BFC"/>
    <w:rsid w:val="004D3CB4"/>
    <w:rsid w:val="004D3D65"/>
    <w:rsid w:val="004D3D7D"/>
    <w:rsid w:val="004D3EC3"/>
    <w:rsid w:val="004D4117"/>
    <w:rsid w:val="004D4234"/>
    <w:rsid w:val="004D42A1"/>
    <w:rsid w:val="004D42A2"/>
    <w:rsid w:val="004D4333"/>
    <w:rsid w:val="004D44E4"/>
    <w:rsid w:val="004D45FC"/>
    <w:rsid w:val="004D46D8"/>
    <w:rsid w:val="004D4893"/>
    <w:rsid w:val="004D497A"/>
    <w:rsid w:val="004D49D9"/>
    <w:rsid w:val="004D49FE"/>
    <w:rsid w:val="004D4A49"/>
    <w:rsid w:val="004D4B9F"/>
    <w:rsid w:val="004D4DB4"/>
    <w:rsid w:val="004D4E74"/>
    <w:rsid w:val="004D4EE4"/>
    <w:rsid w:val="004D4F42"/>
    <w:rsid w:val="004D4F51"/>
    <w:rsid w:val="004D4F82"/>
    <w:rsid w:val="004D503A"/>
    <w:rsid w:val="004D5050"/>
    <w:rsid w:val="004D510B"/>
    <w:rsid w:val="004D51AD"/>
    <w:rsid w:val="004D51E1"/>
    <w:rsid w:val="004D525D"/>
    <w:rsid w:val="004D5362"/>
    <w:rsid w:val="004D5420"/>
    <w:rsid w:val="004D54D2"/>
    <w:rsid w:val="004D5529"/>
    <w:rsid w:val="004D5726"/>
    <w:rsid w:val="004D574F"/>
    <w:rsid w:val="004D579C"/>
    <w:rsid w:val="004D57BE"/>
    <w:rsid w:val="004D57E8"/>
    <w:rsid w:val="004D582E"/>
    <w:rsid w:val="004D5934"/>
    <w:rsid w:val="004D5A8E"/>
    <w:rsid w:val="004D5B11"/>
    <w:rsid w:val="004D5CD2"/>
    <w:rsid w:val="004D5EB0"/>
    <w:rsid w:val="004D5EB8"/>
    <w:rsid w:val="004D5EE3"/>
    <w:rsid w:val="004D5F93"/>
    <w:rsid w:val="004D61AF"/>
    <w:rsid w:val="004D61B0"/>
    <w:rsid w:val="004D634A"/>
    <w:rsid w:val="004D6391"/>
    <w:rsid w:val="004D6524"/>
    <w:rsid w:val="004D65BB"/>
    <w:rsid w:val="004D66C6"/>
    <w:rsid w:val="004D6731"/>
    <w:rsid w:val="004D6734"/>
    <w:rsid w:val="004D6858"/>
    <w:rsid w:val="004D68B2"/>
    <w:rsid w:val="004D68B3"/>
    <w:rsid w:val="004D6948"/>
    <w:rsid w:val="004D6B8E"/>
    <w:rsid w:val="004D6BCD"/>
    <w:rsid w:val="004D6C19"/>
    <w:rsid w:val="004D6E1E"/>
    <w:rsid w:val="004D6F0B"/>
    <w:rsid w:val="004D7041"/>
    <w:rsid w:val="004D7056"/>
    <w:rsid w:val="004D70C5"/>
    <w:rsid w:val="004D719B"/>
    <w:rsid w:val="004D71D5"/>
    <w:rsid w:val="004D72FA"/>
    <w:rsid w:val="004D732A"/>
    <w:rsid w:val="004D734D"/>
    <w:rsid w:val="004D7369"/>
    <w:rsid w:val="004D73E0"/>
    <w:rsid w:val="004D7489"/>
    <w:rsid w:val="004D76D0"/>
    <w:rsid w:val="004D76D7"/>
    <w:rsid w:val="004D770D"/>
    <w:rsid w:val="004D778C"/>
    <w:rsid w:val="004D78D4"/>
    <w:rsid w:val="004D792D"/>
    <w:rsid w:val="004D7AFF"/>
    <w:rsid w:val="004D7C15"/>
    <w:rsid w:val="004D7C44"/>
    <w:rsid w:val="004D7CE8"/>
    <w:rsid w:val="004D7D1A"/>
    <w:rsid w:val="004D7D21"/>
    <w:rsid w:val="004D7D44"/>
    <w:rsid w:val="004D7E89"/>
    <w:rsid w:val="004D7F29"/>
    <w:rsid w:val="004D7FE3"/>
    <w:rsid w:val="004E0044"/>
    <w:rsid w:val="004E0135"/>
    <w:rsid w:val="004E0150"/>
    <w:rsid w:val="004E01B6"/>
    <w:rsid w:val="004E0217"/>
    <w:rsid w:val="004E025A"/>
    <w:rsid w:val="004E042E"/>
    <w:rsid w:val="004E078B"/>
    <w:rsid w:val="004E096A"/>
    <w:rsid w:val="004E0A5A"/>
    <w:rsid w:val="004E0A8F"/>
    <w:rsid w:val="004E0A93"/>
    <w:rsid w:val="004E0C04"/>
    <w:rsid w:val="004E0C45"/>
    <w:rsid w:val="004E0C6E"/>
    <w:rsid w:val="004E0D2F"/>
    <w:rsid w:val="004E0F62"/>
    <w:rsid w:val="004E0FA3"/>
    <w:rsid w:val="004E0FAA"/>
    <w:rsid w:val="004E0FF8"/>
    <w:rsid w:val="004E11AF"/>
    <w:rsid w:val="004E1286"/>
    <w:rsid w:val="004E1323"/>
    <w:rsid w:val="004E1501"/>
    <w:rsid w:val="004E1740"/>
    <w:rsid w:val="004E1AAE"/>
    <w:rsid w:val="004E1B40"/>
    <w:rsid w:val="004E1C64"/>
    <w:rsid w:val="004E1C80"/>
    <w:rsid w:val="004E1CCF"/>
    <w:rsid w:val="004E1CE3"/>
    <w:rsid w:val="004E1E73"/>
    <w:rsid w:val="004E1FC7"/>
    <w:rsid w:val="004E201A"/>
    <w:rsid w:val="004E2055"/>
    <w:rsid w:val="004E20BE"/>
    <w:rsid w:val="004E2190"/>
    <w:rsid w:val="004E21D5"/>
    <w:rsid w:val="004E22E4"/>
    <w:rsid w:val="004E2472"/>
    <w:rsid w:val="004E24AF"/>
    <w:rsid w:val="004E255B"/>
    <w:rsid w:val="004E25D8"/>
    <w:rsid w:val="004E2699"/>
    <w:rsid w:val="004E2835"/>
    <w:rsid w:val="004E28E9"/>
    <w:rsid w:val="004E290E"/>
    <w:rsid w:val="004E296C"/>
    <w:rsid w:val="004E2A53"/>
    <w:rsid w:val="004E2A91"/>
    <w:rsid w:val="004E2B96"/>
    <w:rsid w:val="004E2B99"/>
    <w:rsid w:val="004E2D16"/>
    <w:rsid w:val="004E2E2F"/>
    <w:rsid w:val="004E2E34"/>
    <w:rsid w:val="004E2E47"/>
    <w:rsid w:val="004E2FC2"/>
    <w:rsid w:val="004E3021"/>
    <w:rsid w:val="004E3168"/>
    <w:rsid w:val="004E3382"/>
    <w:rsid w:val="004E33BB"/>
    <w:rsid w:val="004E33FD"/>
    <w:rsid w:val="004E3423"/>
    <w:rsid w:val="004E3741"/>
    <w:rsid w:val="004E37E2"/>
    <w:rsid w:val="004E3875"/>
    <w:rsid w:val="004E38C4"/>
    <w:rsid w:val="004E3909"/>
    <w:rsid w:val="004E39E5"/>
    <w:rsid w:val="004E3C8E"/>
    <w:rsid w:val="004E3E83"/>
    <w:rsid w:val="004E3FEB"/>
    <w:rsid w:val="004E4012"/>
    <w:rsid w:val="004E4016"/>
    <w:rsid w:val="004E40D7"/>
    <w:rsid w:val="004E4426"/>
    <w:rsid w:val="004E457C"/>
    <w:rsid w:val="004E45C3"/>
    <w:rsid w:val="004E4784"/>
    <w:rsid w:val="004E47BE"/>
    <w:rsid w:val="004E47C7"/>
    <w:rsid w:val="004E4874"/>
    <w:rsid w:val="004E48AD"/>
    <w:rsid w:val="004E4B0B"/>
    <w:rsid w:val="004E4CCC"/>
    <w:rsid w:val="004E4CF9"/>
    <w:rsid w:val="004E4DC8"/>
    <w:rsid w:val="004E4FFD"/>
    <w:rsid w:val="004E5138"/>
    <w:rsid w:val="004E5293"/>
    <w:rsid w:val="004E5348"/>
    <w:rsid w:val="004E53E8"/>
    <w:rsid w:val="004E5493"/>
    <w:rsid w:val="004E54CF"/>
    <w:rsid w:val="004E5578"/>
    <w:rsid w:val="004E5613"/>
    <w:rsid w:val="004E568C"/>
    <w:rsid w:val="004E5762"/>
    <w:rsid w:val="004E5983"/>
    <w:rsid w:val="004E5B75"/>
    <w:rsid w:val="004E5BB1"/>
    <w:rsid w:val="004E5C77"/>
    <w:rsid w:val="004E5CC5"/>
    <w:rsid w:val="004E5F38"/>
    <w:rsid w:val="004E609F"/>
    <w:rsid w:val="004E6172"/>
    <w:rsid w:val="004E644A"/>
    <w:rsid w:val="004E64EB"/>
    <w:rsid w:val="004E677D"/>
    <w:rsid w:val="004E688E"/>
    <w:rsid w:val="004E68B4"/>
    <w:rsid w:val="004E6995"/>
    <w:rsid w:val="004E6BE7"/>
    <w:rsid w:val="004E6D8C"/>
    <w:rsid w:val="004E6DA6"/>
    <w:rsid w:val="004E6E25"/>
    <w:rsid w:val="004E6E51"/>
    <w:rsid w:val="004E6E6C"/>
    <w:rsid w:val="004E6E80"/>
    <w:rsid w:val="004E6E94"/>
    <w:rsid w:val="004E6FD6"/>
    <w:rsid w:val="004E7117"/>
    <w:rsid w:val="004E7202"/>
    <w:rsid w:val="004E7244"/>
    <w:rsid w:val="004E724D"/>
    <w:rsid w:val="004E7478"/>
    <w:rsid w:val="004E75C6"/>
    <w:rsid w:val="004E7634"/>
    <w:rsid w:val="004E7643"/>
    <w:rsid w:val="004E774A"/>
    <w:rsid w:val="004E777A"/>
    <w:rsid w:val="004E77A2"/>
    <w:rsid w:val="004E77D3"/>
    <w:rsid w:val="004E77F5"/>
    <w:rsid w:val="004E798F"/>
    <w:rsid w:val="004E7A93"/>
    <w:rsid w:val="004E7AF0"/>
    <w:rsid w:val="004E7C82"/>
    <w:rsid w:val="004E7D66"/>
    <w:rsid w:val="004E7D72"/>
    <w:rsid w:val="004E7FFA"/>
    <w:rsid w:val="004F0027"/>
    <w:rsid w:val="004F0157"/>
    <w:rsid w:val="004F0162"/>
    <w:rsid w:val="004F0172"/>
    <w:rsid w:val="004F01D8"/>
    <w:rsid w:val="004F02B7"/>
    <w:rsid w:val="004F02C1"/>
    <w:rsid w:val="004F0464"/>
    <w:rsid w:val="004F0511"/>
    <w:rsid w:val="004F05EF"/>
    <w:rsid w:val="004F0602"/>
    <w:rsid w:val="004F083C"/>
    <w:rsid w:val="004F0939"/>
    <w:rsid w:val="004F0C22"/>
    <w:rsid w:val="004F0CDF"/>
    <w:rsid w:val="004F0D94"/>
    <w:rsid w:val="004F0E13"/>
    <w:rsid w:val="004F0E1E"/>
    <w:rsid w:val="004F0E74"/>
    <w:rsid w:val="004F0E88"/>
    <w:rsid w:val="004F0EAB"/>
    <w:rsid w:val="004F0F53"/>
    <w:rsid w:val="004F0F8A"/>
    <w:rsid w:val="004F1269"/>
    <w:rsid w:val="004F13CE"/>
    <w:rsid w:val="004F14B6"/>
    <w:rsid w:val="004F1639"/>
    <w:rsid w:val="004F1691"/>
    <w:rsid w:val="004F16CA"/>
    <w:rsid w:val="004F1703"/>
    <w:rsid w:val="004F17A3"/>
    <w:rsid w:val="004F17FA"/>
    <w:rsid w:val="004F182A"/>
    <w:rsid w:val="004F18C6"/>
    <w:rsid w:val="004F19F7"/>
    <w:rsid w:val="004F1B48"/>
    <w:rsid w:val="004F1BEF"/>
    <w:rsid w:val="004F1FFC"/>
    <w:rsid w:val="004F200D"/>
    <w:rsid w:val="004F202F"/>
    <w:rsid w:val="004F21D2"/>
    <w:rsid w:val="004F21F9"/>
    <w:rsid w:val="004F2248"/>
    <w:rsid w:val="004F22E2"/>
    <w:rsid w:val="004F230D"/>
    <w:rsid w:val="004F23C4"/>
    <w:rsid w:val="004F2481"/>
    <w:rsid w:val="004F2633"/>
    <w:rsid w:val="004F2703"/>
    <w:rsid w:val="004F2A10"/>
    <w:rsid w:val="004F2A85"/>
    <w:rsid w:val="004F2C68"/>
    <w:rsid w:val="004F2C77"/>
    <w:rsid w:val="004F2E21"/>
    <w:rsid w:val="004F2FEB"/>
    <w:rsid w:val="004F3083"/>
    <w:rsid w:val="004F3181"/>
    <w:rsid w:val="004F3185"/>
    <w:rsid w:val="004F3261"/>
    <w:rsid w:val="004F3278"/>
    <w:rsid w:val="004F3289"/>
    <w:rsid w:val="004F3295"/>
    <w:rsid w:val="004F3307"/>
    <w:rsid w:val="004F33BE"/>
    <w:rsid w:val="004F342C"/>
    <w:rsid w:val="004F3577"/>
    <w:rsid w:val="004F386B"/>
    <w:rsid w:val="004F3B7B"/>
    <w:rsid w:val="004F3BC1"/>
    <w:rsid w:val="004F3CFE"/>
    <w:rsid w:val="004F3D14"/>
    <w:rsid w:val="004F3D5A"/>
    <w:rsid w:val="004F3EEF"/>
    <w:rsid w:val="004F3FB0"/>
    <w:rsid w:val="004F41FE"/>
    <w:rsid w:val="004F4341"/>
    <w:rsid w:val="004F4348"/>
    <w:rsid w:val="004F44AE"/>
    <w:rsid w:val="004F44C3"/>
    <w:rsid w:val="004F4508"/>
    <w:rsid w:val="004F4514"/>
    <w:rsid w:val="004F46AA"/>
    <w:rsid w:val="004F480A"/>
    <w:rsid w:val="004F486F"/>
    <w:rsid w:val="004F4897"/>
    <w:rsid w:val="004F4B02"/>
    <w:rsid w:val="004F4B9C"/>
    <w:rsid w:val="004F4BFC"/>
    <w:rsid w:val="004F4C0C"/>
    <w:rsid w:val="004F4C6C"/>
    <w:rsid w:val="004F4DD0"/>
    <w:rsid w:val="004F4ED0"/>
    <w:rsid w:val="004F4F84"/>
    <w:rsid w:val="004F514B"/>
    <w:rsid w:val="004F515E"/>
    <w:rsid w:val="004F516C"/>
    <w:rsid w:val="004F5170"/>
    <w:rsid w:val="004F5194"/>
    <w:rsid w:val="004F5474"/>
    <w:rsid w:val="004F54AC"/>
    <w:rsid w:val="004F557D"/>
    <w:rsid w:val="004F55C1"/>
    <w:rsid w:val="004F55FB"/>
    <w:rsid w:val="004F56A1"/>
    <w:rsid w:val="004F571C"/>
    <w:rsid w:val="004F58F2"/>
    <w:rsid w:val="004F590B"/>
    <w:rsid w:val="004F5A07"/>
    <w:rsid w:val="004F5B4B"/>
    <w:rsid w:val="004F5B53"/>
    <w:rsid w:val="004F5BC9"/>
    <w:rsid w:val="004F5D5B"/>
    <w:rsid w:val="004F5D7A"/>
    <w:rsid w:val="004F5E63"/>
    <w:rsid w:val="004F5F62"/>
    <w:rsid w:val="004F5F69"/>
    <w:rsid w:val="004F5F7B"/>
    <w:rsid w:val="004F5FDA"/>
    <w:rsid w:val="004F608E"/>
    <w:rsid w:val="004F60F4"/>
    <w:rsid w:val="004F616E"/>
    <w:rsid w:val="004F6358"/>
    <w:rsid w:val="004F641F"/>
    <w:rsid w:val="004F650A"/>
    <w:rsid w:val="004F6639"/>
    <w:rsid w:val="004F66B0"/>
    <w:rsid w:val="004F66E0"/>
    <w:rsid w:val="004F66F9"/>
    <w:rsid w:val="004F685D"/>
    <w:rsid w:val="004F68D5"/>
    <w:rsid w:val="004F68E7"/>
    <w:rsid w:val="004F6913"/>
    <w:rsid w:val="004F6914"/>
    <w:rsid w:val="004F6A63"/>
    <w:rsid w:val="004F6B3E"/>
    <w:rsid w:val="004F6D2C"/>
    <w:rsid w:val="004F6DD2"/>
    <w:rsid w:val="004F6FB0"/>
    <w:rsid w:val="004F707D"/>
    <w:rsid w:val="004F70AE"/>
    <w:rsid w:val="004F70ED"/>
    <w:rsid w:val="004F7100"/>
    <w:rsid w:val="004F7127"/>
    <w:rsid w:val="004F713B"/>
    <w:rsid w:val="004F713D"/>
    <w:rsid w:val="004F7290"/>
    <w:rsid w:val="004F72EC"/>
    <w:rsid w:val="004F744A"/>
    <w:rsid w:val="004F745E"/>
    <w:rsid w:val="004F7566"/>
    <w:rsid w:val="004F75EB"/>
    <w:rsid w:val="004F76A7"/>
    <w:rsid w:val="004F7757"/>
    <w:rsid w:val="004F7A1B"/>
    <w:rsid w:val="004F7A8E"/>
    <w:rsid w:val="004F7B0F"/>
    <w:rsid w:val="004F7CEF"/>
    <w:rsid w:val="004F7E85"/>
    <w:rsid w:val="004F7EDA"/>
    <w:rsid w:val="004F7F83"/>
    <w:rsid w:val="00500075"/>
    <w:rsid w:val="00500111"/>
    <w:rsid w:val="00500459"/>
    <w:rsid w:val="00500481"/>
    <w:rsid w:val="00500565"/>
    <w:rsid w:val="005005CC"/>
    <w:rsid w:val="005005E1"/>
    <w:rsid w:val="005006C2"/>
    <w:rsid w:val="00500709"/>
    <w:rsid w:val="00500736"/>
    <w:rsid w:val="00500A53"/>
    <w:rsid w:val="00500A54"/>
    <w:rsid w:val="00500A7A"/>
    <w:rsid w:val="00500B13"/>
    <w:rsid w:val="00500B62"/>
    <w:rsid w:val="00500D2C"/>
    <w:rsid w:val="00500E49"/>
    <w:rsid w:val="00501014"/>
    <w:rsid w:val="005010D6"/>
    <w:rsid w:val="00501132"/>
    <w:rsid w:val="005011CB"/>
    <w:rsid w:val="005011F1"/>
    <w:rsid w:val="00501210"/>
    <w:rsid w:val="00501360"/>
    <w:rsid w:val="005013BA"/>
    <w:rsid w:val="0050148C"/>
    <w:rsid w:val="005014FA"/>
    <w:rsid w:val="00501502"/>
    <w:rsid w:val="00501625"/>
    <w:rsid w:val="00501626"/>
    <w:rsid w:val="005016A0"/>
    <w:rsid w:val="00501788"/>
    <w:rsid w:val="005017D6"/>
    <w:rsid w:val="0050182E"/>
    <w:rsid w:val="0050186B"/>
    <w:rsid w:val="005018A3"/>
    <w:rsid w:val="005018D2"/>
    <w:rsid w:val="00501A6D"/>
    <w:rsid w:val="00501B0F"/>
    <w:rsid w:val="00501B62"/>
    <w:rsid w:val="00501BB6"/>
    <w:rsid w:val="00501C13"/>
    <w:rsid w:val="00501E79"/>
    <w:rsid w:val="00501FA8"/>
    <w:rsid w:val="00502033"/>
    <w:rsid w:val="00502070"/>
    <w:rsid w:val="005021AA"/>
    <w:rsid w:val="00502217"/>
    <w:rsid w:val="00502263"/>
    <w:rsid w:val="0050226A"/>
    <w:rsid w:val="005024F3"/>
    <w:rsid w:val="005024FD"/>
    <w:rsid w:val="0050267F"/>
    <w:rsid w:val="00502685"/>
    <w:rsid w:val="005027C6"/>
    <w:rsid w:val="00502821"/>
    <w:rsid w:val="005028A2"/>
    <w:rsid w:val="0050291F"/>
    <w:rsid w:val="00502A71"/>
    <w:rsid w:val="00502B94"/>
    <w:rsid w:val="00502C70"/>
    <w:rsid w:val="00502C7B"/>
    <w:rsid w:val="00502D1B"/>
    <w:rsid w:val="00502E1B"/>
    <w:rsid w:val="00502E26"/>
    <w:rsid w:val="00502E62"/>
    <w:rsid w:val="00502E6B"/>
    <w:rsid w:val="00502EA6"/>
    <w:rsid w:val="00502FF4"/>
    <w:rsid w:val="00503089"/>
    <w:rsid w:val="005030A6"/>
    <w:rsid w:val="00503223"/>
    <w:rsid w:val="00503404"/>
    <w:rsid w:val="0050340B"/>
    <w:rsid w:val="005034BC"/>
    <w:rsid w:val="00503677"/>
    <w:rsid w:val="00503796"/>
    <w:rsid w:val="005037C6"/>
    <w:rsid w:val="00503873"/>
    <w:rsid w:val="0050391D"/>
    <w:rsid w:val="00503AE4"/>
    <w:rsid w:val="00503C37"/>
    <w:rsid w:val="00503D4D"/>
    <w:rsid w:val="00503E81"/>
    <w:rsid w:val="00503EAA"/>
    <w:rsid w:val="00504227"/>
    <w:rsid w:val="00504247"/>
    <w:rsid w:val="005042C2"/>
    <w:rsid w:val="00504467"/>
    <w:rsid w:val="0050454E"/>
    <w:rsid w:val="00504586"/>
    <w:rsid w:val="005045FF"/>
    <w:rsid w:val="0050481A"/>
    <w:rsid w:val="00504884"/>
    <w:rsid w:val="00504902"/>
    <w:rsid w:val="00504985"/>
    <w:rsid w:val="005049DE"/>
    <w:rsid w:val="00504A00"/>
    <w:rsid w:val="00504A4C"/>
    <w:rsid w:val="00504BAF"/>
    <w:rsid w:val="00504D50"/>
    <w:rsid w:val="00504DAF"/>
    <w:rsid w:val="00504EF1"/>
    <w:rsid w:val="00504F38"/>
    <w:rsid w:val="0050507E"/>
    <w:rsid w:val="00505144"/>
    <w:rsid w:val="0050529E"/>
    <w:rsid w:val="00505319"/>
    <w:rsid w:val="00505567"/>
    <w:rsid w:val="005056F7"/>
    <w:rsid w:val="00505745"/>
    <w:rsid w:val="00505822"/>
    <w:rsid w:val="005059A3"/>
    <w:rsid w:val="00505B4E"/>
    <w:rsid w:val="00505B4F"/>
    <w:rsid w:val="00505B71"/>
    <w:rsid w:val="00505C5B"/>
    <w:rsid w:val="00505C86"/>
    <w:rsid w:val="00506027"/>
    <w:rsid w:val="005060B7"/>
    <w:rsid w:val="00506121"/>
    <w:rsid w:val="005061B9"/>
    <w:rsid w:val="00506249"/>
    <w:rsid w:val="00506286"/>
    <w:rsid w:val="005063C0"/>
    <w:rsid w:val="005063DB"/>
    <w:rsid w:val="005063F3"/>
    <w:rsid w:val="00506462"/>
    <w:rsid w:val="00506494"/>
    <w:rsid w:val="00506530"/>
    <w:rsid w:val="00506543"/>
    <w:rsid w:val="00506555"/>
    <w:rsid w:val="005067BB"/>
    <w:rsid w:val="005067FF"/>
    <w:rsid w:val="0050690A"/>
    <w:rsid w:val="0050691F"/>
    <w:rsid w:val="00506A04"/>
    <w:rsid w:val="00506A4F"/>
    <w:rsid w:val="00506ABF"/>
    <w:rsid w:val="00506AE6"/>
    <w:rsid w:val="00506C72"/>
    <w:rsid w:val="00506D82"/>
    <w:rsid w:val="00506E67"/>
    <w:rsid w:val="00507015"/>
    <w:rsid w:val="00507205"/>
    <w:rsid w:val="0050763A"/>
    <w:rsid w:val="00507685"/>
    <w:rsid w:val="00507739"/>
    <w:rsid w:val="00507744"/>
    <w:rsid w:val="00507880"/>
    <w:rsid w:val="005078B1"/>
    <w:rsid w:val="005078BE"/>
    <w:rsid w:val="005078FF"/>
    <w:rsid w:val="00507AE0"/>
    <w:rsid w:val="00507C2D"/>
    <w:rsid w:val="00507D26"/>
    <w:rsid w:val="00507DAF"/>
    <w:rsid w:val="00507EB1"/>
    <w:rsid w:val="00507F4A"/>
    <w:rsid w:val="005100A7"/>
    <w:rsid w:val="0051010B"/>
    <w:rsid w:val="00510176"/>
    <w:rsid w:val="005102A1"/>
    <w:rsid w:val="005102CD"/>
    <w:rsid w:val="0051032A"/>
    <w:rsid w:val="0051044E"/>
    <w:rsid w:val="0051048D"/>
    <w:rsid w:val="005104EF"/>
    <w:rsid w:val="005106DD"/>
    <w:rsid w:val="005106E3"/>
    <w:rsid w:val="005106EE"/>
    <w:rsid w:val="005107EE"/>
    <w:rsid w:val="005108B2"/>
    <w:rsid w:val="005109B4"/>
    <w:rsid w:val="005109CC"/>
    <w:rsid w:val="00510A3B"/>
    <w:rsid w:val="00510B79"/>
    <w:rsid w:val="00510B7A"/>
    <w:rsid w:val="00510B83"/>
    <w:rsid w:val="00510BC6"/>
    <w:rsid w:val="00510C98"/>
    <w:rsid w:val="00510CD7"/>
    <w:rsid w:val="00510CEB"/>
    <w:rsid w:val="00510D52"/>
    <w:rsid w:val="00510DB5"/>
    <w:rsid w:val="00511105"/>
    <w:rsid w:val="0051116E"/>
    <w:rsid w:val="00511269"/>
    <w:rsid w:val="005112AE"/>
    <w:rsid w:val="00511366"/>
    <w:rsid w:val="00511431"/>
    <w:rsid w:val="005117B1"/>
    <w:rsid w:val="005117BC"/>
    <w:rsid w:val="00511814"/>
    <w:rsid w:val="00511847"/>
    <w:rsid w:val="0051196B"/>
    <w:rsid w:val="005119DF"/>
    <w:rsid w:val="00511A73"/>
    <w:rsid w:val="00511C96"/>
    <w:rsid w:val="00511CDA"/>
    <w:rsid w:val="00511D83"/>
    <w:rsid w:val="00511E3C"/>
    <w:rsid w:val="00511F6D"/>
    <w:rsid w:val="00511F77"/>
    <w:rsid w:val="00511F9E"/>
    <w:rsid w:val="0051215E"/>
    <w:rsid w:val="0051216E"/>
    <w:rsid w:val="00512398"/>
    <w:rsid w:val="005123B5"/>
    <w:rsid w:val="005123ED"/>
    <w:rsid w:val="0051244F"/>
    <w:rsid w:val="00512530"/>
    <w:rsid w:val="0051253E"/>
    <w:rsid w:val="00512612"/>
    <w:rsid w:val="00512784"/>
    <w:rsid w:val="005128DD"/>
    <w:rsid w:val="0051296E"/>
    <w:rsid w:val="00512A05"/>
    <w:rsid w:val="00512A29"/>
    <w:rsid w:val="00512B4D"/>
    <w:rsid w:val="00512B7C"/>
    <w:rsid w:val="00512BA6"/>
    <w:rsid w:val="00512C48"/>
    <w:rsid w:val="00512DA0"/>
    <w:rsid w:val="00512EDA"/>
    <w:rsid w:val="00513224"/>
    <w:rsid w:val="0051327F"/>
    <w:rsid w:val="005132A1"/>
    <w:rsid w:val="005132CA"/>
    <w:rsid w:val="00513359"/>
    <w:rsid w:val="00513395"/>
    <w:rsid w:val="00513415"/>
    <w:rsid w:val="00513429"/>
    <w:rsid w:val="0051343D"/>
    <w:rsid w:val="005134A6"/>
    <w:rsid w:val="00513525"/>
    <w:rsid w:val="00513528"/>
    <w:rsid w:val="00513581"/>
    <w:rsid w:val="00513683"/>
    <w:rsid w:val="00513847"/>
    <w:rsid w:val="00513A28"/>
    <w:rsid w:val="00513AE7"/>
    <w:rsid w:val="00513BCA"/>
    <w:rsid w:val="00513C39"/>
    <w:rsid w:val="00513E60"/>
    <w:rsid w:val="00513EDA"/>
    <w:rsid w:val="00514010"/>
    <w:rsid w:val="0051416C"/>
    <w:rsid w:val="0051419E"/>
    <w:rsid w:val="0051420D"/>
    <w:rsid w:val="00514255"/>
    <w:rsid w:val="005143CB"/>
    <w:rsid w:val="00514472"/>
    <w:rsid w:val="005145B9"/>
    <w:rsid w:val="005145E8"/>
    <w:rsid w:val="005147B9"/>
    <w:rsid w:val="005147FF"/>
    <w:rsid w:val="0051481E"/>
    <w:rsid w:val="0051483D"/>
    <w:rsid w:val="0051487F"/>
    <w:rsid w:val="0051497D"/>
    <w:rsid w:val="00514AB0"/>
    <w:rsid w:val="00514BF2"/>
    <w:rsid w:val="00514C11"/>
    <w:rsid w:val="00514DA7"/>
    <w:rsid w:val="00514ECD"/>
    <w:rsid w:val="00514F1D"/>
    <w:rsid w:val="00514F3C"/>
    <w:rsid w:val="00514F94"/>
    <w:rsid w:val="0051521F"/>
    <w:rsid w:val="005152AC"/>
    <w:rsid w:val="0051538B"/>
    <w:rsid w:val="005153FD"/>
    <w:rsid w:val="005154D2"/>
    <w:rsid w:val="0051556D"/>
    <w:rsid w:val="00515586"/>
    <w:rsid w:val="005155D6"/>
    <w:rsid w:val="005155F4"/>
    <w:rsid w:val="00515642"/>
    <w:rsid w:val="0051565A"/>
    <w:rsid w:val="005156A2"/>
    <w:rsid w:val="005156E6"/>
    <w:rsid w:val="0051572A"/>
    <w:rsid w:val="00515747"/>
    <w:rsid w:val="005157A6"/>
    <w:rsid w:val="005157C9"/>
    <w:rsid w:val="005157E8"/>
    <w:rsid w:val="005158A7"/>
    <w:rsid w:val="00515985"/>
    <w:rsid w:val="00515ABD"/>
    <w:rsid w:val="00515C7D"/>
    <w:rsid w:val="00515CAD"/>
    <w:rsid w:val="00515E90"/>
    <w:rsid w:val="00515EDB"/>
    <w:rsid w:val="00515EFA"/>
    <w:rsid w:val="00515F6D"/>
    <w:rsid w:val="00516045"/>
    <w:rsid w:val="005161FF"/>
    <w:rsid w:val="005162C9"/>
    <w:rsid w:val="00516445"/>
    <w:rsid w:val="00516676"/>
    <w:rsid w:val="005166C8"/>
    <w:rsid w:val="00516733"/>
    <w:rsid w:val="005167F1"/>
    <w:rsid w:val="005168A2"/>
    <w:rsid w:val="0051693F"/>
    <w:rsid w:val="0051694F"/>
    <w:rsid w:val="005169DE"/>
    <w:rsid w:val="00516A0B"/>
    <w:rsid w:val="00516A4D"/>
    <w:rsid w:val="00516AF9"/>
    <w:rsid w:val="00516BE2"/>
    <w:rsid w:val="00516DAE"/>
    <w:rsid w:val="00516E2F"/>
    <w:rsid w:val="00516E93"/>
    <w:rsid w:val="00517028"/>
    <w:rsid w:val="00517179"/>
    <w:rsid w:val="005172E8"/>
    <w:rsid w:val="005174AE"/>
    <w:rsid w:val="005174B1"/>
    <w:rsid w:val="005174D3"/>
    <w:rsid w:val="00517879"/>
    <w:rsid w:val="005178BA"/>
    <w:rsid w:val="005178DD"/>
    <w:rsid w:val="00517919"/>
    <w:rsid w:val="00517965"/>
    <w:rsid w:val="00517A0A"/>
    <w:rsid w:val="00517A51"/>
    <w:rsid w:val="00517B90"/>
    <w:rsid w:val="00517C67"/>
    <w:rsid w:val="00517CFA"/>
    <w:rsid w:val="00517D4F"/>
    <w:rsid w:val="00517EEE"/>
    <w:rsid w:val="00517F33"/>
    <w:rsid w:val="00517F6D"/>
    <w:rsid w:val="00517FA8"/>
    <w:rsid w:val="00520166"/>
    <w:rsid w:val="005202E3"/>
    <w:rsid w:val="0052035A"/>
    <w:rsid w:val="005204FA"/>
    <w:rsid w:val="00520819"/>
    <w:rsid w:val="005208AD"/>
    <w:rsid w:val="005209FD"/>
    <w:rsid w:val="00520A29"/>
    <w:rsid w:val="00520BAC"/>
    <w:rsid w:val="00520BC9"/>
    <w:rsid w:val="00520D23"/>
    <w:rsid w:val="00520D93"/>
    <w:rsid w:val="00520EF4"/>
    <w:rsid w:val="00520FE7"/>
    <w:rsid w:val="005210D0"/>
    <w:rsid w:val="005211C5"/>
    <w:rsid w:val="005212AA"/>
    <w:rsid w:val="005213B2"/>
    <w:rsid w:val="00521539"/>
    <w:rsid w:val="00521567"/>
    <w:rsid w:val="005215A0"/>
    <w:rsid w:val="005216EE"/>
    <w:rsid w:val="00521772"/>
    <w:rsid w:val="0052193B"/>
    <w:rsid w:val="005219CA"/>
    <w:rsid w:val="005219E2"/>
    <w:rsid w:val="00521A64"/>
    <w:rsid w:val="00521CB2"/>
    <w:rsid w:val="00521DCC"/>
    <w:rsid w:val="00521EC0"/>
    <w:rsid w:val="00521ED9"/>
    <w:rsid w:val="005220C0"/>
    <w:rsid w:val="005220D0"/>
    <w:rsid w:val="00522112"/>
    <w:rsid w:val="0052217D"/>
    <w:rsid w:val="0052222E"/>
    <w:rsid w:val="005222D4"/>
    <w:rsid w:val="0052248B"/>
    <w:rsid w:val="00522526"/>
    <w:rsid w:val="00522604"/>
    <w:rsid w:val="00522754"/>
    <w:rsid w:val="00522791"/>
    <w:rsid w:val="00522898"/>
    <w:rsid w:val="005229AC"/>
    <w:rsid w:val="005229B5"/>
    <w:rsid w:val="00522AB4"/>
    <w:rsid w:val="00522B40"/>
    <w:rsid w:val="00522B92"/>
    <w:rsid w:val="00522BAC"/>
    <w:rsid w:val="00522BFD"/>
    <w:rsid w:val="00522C1E"/>
    <w:rsid w:val="00522C74"/>
    <w:rsid w:val="00522DA7"/>
    <w:rsid w:val="00522DAC"/>
    <w:rsid w:val="00522F20"/>
    <w:rsid w:val="00523001"/>
    <w:rsid w:val="00523015"/>
    <w:rsid w:val="00523116"/>
    <w:rsid w:val="00523215"/>
    <w:rsid w:val="00523267"/>
    <w:rsid w:val="0052326B"/>
    <w:rsid w:val="005232A3"/>
    <w:rsid w:val="005232E3"/>
    <w:rsid w:val="005234A4"/>
    <w:rsid w:val="005236FF"/>
    <w:rsid w:val="0052374D"/>
    <w:rsid w:val="005237CA"/>
    <w:rsid w:val="005237FA"/>
    <w:rsid w:val="0052383D"/>
    <w:rsid w:val="00523918"/>
    <w:rsid w:val="0052396F"/>
    <w:rsid w:val="00523A11"/>
    <w:rsid w:val="00523AA9"/>
    <w:rsid w:val="00523B5E"/>
    <w:rsid w:val="00523D8F"/>
    <w:rsid w:val="00523E9F"/>
    <w:rsid w:val="00523FED"/>
    <w:rsid w:val="005240F9"/>
    <w:rsid w:val="005244B8"/>
    <w:rsid w:val="00524512"/>
    <w:rsid w:val="005246D6"/>
    <w:rsid w:val="00524796"/>
    <w:rsid w:val="005247A4"/>
    <w:rsid w:val="0052489A"/>
    <w:rsid w:val="005248BA"/>
    <w:rsid w:val="0052490D"/>
    <w:rsid w:val="0052497E"/>
    <w:rsid w:val="00524A5F"/>
    <w:rsid w:val="00524A7A"/>
    <w:rsid w:val="00524D0F"/>
    <w:rsid w:val="00524E4E"/>
    <w:rsid w:val="00524E6E"/>
    <w:rsid w:val="00524F61"/>
    <w:rsid w:val="00524F6C"/>
    <w:rsid w:val="00524FF4"/>
    <w:rsid w:val="00525036"/>
    <w:rsid w:val="0052508E"/>
    <w:rsid w:val="005250D4"/>
    <w:rsid w:val="00525148"/>
    <w:rsid w:val="00525195"/>
    <w:rsid w:val="005252B3"/>
    <w:rsid w:val="005252B5"/>
    <w:rsid w:val="0052547D"/>
    <w:rsid w:val="005254C9"/>
    <w:rsid w:val="00525616"/>
    <w:rsid w:val="0052582D"/>
    <w:rsid w:val="00525A4A"/>
    <w:rsid w:val="00525B92"/>
    <w:rsid w:val="00525C86"/>
    <w:rsid w:val="00525E24"/>
    <w:rsid w:val="00525E78"/>
    <w:rsid w:val="00525E8E"/>
    <w:rsid w:val="00525FD2"/>
    <w:rsid w:val="00525FFC"/>
    <w:rsid w:val="00526001"/>
    <w:rsid w:val="0052603A"/>
    <w:rsid w:val="005260FE"/>
    <w:rsid w:val="00526193"/>
    <w:rsid w:val="005261D7"/>
    <w:rsid w:val="005262C1"/>
    <w:rsid w:val="005263B7"/>
    <w:rsid w:val="005264B9"/>
    <w:rsid w:val="005264D1"/>
    <w:rsid w:val="0052652C"/>
    <w:rsid w:val="00526568"/>
    <w:rsid w:val="005265AB"/>
    <w:rsid w:val="005265FB"/>
    <w:rsid w:val="00526674"/>
    <w:rsid w:val="005267A1"/>
    <w:rsid w:val="005267ED"/>
    <w:rsid w:val="005268D2"/>
    <w:rsid w:val="00526946"/>
    <w:rsid w:val="005269A1"/>
    <w:rsid w:val="00526A2F"/>
    <w:rsid w:val="00526AE7"/>
    <w:rsid w:val="00526B78"/>
    <w:rsid w:val="00526B9D"/>
    <w:rsid w:val="00526BC3"/>
    <w:rsid w:val="00526DCE"/>
    <w:rsid w:val="00526DEA"/>
    <w:rsid w:val="00526E4F"/>
    <w:rsid w:val="00526F3D"/>
    <w:rsid w:val="00526FF2"/>
    <w:rsid w:val="00527004"/>
    <w:rsid w:val="00527077"/>
    <w:rsid w:val="005270AD"/>
    <w:rsid w:val="0052713F"/>
    <w:rsid w:val="0052717E"/>
    <w:rsid w:val="005271C5"/>
    <w:rsid w:val="005272A0"/>
    <w:rsid w:val="00527331"/>
    <w:rsid w:val="005273E3"/>
    <w:rsid w:val="0052749E"/>
    <w:rsid w:val="00527549"/>
    <w:rsid w:val="0052758C"/>
    <w:rsid w:val="0052763F"/>
    <w:rsid w:val="00527855"/>
    <w:rsid w:val="0052788F"/>
    <w:rsid w:val="005278D2"/>
    <w:rsid w:val="00527982"/>
    <w:rsid w:val="00527A3C"/>
    <w:rsid w:val="00527A76"/>
    <w:rsid w:val="00527B16"/>
    <w:rsid w:val="00527B86"/>
    <w:rsid w:val="00527C0C"/>
    <w:rsid w:val="00527DE1"/>
    <w:rsid w:val="0053006F"/>
    <w:rsid w:val="0053007C"/>
    <w:rsid w:val="00530098"/>
    <w:rsid w:val="005300CC"/>
    <w:rsid w:val="00530195"/>
    <w:rsid w:val="00530226"/>
    <w:rsid w:val="0053023C"/>
    <w:rsid w:val="0053025D"/>
    <w:rsid w:val="005302B3"/>
    <w:rsid w:val="005302F7"/>
    <w:rsid w:val="0053030D"/>
    <w:rsid w:val="005303A8"/>
    <w:rsid w:val="005303AC"/>
    <w:rsid w:val="00530572"/>
    <w:rsid w:val="005305F7"/>
    <w:rsid w:val="0053062D"/>
    <w:rsid w:val="005306D6"/>
    <w:rsid w:val="005306F8"/>
    <w:rsid w:val="005307DF"/>
    <w:rsid w:val="005307EB"/>
    <w:rsid w:val="0053081E"/>
    <w:rsid w:val="0053098F"/>
    <w:rsid w:val="005309D0"/>
    <w:rsid w:val="00530A14"/>
    <w:rsid w:val="00530A80"/>
    <w:rsid w:val="00530AB7"/>
    <w:rsid w:val="00530BCC"/>
    <w:rsid w:val="00530BFD"/>
    <w:rsid w:val="00530C02"/>
    <w:rsid w:val="00530C44"/>
    <w:rsid w:val="00530E1D"/>
    <w:rsid w:val="00530F99"/>
    <w:rsid w:val="0053111D"/>
    <w:rsid w:val="00531137"/>
    <w:rsid w:val="0053117A"/>
    <w:rsid w:val="0053135C"/>
    <w:rsid w:val="00531369"/>
    <w:rsid w:val="00531373"/>
    <w:rsid w:val="005315B7"/>
    <w:rsid w:val="005315EA"/>
    <w:rsid w:val="005317D2"/>
    <w:rsid w:val="005318F7"/>
    <w:rsid w:val="00531A50"/>
    <w:rsid w:val="00531A93"/>
    <w:rsid w:val="00531B17"/>
    <w:rsid w:val="00531B3C"/>
    <w:rsid w:val="00531B5D"/>
    <w:rsid w:val="00531BC0"/>
    <w:rsid w:val="00531BEA"/>
    <w:rsid w:val="00531C31"/>
    <w:rsid w:val="00531C38"/>
    <w:rsid w:val="00531D3A"/>
    <w:rsid w:val="00531D7C"/>
    <w:rsid w:val="00531DAE"/>
    <w:rsid w:val="00531DB1"/>
    <w:rsid w:val="00531E24"/>
    <w:rsid w:val="00531EC6"/>
    <w:rsid w:val="00531F4F"/>
    <w:rsid w:val="00532166"/>
    <w:rsid w:val="0053235F"/>
    <w:rsid w:val="005323D0"/>
    <w:rsid w:val="0053260A"/>
    <w:rsid w:val="005326B0"/>
    <w:rsid w:val="00532716"/>
    <w:rsid w:val="00532756"/>
    <w:rsid w:val="005327EE"/>
    <w:rsid w:val="005328B2"/>
    <w:rsid w:val="005328D7"/>
    <w:rsid w:val="005329F6"/>
    <w:rsid w:val="00532A28"/>
    <w:rsid w:val="00532AF8"/>
    <w:rsid w:val="00532B16"/>
    <w:rsid w:val="00532B71"/>
    <w:rsid w:val="00532CFB"/>
    <w:rsid w:val="00532D5B"/>
    <w:rsid w:val="00532D9B"/>
    <w:rsid w:val="00532DA3"/>
    <w:rsid w:val="00532DB0"/>
    <w:rsid w:val="00532E56"/>
    <w:rsid w:val="00532F1F"/>
    <w:rsid w:val="0053301A"/>
    <w:rsid w:val="005331EB"/>
    <w:rsid w:val="0053329C"/>
    <w:rsid w:val="005332F5"/>
    <w:rsid w:val="0053333B"/>
    <w:rsid w:val="00533497"/>
    <w:rsid w:val="005334BE"/>
    <w:rsid w:val="0053358A"/>
    <w:rsid w:val="0053368C"/>
    <w:rsid w:val="0053369C"/>
    <w:rsid w:val="0053384E"/>
    <w:rsid w:val="005338A1"/>
    <w:rsid w:val="005338C2"/>
    <w:rsid w:val="00533BF7"/>
    <w:rsid w:val="00533C65"/>
    <w:rsid w:val="00533DC0"/>
    <w:rsid w:val="00533DCA"/>
    <w:rsid w:val="00533F34"/>
    <w:rsid w:val="00534052"/>
    <w:rsid w:val="00534087"/>
    <w:rsid w:val="005342DC"/>
    <w:rsid w:val="00534302"/>
    <w:rsid w:val="005345A7"/>
    <w:rsid w:val="005345C5"/>
    <w:rsid w:val="005345CF"/>
    <w:rsid w:val="005345ED"/>
    <w:rsid w:val="0053469C"/>
    <w:rsid w:val="00534A24"/>
    <w:rsid w:val="00534B2F"/>
    <w:rsid w:val="00534B30"/>
    <w:rsid w:val="00534B3C"/>
    <w:rsid w:val="00534B53"/>
    <w:rsid w:val="00534B91"/>
    <w:rsid w:val="00534BF9"/>
    <w:rsid w:val="00534F0A"/>
    <w:rsid w:val="00534FC2"/>
    <w:rsid w:val="00535016"/>
    <w:rsid w:val="00535019"/>
    <w:rsid w:val="00535044"/>
    <w:rsid w:val="0053508A"/>
    <w:rsid w:val="00535097"/>
    <w:rsid w:val="00535122"/>
    <w:rsid w:val="005351F4"/>
    <w:rsid w:val="005352DB"/>
    <w:rsid w:val="00535304"/>
    <w:rsid w:val="00535392"/>
    <w:rsid w:val="005353BB"/>
    <w:rsid w:val="0053544C"/>
    <w:rsid w:val="00535552"/>
    <w:rsid w:val="00535597"/>
    <w:rsid w:val="00535659"/>
    <w:rsid w:val="005356AB"/>
    <w:rsid w:val="005356AD"/>
    <w:rsid w:val="005356B9"/>
    <w:rsid w:val="0053575B"/>
    <w:rsid w:val="00535827"/>
    <w:rsid w:val="0053583D"/>
    <w:rsid w:val="00535B5D"/>
    <w:rsid w:val="00535B86"/>
    <w:rsid w:val="00535C72"/>
    <w:rsid w:val="00535C8F"/>
    <w:rsid w:val="00535CEC"/>
    <w:rsid w:val="00535D48"/>
    <w:rsid w:val="00535E5D"/>
    <w:rsid w:val="00535EB4"/>
    <w:rsid w:val="00535F36"/>
    <w:rsid w:val="00536000"/>
    <w:rsid w:val="0053608C"/>
    <w:rsid w:val="005360FF"/>
    <w:rsid w:val="00536115"/>
    <w:rsid w:val="005361B0"/>
    <w:rsid w:val="0053625C"/>
    <w:rsid w:val="0053646B"/>
    <w:rsid w:val="00536564"/>
    <w:rsid w:val="005365DA"/>
    <w:rsid w:val="00536618"/>
    <w:rsid w:val="0053671F"/>
    <w:rsid w:val="00536753"/>
    <w:rsid w:val="00536765"/>
    <w:rsid w:val="005367D2"/>
    <w:rsid w:val="00536835"/>
    <w:rsid w:val="005368EE"/>
    <w:rsid w:val="00536A56"/>
    <w:rsid w:val="00536A64"/>
    <w:rsid w:val="00536AFB"/>
    <w:rsid w:val="00536B1F"/>
    <w:rsid w:val="00536C03"/>
    <w:rsid w:val="00536D76"/>
    <w:rsid w:val="00536DD5"/>
    <w:rsid w:val="00536EC4"/>
    <w:rsid w:val="00536F04"/>
    <w:rsid w:val="00536F68"/>
    <w:rsid w:val="00537088"/>
    <w:rsid w:val="0053715A"/>
    <w:rsid w:val="00537193"/>
    <w:rsid w:val="00537329"/>
    <w:rsid w:val="0053733A"/>
    <w:rsid w:val="00537474"/>
    <w:rsid w:val="0053750B"/>
    <w:rsid w:val="00537539"/>
    <w:rsid w:val="0053765A"/>
    <w:rsid w:val="0053767A"/>
    <w:rsid w:val="0053767C"/>
    <w:rsid w:val="0053771F"/>
    <w:rsid w:val="005377F3"/>
    <w:rsid w:val="00537882"/>
    <w:rsid w:val="00537950"/>
    <w:rsid w:val="00537956"/>
    <w:rsid w:val="0053798A"/>
    <w:rsid w:val="00537A7C"/>
    <w:rsid w:val="00537B28"/>
    <w:rsid w:val="00537BA1"/>
    <w:rsid w:val="00537C8B"/>
    <w:rsid w:val="00537CC0"/>
    <w:rsid w:val="00537D0C"/>
    <w:rsid w:val="00537E3C"/>
    <w:rsid w:val="00537F5A"/>
    <w:rsid w:val="00537FEC"/>
    <w:rsid w:val="00540093"/>
    <w:rsid w:val="00540109"/>
    <w:rsid w:val="00540446"/>
    <w:rsid w:val="00540458"/>
    <w:rsid w:val="005404AD"/>
    <w:rsid w:val="005406E4"/>
    <w:rsid w:val="0054076C"/>
    <w:rsid w:val="0054085B"/>
    <w:rsid w:val="00540932"/>
    <w:rsid w:val="00540995"/>
    <w:rsid w:val="005409F9"/>
    <w:rsid w:val="00540A02"/>
    <w:rsid w:val="00540A7E"/>
    <w:rsid w:val="00540AD2"/>
    <w:rsid w:val="00540B0F"/>
    <w:rsid w:val="00540B56"/>
    <w:rsid w:val="00540B77"/>
    <w:rsid w:val="00540C88"/>
    <w:rsid w:val="00540D0C"/>
    <w:rsid w:val="00540DB3"/>
    <w:rsid w:val="00540F40"/>
    <w:rsid w:val="00540F78"/>
    <w:rsid w:val="00540F80"/>
    <w:rsid w:val="00540FAE"/>
    <w:rsid w:val="0054128B"/>
    <w:rsid w:val="005412CE"/>
    <w:rsid w:val="005412CF"/>
    <w:rsid w:val="00541549"/>
    <w:rsid w:val="0054157A"/>
    <w:rsid w:val="00541607"/>
    <w:rsid w:val="005416FF"/>
    <w:rsid w:val="00541777"/>
    <w:rsid w:val="005418AD"/>
    <w:rsid w:val="00541971"/>
    <w:rsid w:val="005419DD"/>
    <w:rsid w:val="00541A17"/>
    <w:rsid w:val="00541BBE"/>
    <w:rsid w:val="00541E9E"/>
    <w:rsid w:val="00541F3B"/>
    <w:rsid w:val="00541F3F"/>
    <w:rsid w:val="0054202C"/>
    <w:rsid w:val="0054219C"/>
    <w:rsid w:val="005421FA"/>
    <w:rsid w:val="005423BB"/>
    <w:rsid w:val="00542404"/>
    <w:rsid w:val="00542591"/>
    <w:rsid w:val="0054259C"/>
    <w:rsid w:val="005425EC"/>
    <w:rsid w:val="00542795"/>
    <w:rsid w:val="0054293E"/>
    <w:rsid w:val="005429CA"/>
    <w:rsid w:val="00542A3D"/>
    <w:rsid w:val="00542A6E"/>
    <w:rsid w:val="00542BDE"/>
    <w:rsid w:val="00542C68"/>
    <w:rsid w:val="00542CB5"/>
    <w:rsid w:val="00542CF2"/>
    <w:rsid w:val="00542E08"/>
    <w:rsid w:val="00542E7D"/>
    <w:rsid w:val="00542EDA"/>
    <w:rsid w:val="00542F03"/>
    <w:rsid w:val="00543004"/>
    <w:rsid w:val="00543134"/>
    <w:rsid w:val="00543230"/>
    <w:rsid w:val="005432A0"/>
    <w:rsid w:val="005433AE"/>
    <w:rsid w:val="0054341D"/>
    <w:rsid w:val="00543472"/>
    <w:rsid w:val="00543581"/>
    <w:rsid w:val="00543821"/>
    <w:rsid w:val="005439B0"/>
    <w:rsid w:val="00543A61"/>
    <w:rsid w:val="00543A93"/>
    <w:rsid w:val="00543C34"/>
    <w:rsid w:val="00543E19"/>
    <w:rsid w:val="00543E41"/>
    <w:rsid w:val="00543E8E"/>
    <w:rsid w:val="00543EFA"/>
    <w:rsid w:val="00543FEF"/>
    <w:rsid w:val="00544007"/>
    <w:rsid w:val="0054409B"/>
    <w:rsid w:val="00544130"/>
    <w:rsid w:val="0054417C"/>
    <w:rsid w:val="005441B3"/>
    <w:rsid w:val="005441CD"/>
    <w:rsid w:val="005441D0"/>
    <w:rsid w:val="0054432C"/>
    <w:rsid w:val="00544448"/>
    <w:rsid w:val="00544469"/>
    <w:rsid w:val="005444E1"/>
    <w:rsid w:val="00544529"/>
    <w:rsid w:val="005445FC"/>
    <w:rsid w:val="00544601"/>
    <w:rsid w:val="0054476C"/>
    <w:rsid w:val="005447F1"/>
    <w:rsid w:val="00544848"/>
    <w:rsid w:val="0054487C"/>
    <w:rsid w:val="005448E5"/>
    <w:rsid w:val="0054490A"/>
    <w:rsid w:val="00544966"/>
    <w:rsid w:val="00544AFB"/>
    <w:rsid w:val="00544BC4"/>
    <w:rsid w:val="00544BF9"/>
    <w:rsid w:val="00544C40"/>
    <w:rsid w:val="00544CAF"/>
    <w:rsid w:val="00544CC3"/>
    <w:rsid w:val="00544E6D"/>
    <w:rsid w:val="00544F00"/>
    <w:rsid w:val="00544F66"/>
    <w:rsid w:val="00544FBF"/>
    <w:rsid w:val="005450C8"/>
    <w:rsid w:val="005450FE"/>
    <w:rsid w:val="00545133"/>
    <w:rsid w:val="005451DB"/>
    <w:rsid w:val="00545338"/>
    <w:rsid w:val="00545401"/>
    <w:rsid w:val="00545488"/>
    <w:rsid w:val="00545832"/>
    <w:rsid w:val="00545904"/>
    <w:rsid w:val="0054597F"/>
    <w:rsid w:val="00545A57"/>
    <w:rsid w:val="00545A5D"/>
    <w:rsid w:val="00545B28"/>
    <w:rsid w:val="00545B71"/>
    <w:rsid w:val="00545BF5"/>
    <w:rsid w:val="00545D5E"/>
    <w:rsid w:val="00545EA8"/>
    <w:rsid w:val="00545EEF"/>
    <w:rsid w:val="00545F48"/>
    <w:rsid w:val="00546163"/>
    <w:rsid w:val="00546246"/>
    <w:rsid w:val="00546265"/>
    <w:rsid w:val="00546267"/>
    <w:rsid w:val="005462CE"/>
    <w:rsid w:val="005463E8"/>
    <w:rsid w:val="005463F0"/>
    <w:rsid w:val="00546480"/>
    <w:rsid w:val="005465B2"/>
    <w:rsid w:val="00546713"/>
    <w:rsid w:val="0054671B"/>
    <w:rsid w:val="0054684E"/>
    <w:rsid w:val="005469C5"/>
    <w:rsid w:val="00546BB8"/>
    <w:rsid w:val="00546BBB"/>
    <w:rsid w:val="00546C7A"/>
    <w:rsid w:val="00546D90"/>
    <w:rsid w:val="00546E06"/>
    <w:rsid w:val="00546ED9"/>
    <w:rsid w:val="00546F05"/>
    <w:rsid w:val="00546F30"/>
    <w:rsid w:val="00546F84"/>
    <w:rsid w:val="0054711C"/>
    <w:rsid w:val="00547354"/>
    <w:rsid w:val="005473A5"/>
    <w:rsid w:val="00547448"/>
    <w:rsid w:val="0054753F"/>
    <w:rsid w:val="0054756A"/>
    <w:rsid w:val="00547614"/>
    <w:rsid w:val="005476B0"/>
    <w:rsid w:val="00547A4B"/>
    <w:rsid w:val="00547AB0"/>
    <w:rsid w:val="00547AF6"/>
    <w:rsid w:val="00547B8C"/>
    <w:rsid w:val="00547BF5"/>
    <w:rsid w:val="00547C8C"/>
    <w:rsid w:val="00547DD2"/>
    <w:rsid w:val="00547E15"/>
    <w:rsid w:val="00547F4F"/>
    <w:rsid w:val="005500AA"/>
    <w:rsid w:val="00550134"/>
    <w:rsid w:val="005501E1"/>
    <w:rsid w:val="00550200"/>
    <w:rsid w:val="00550201"/>
    <w:rsid w:val="00550289"/>
    <w:rsid w:val="00550480"/>
    <w:rsid w:val="0055048B"/>
    <w:rsid w:val="005506D5"/>
    <w:rsid w:val="0055070B"/>
    <w:rsid w:val="00550753"/>
    <w:rsid w:val="00550823"/>
    <w:rsid w:val="0055097F"/>
    <w:rsid w:val="005509AE"/>
    <w:rsid w:val="00550A16"/>
    <w:rsid w:val="00550B38"/>
    <w:rsid w:val="00550B96"/>
    <w:rsid w:val="00550C70"/>
    <w:rsid w:val="00550C8B"/>
    <w:rsid w:val="00550C93"/>
    <w:rsid w:val="00550C96"/>
    <w:rsid w:val="00550CC4"/>
    <w:rsid w:val="00550D41"/>
    <w:rsid w:val="00550D9C"/>
    <w:rsid w:val="00550ECC"/>
    <w:rsid w:val="00550F30"/>
    <w:rsid w:val="00550FA2"/>
    <w:rsid w:val="00550FA4"/>
    <w:rsid w:val="005511FB"/>
    <w:rsid w:val="00551278"/>
    <w:rsid w:val="00551344"/>
    <w:rsid w:val="0055134C"/>
    <w:rsid w:val="0055141E"/>
    <w:rsid w:val="0055154B"/>
    <w:rsid w:val="00551615"/>
    <w:rsid w:val="0055173A"/>
    <w:rsid w:val="005517B1"/>
    <w:rsid w:val="00551834"/>
    <w:rsid w:val="0055183A"/>
    <w:rsid w:val="0055197D"/>
    <w:rsid w:val="00551A0E"/>
    <w:rsid w:val="00551A71"/>
    <w:rsid w:val="00551B46"/>
    <w:rsid w:val="00551B4F"/>
    <w:rsid w:val="00551C73"/>
    <w:rsid w:val="00551C95"/>
    <w:rsid w:val="00551CF5"/>
    <w:rsid w:val="00551CFF"/>
    <w:rsid w:val="00551D1F"/>
    <w:rsid w:val="00551D21"/>
    <w:rsid w:val="00551D6D"/>
    <w:rsid w:val="00551DB3"/>
    <w:rsid w:val="00551DFA"/>
    <w:rsid w:val="00551EC8"/>
    <w:rsid w:val="00551F18"/>
    <w:rsid w:val="00551F34"/>
    <w:rsid w:val="00551FE5"/>
    <w:rsid w:val="0055201D"/>
    <w:rsid w:val="0055206F"/>
    <w:rsid w:val="005521D1"/>
    <w:rsid w:val="005522C4"/>
    <w:rsid w:val="0055234B"/>
    <w:rsid w:val="0055242D"/>
    <w:rsid w:val="005524C8"/>
    <w:rsid w:val="00552567"/>
    <w:rsid w:val="00552638"/>
    <w:rsid w:val="005526AA"/>
    <w:rsid w:val="0055271D"/>
    <w:rsid w:val="0055293C"/>
    <w:rsid w:val="0055296B"/>
    <w:rsid w:val="00552A7F"/>
    <w:rsid w:val="00552B17"/>
    <w:rsid w:val="00552B55"/>
    <w:rsid w:val="00552D82"/>
    <w:rsid w:val="00552DA6"/>
    <w:rsid w:val="00552E6A"/>
    <w:rsid w:val="00552FDF"/>
    <w:rsid w:val="0055307F"/>
    <w:rsid w:val="00553106"/>
    <w:rsid w:val="00553126"/>
    <w:rsid w:val="00553312"/>
    <w:rsid w:val="005533D5"/>
    <w:rsid w:val="00553458"/>
    <w:rsid w:val="005534EF"/>
    <w:rsid w:val="00553589"/>
    <w:rsid w:val="0055379B"/>
    <w:rsid w:val="005537D3"/>
    <w:rsid w:val="0055389A"/>
    <w:rsid w:val="005538AF"/>
    <w:rsid w:val="005539E9"/>
    <w:rsid w:val="00553A04"/>
    <w:rsid w:val="00553ACC"/>
    <w:rsid w:val="00553CE0"/>
    <w:rsid w:val="00553CE6"/>
    <w:rsid w:val="00553DD8"/>
    <w:rsid w:val="00553F98"/>
    <w:rsid w:val="0055408F"/>
    <w:rsid w:val="005540DD"/>
    <w:rsid w:val="005540FB"/>
    <w:rsid w:val="00554147"/>
    <w:rsid w:val="0055415B"/>
    <w:rsid w:val="005541EF"/>
    <w:rsid w:val="0055422A"/>
    <w:rsid w:val="0055429D"/>
    <w:rsid w:val="005542BA"/>
    <w:rsid w:val="005542E5"/>
    <w:rsid w:val="00554303"/>
    <w:rsid w:val="00554364"/>
    <w:rsid w:val="005544DB"/>
    <w:rsid w:val="00554522"/>
    <w:rsid w:val="005545EB"/>
    <w:rsid w:val="00554652"/>
    <w:rsid w:val="00554684"/>
    <w:rsid w:val="0055469C"/>
    <w:rsid w:val="005546F4"/>
    <w:rsid w:val="005547FF"/>
    <w:rsid w:val="0055487C"/>
    <w:rsid w:val="005549C6"/>
    <w:rsid w:val="005549F2"/>
    <w:rsid w:val="00554CB0"/>
    <w:rsid w:val="00554D6F"/>
    <w:rsid w:val="00554D9D"/>
    <w:rsid w:val="00554E21"/>
    <w:rsid w:val="00554E7F"/>
    <w:rsid w:val="00555298"/>
    <w:rsid w:val="00555299"/>
    <w:rsid w:val="005552E3"/>
    <w:rsid w:val="005552F1"/>
    <w:rsid w:val="00555435"/>
    <w:rsid w:val="00555583"/>
    <w:rsid w:val="005555E4"/>
    <w:rsid w:val="00555757"/>
    <w:rsid w:val="005557D2"/>
    <w:rsid w:val="0055596E"/>
    <w:rsid w:val="005559BD"/>
    <w:rsid w:val="00555A28"/>
    <w:rsid w:val="00555A5F"/>
    <w:rsid w:val="00555A8E"/>
    <w:rsid w:val="00555B6D"/>
    <w:rsid w:val="00555B98"/>
    <w:rsid w:val="00555BAF"/>
    <w:rsid w:val="00555E41"/>
    <w:rsid w:val="00555EC6"/>
    <w:rsid w:val="00555F3D"/>
    <w:rsid w:val="00555F41"/>
    <w:rsid w:val="00555F93"/>
    <w:rsid w:val="00556068"/>
    <w:rsid w:val="005560ED"/>
    <w:rsid w:val="00556119"/>
    <w:rsid w:val="00556122"/>
    <w:rsid w:val="0055613F"/>
    <w:rsid w:val="005561BD"/>
    <w:rsid w:val="005561C2"/>
    <w:rsid w:val="0055621F"/>
    <w:rsid w:val="00556255"/>
    <w:rsid w:val="00556282"/>
    <w:rsid w:val="00556334"/>
    <w:rsid w:val="005564C9"/>
    <w:rsid w:val="00556517"/>
    <w:rsid w:val="0055665D"/>
    <w:rsid w:val="0055675A"/>
    <w:rsid w:val="005567E0"/>
    <w:rsid w:val="005568F5"/>
    <w:rsid w:val="00556905"/>
    <w:rsid w:val="00556AFF"/>
    <w:rsid w:val="00556CF6"/>
    <w:rsid w:val="00556D41"/>
    <w:rsid w:val="00556E44"/>
    <w:rsid w:val="00556FBD"/>
    <w:rsid w:val="00557113"/>
    <w:rsid w:val="0055724E"/>
    <w:rsid w:val="005574D5"/>
    <w:rsid w:val="0055752C"/>
    <w:rsid w:val="005575C9"/>
    <w:rsid w:val="005576CE"/>
    <w:rsid w:val="0055794A"/>
    <w:rsid w:val="005579D7"/>
    <w:rsid w:val="005579DA"/>
    <w:rsid w:val="00557BC0"/>
    <w:rsid w:val="00557E14"/>
    <w:rsid w:val="00557E1E"/>
    <w:rsid w:val="00557EF9"/>
    <w:rsid w:val="00557F8E"/>
    <w:rsid w:val="005600A7"/>
    <w:rsid w:val="0056010C"/>
    <w:rsid w:val="0056020C"/>
    <w:rsid w:val="005602B9"/>
    <w:rsid w:val="005603D5"/>
    <w:rsid w:val="00560407"/>
    <w:rsid w:val="0056050B"/>
    <w:rsid w:val="00560520"/>
    <w:rsid w:val="005605CE"/>
    <w:rsid w:val="005605FD"/>
    <w:rsid w:val="00560610"/>
    <w:rsid w:val="00560641"/>
    <w:rsid w:val="00560643"/>
    <w:rsid w:val="005606EC"/>
    <w:rsid w:val="005606F7"/>
    <w:rsid w:val="005606FE"/>
    <w:rsid w:val="00560B1F"/>
    <w:rsid w:val="00560BA3"/>
    <w:rsid w:val="00560C84"/>
    <w:rsid w:val="00560CCC"/>
    <w:rsid w:val="00560D78"/>
    <w:rsid w:val="00560DCD"/>
    <w:rsid w:val="00560DED"/>
    <w:rsid w:val="00560E29"/>
    <w:rsid w:val="00560E48"/>
    <w:rsid w:val="00560ED1"/>
    <w:rsid w:val="00560FD6"/>
    <w:rsid w:val="005610A9"/>
    <w:rsid w:val="00561336"/>
    <w:rsid w:val="00561411"/>
    <w:rsid w:val="005614C1"/>
    <w:rsid w:val="0056151C"/>
    <w:rsid w:val="0056157B"/>
    <w:rsid w:val="005615BE"/>
    <w:rsid w:val="0056172C"/>
    <w:rsid w:val="0056173B"/>
    <w:rsid w:val="005617F0"/>
    <w:rsid w:val="005617FD"/>
    <w:rsid w:val="00561874"/>
    <w:rsid w:val="005619A4"/>
    <w:rsid w:val="00561A2C"/>
    <w:rsid w:val="00561AAD"/>
    <w:rsid w:val="00561AB3"/>
    <w:rsid w:val="00561B42"/>
    <w:rsid w:val="00561D35"/>
    <w:rsid w:val="00561D44"/>
    <w:rsid w:val="00561DDD"/>
    <w:rsid w:val="00561EBF"/>
    <w:rsid w:val="005620BF"/>
    <w:rsid w:val="0056241C"/>
    <w:rsid w:val="0056244F"/>
    <w:rsid w:val="005624C9"/>
    <w:rsid w:val="0056263B"/>
    <w:rsid w:val="0056278C"/>
    <w:rsid w:val="005628E1"/>
    <w:rsid w:val="00562971"/>
    <w:rsid w:val="00562B12"/>
    <w:rsid w:val="00562B28"/>
    <w:rsid w:val="00562BB5"/>
    <w:rsid w:val="00562C2B"/>
    <w:rsid w:val="00562D52"/>
    <w:rsid w:val="00562DEB"/>
    <w:rsid w:val="00562F1B"/>
    <w:rsid w:val="0056305F"/>
    <w:rsid w:val="005630B5"/>
    <w:rsid w:val="00563219"/>
    <w:rsid w:val="00563255"/>
    <w:rsid w:val="0056326A"/>
    <w:rsid w:val="005632B4"/>
    <w:rsid w:val="005632FC"/>
    <w:rsid w:val="00563321"/>
    <w:rsid w:val="005634B1"/>
    <w:rsid w:val="00563551"/>
    <w:rsid w:val="005635BF"/>
    <w:rsid w:val="0056362F"/>
    <w:rsid w:val="00563664"/>
    <w:rsid w:val="005637CA"/>
    <w:rsid w:val="00563861"/>
    <w:rsid w:val="005638DA"/>
    <w:rsid w:val="005638DC"/>
    <w:rsid w:val="00563A27"/>
    <w:rsid w:val="00563AFF"/>
    <w:rsid w:val="00563B03"/>
    <w:rsid w:val="00563B18"/>
    <w:rsid w:val="00563B23"/>
    <w:rsid w:val="00563CF6"/>
    <w:rsid w:val="00563D5B"/>
    <w:rsid w:val="00563E58"/>
    <w:rsid w:val="00563F13"/>
    <w:rsid w:val="00563F77"/>
    <w:rsid w:val="00563F84"/>
    <w:rsid w:val="005640AA"/>
    <w:rsid w:val="005641D8"/>
    <w:rsid w:val="0056420E"/>
    <w:rsid w:val="00564244"/>
    <w:rsid w:val="005642DA"/>
    <w:rsid w:val="00564343"/>
    <w:rsid w:val="0056435B"/>
    <w:rsid w:val="00564473"/>
    <w:rsid w:val="005644E2"/>
    <w:rsid w:val="005644EA"/>
    <w:rsid w:val="005645A0"/>
    <w:rsid w:val="005645BD"/>
    <w:rsid w:val="0056477A"/>
    <w:rsid w:val="00564874"/>
    <w:rsid w:val="005648A8"/>
    <w:rsid w:val="005648D0"/>
    <w:rsid w:val="00564C04"/>
    <w:rsid w:val="00564CCB"/>
    <w:rsid w:val="00564E24"/>
    <w:rsid w:val="00564E47"/>
    <w:rsid w:val="00564F43"/>
    <w:rsid w:val="00564FA5"/>
    <w:rsid w:val="005650EE"/>
    <w:rsid w:val="0056516D"/>
    <w:rsid w:val="0056518A"/>
    <w:rsid w:val="005651CC"/>
    <w:rsid w:val="00565212"/>
    <w:rsid w:val="005653FC"/>
    <w:rsid w:val="005655B7"/>
    <w:rsid w:val="0056562B"/>
    <w:rsid w:val="0056564F"/>
    <w:rsid w:val="005656A7"/>
    <w:rsid w:val="00565770"/>
    <w:rsid w:val="00565849"/>
    <w:rsid w:val="00565877"/>
    <w:rsid w:val="00565942"/>
    <w:rsid w:val="00565AB6"/>
    <w:rsid w:val="00565AC5"/>
    <w:rsid w:val="00565C1A"/>
    <w:rsid w:val="00565CD6"/>
    <w:rsid w:val="00565DFA"/>
    <w:rsid w:val="00565EEB"/>
    <w:rsid w:val="00565F17"/>
    <w:rsid w:val="00565F3F"/>
    <w:rsid w:val="00565F6D"/>
    <w:rsid w:val="00565FFD"/>
    <w:rsid w:val="00566033"/>
    <w:rsid w:val="00566069"/>
    <w:rsid w:val="00566137"/>
    <w:rsid w:val="00566205"/>
    <w:rsid w:val="00566209"/>
    <w:rsid w:val="005662B9"/>
    <w:rsid w:val="00566301"/>
    <w:rsid w:val="005664AC"/>
    <w:rsid w:val="00566580"/>
    <w:rsid w:val="005665A2"/>
    <w:rsid w:val="005666BF"/>
    <w:rsid w:val="005666D6"/>
    <w:rsid w:val="0056674E"/>
    <w:rsid w:val="0056676E"/>
    <w:rsid w:val="00566778"/>
    <w:rsid w:val="00566879"/>
    <w:rsid w:val="005668AF"/>
    <w:rsid w:val="00566A41"/>
    <w:rsid w:val="00566BB1"/>
    <w:rsid w:val="00566D59"/>
    <w:rsid w:val="00566D76"/>
    <w:rsid w:val="00566E50"/>
    <w:rsid w:val="00566F97"/>
    <w:rsid w:val="00567033"/>
    <w:rsid w:val="00567160"/>
    <w:rsid w:val="00567162"/>
    <w:rsid w:val="005671E7"/>
    <w:rsid w:val="0056751B"/>
    <w:rsid w:val="0056757D"/>
    <w:rsid w:val="005675CF"/>
    <w:rsid w:val="005675F4"/>
    <w:rsid w:val="005676FC"/>
    <w:rsid w:val="00567987"/>
    <w:rsid w:val="005679AB"/>
    <w:rsid w:val="00567BE7"/>
    <w:rsid w:val="00567E70"/>
    <w:rsid w:val="00567E7A"/>
    <w:rsid w:val="00567ED9"/>
    <w:rsid w:val="005700B7"/>
    <w:rsid w:val="00570358"/>
    <w:rsid w:val="00570436"/>
    <w:rsid w:val="005704B5"/>
    <w:rsid w:val="00570550"/>
    <w:rsid w:val="0057058D"/>
    <w:rsid w:val="005705B6"/>
    <w:rsid w:val="0057060D"/>
    <w:rsid w:val="00570648"/>
    <w:rsid w:val="0057069B"/>
    <w:rsid w:val="005706A3"/>
    <w:rsid w:val="005708A4"/>
    <w:rsid w:val="0057090E"/>
    <w:rsid w:val="00570A3E"/>
    <w:rsid w:val="00570E0B"/>
    <w:rsid w:val="00570E6E"/>
    <w:rsid w:val="00571077"/>
    <w:rsid w:val="005710A5"/>
    <w:rsid w:val="00571132"/>
    <w:rsid w:val="005711E8"/>
    <w:rsid w:val="0057124A"/>
    <w:rsid w:val="0057126C"/>
    <w:rsid w:val="00571287"/>
    <w:rsid w:val="00571472"/>
    <w:rsid w:val="005714B7"/>
    <w:rsid w:val="005714CF"/>
    <w:rsid w:val="005715D4"/>
    <w:rsid w:val="00571601"/>
    <w:rsid w:val="0057182B"/>
    <w:rsid w:val="00571A92"/>
    <w:rsid w:val="00571AB3"/>
    <w:rsid w:val="00571AD7"/>
    <w:rsid w:val="00571B46"/>
    <w:rsid w:val="00571C5C"/>
    <w:rsid w:val="00571CB3"/>
    <w:rsid w:val="00571DA3"/>
    <w:rsid w:val="00571E1A"/>
    <w:rsid w:val="00571E3B"/>
    <w:rsid w:val="00571ED9"/>
    <w:rsid w:val="00571EEF"/>
    <w:rsid w:val="00571FA8"/>
    <w:rsid w:val="0057213C"/>
    <w:rsid w:val="0057220F"/>
    <w:rsid w:val="00572266"/>
    <w:rsid w:val="00572277"/>
    <w:rsid w:val="005722BF"/>
    <w:rsid w:val="00572322"/>
    <w:rsid w:val="0057236E"/>
    <w:rsid w:val="00572480"/>
    <w:rsid w:val="00572544"/>
    <w:rsid w:val="00572565"/>
    <w:rsid w:val="005726B2"/>
    <w:rsid w:val="005727DE"/>
    <w:rsid w:val="005727DF"/>
    <w:rsid w:val="00572823"/>
    <w:rsid w:val="0057288A"/>
    <w:rsid w:val="005728BE"/>
    <w:rsid w:val="005729E7"/>
    <w:rsid w:val="00572A13"/>
    <w:rsid w:val="00572B8D"/>
    <w:rsid w:val="00572BE2"/>
    <w:rsid w:val="00572CAF"/>
    <w:rsid w:val="00572E54"/>
    <w:rsid w:val="00572E87"/>
    <w:rsid w:val="00572F23"/>
    <w:rsid w:val="00572F56"/>
    <w:rsid w:val="00572F81"/>
    <w:rsid w:val="00573085"/>
    <w:rsid w:val="0057324C"/>
    <w:rsid w:val="00573253"/>
    <w:rsid w:val="005732E9"/>
    <w:rsid w:val="00573330"/>
    <w:rsid w:val="005733D4"/>
    <w:rsid w:val="00573714"/>
    <w:rsid w:val="00573763"/>
    <w:rsid w:val="00573866"/>
    <w:rsid w:val="0057392D"/>
    <w:rsid w:val="00573A31"/>
    <w:rsid w:val="00573A8A"/>
    <w:rsid w:val="00573AA7"/>
    <w:rsid w:val="00573AAC"/>
    <w:rsid w:val="00573B08"/>
    <w:rsid w:val="00573B58"/>
    <w:rsid w:val="00573BAF"/>
    <w:rsid w:val="00573C26"/>
    <w:rsid w:val="00573CA1"/>
    <w:rsid w:val="00573CA9"/>
    <w:rsid w:val="00573E73"/>
    <w:rsid w:val="00573EBB"/>
    <w:rsid w:val="00573F6D"/>
    <w:rsid w:val="0057401B"/>
    <w:rsid w:val="005740AC"/>
    <w:rsid w:val="00574147"/>
    <w:rsid w:val="00574182"/>
    <w:rsid w:val="005742FC"/>
    <w:rsid w:val="00574323"/>
    <w:rsid w:val="0057436D"/>
    <w:rsid w:val="005743F7"/>
    <w:rsid w:val="00574588"/>
    <w:rsid w:val="00574606"/>
    <w:rsid w:val="0057474F"/>
    <w:rsid w:val="005747E2"/>
    <w:rsid w:val="00574882"/>
    <w:rsid w:val="005749DA"/>
    <w:rsid w:val="00574DA8"/>
    <w:rsid w:val="00574E90"/>
    <w:rsid w:val="00574E94"/>
    <w:rsid w:val="00574FA9"/>
    <w:rsid w:val="005751E8"/>
    <w:rsid w:val="00575287"/>
    <w:rsid w:val="00575641"/>
    <w:rsid w:val="00575943"/>
    <w:rsid w:val="00575959"/>
    <w:rsid w:val="00575983"/>
    <w:rsid w:val="00575992"/>
    <w:rsid w:val="005759A0"/>
    <w:rsid w:val="00575B06"/>
    <w:rsid w:val="00575B5B"/>
    <w:rsid w:val="00575BA7"/>
    <w:rsid w:val="00575BD0"/>
    <w:rsid w:val="00575D0F"/>
    <w:rsid w:val="00575D9B"/>
    <w:rsid w:val="00575E5A"/>
    <w:rsid w:val="00575F4F"/>
    <w:rsid w:val="00575FF6"/>
    <w:rsid w:val="00576097"/>
    <w:rsid w:val="005760E3"/>
    <w:rsid w:val="0057611E"/>
    <w:rsid w:val="0057628A"/>
    <w:rsid w:val="005762C0"/>
    <w:rsid w:val="005762D7"/>
    <w:rsid w:val="00576317"/>
    <w:rsid w:val="00576468"/>
    <w:rsid w:val="005764F3"/>
    <w:rsid w:val="005767B8"/>
    <w:rsid w:val="005767E6"/>
    <w:rsid w:val="005768C4"/>
    <w:rsid w:val="005768E0"/>
    <w:rsid w:val="005769B6"/>
    <w:rsid w:val="00576A5A"/>
    <w:rsid w:val="00576C05"/>
    <w:rsid w:val="00576C46"/>
    <w:rsid w:val="00576CA2"/>
    <w:rsid w:val="00576CAE"/>
    <w:rsid w:val="00576CEA"/>
    <w:rsid w:val="00576DF7"/>
    <w:rsid w:val="00576E02"/>
    <w:rsid w:val="00576E74"/>
    <w:rsid w:val="005771DC"/>
    <w:rsid w:val="0057727F"/>
    <w:rsid w:val="0057730C"/>
    <w:rsid w:val="00577390"/>
    <w:rsid w:val="005773BD"/>
    <w:rsid w:val="0057745D"/>
    <w:rsid w:val="005775F3"/>
    <w:rsid w:val="0057783A"/>
    <w:rsid w:val="00577915"/>
    <w:rsid w:val="005779B8"/>
    <w:rsid w:val="00577B17"/>
    <w:rsid w:val="00577B38"/>
    <w:rsid w:val="00577BFE"/>
    <w:rsid w:val="00577C2C"/>
    <w:rsid w:val="00577C3A"/>
    <w:rsid w:val="00577C4B"/>
    <w:rsid w:val="00577C9C"/>
    <w:rsid w:val="00577CA9"/>
    <w:rsid w:val="00577E7F"/>
    <w:rsid w:val="00577FDE"/>
    <w:rsid w:val="00577FF8"/>
    <w:rsid w:val="0058006E"/>
    <w:rsid w:val="00580080"/>
    <w:rsid w:val="0058010D"/>
    <w:rsid w:val="0058024C"/>
    <w:rsid w:val="00580365"/>
    <w:rsid w:val="00580408"/>
    <w:rsid w:val="00580451"/>
    <w:rsid w:val="00580486"/>
    <w:rsid w:val="005804EE"/>
    <w:rsid w:val="00580707"/>
    <w:rsid w:val="0058095B"/>
    <w:rsid w:val="00580A13"/>
    <w:rsid w:val="00580A4F"/>
    <w:rsid w:val="00580B24"/>
    <w:rsid w:val="00580B4D"/>
    <w:rsid w:val="00580C86"/>
    <w:rsid w:val="00580C8E"/>
    <w:rsid w:val="00580CDD"/>
    <w:rsid w:val="00580D02"/>
    <w:rsid w:val="00580D8A"/>
    <w:rsid w:val="00580D9F"/>
    <w:rsid w:val="00580DB7"/>
    <w:rsid w:val="00580F22"/>
    <w:rsid w:val="005810B5"/>
    <w:rsid w:val="00581155"/>
    <w:rsid w:val="0058115D"/>
    <w:rsid w:val="005811C1"/>
    <w:rsid w:val="005811D1"/>
    <w:rsid w:val="00581233"/>
    <w:rsid w:val="00581299"/>
    <w:rsid w:val="005812B2"/>
    <w:rsid w:val="00581316"/>
    <w:rsid w:val="0058139F"/>
    <w:rsid w:val="005813B3"/>
    <w:rsid w:val="00581482"/>
    <w:rsid w:val="00581496"/>
    <w:rsid w:val="005814DB"/>
    <w:rsid w:val="00581538"/>
    <w:rsid w:val="0058155C"/>
    <w:rsid w:val="00581603"/>
    <w:rsid w:val="00581648"/>
    <w:rsid w:val="005817F0"/>
    <w:rsid w:val="00581854"/>
    <w:rsid w:val="005819EE"/>
    <w:rsid w:val="00581A8A"/>
    <w:rsid w:val="00581ADD"/>
    <w:rsid w:val="00581B8D"/>
    <w:rsid w:val="00581C0B"/>
    <w:rsid w:val="00581C29"/>
    <w:rsid w:val="00581CFD"/>
    <w:rsid w:val="00581DF5"/>
    <w:rsid w:val="00581ECF"/>
    <w:rsid w:val="00581EEB"/>
    <w:rsid w:val="00581F79"/>
    <w:rsid w:val="00581FA4"/>
    <w:rsid w:val="005820BE"/>
    <w:rsid w:val="005820CF"/>
    <w:rsid w:val="0058212A"/>
    <w:rsid w:val="0058219F"/>
    <w:rsid w:val="00582317"/>
    <w:rsid w:val="005823DF"/>
    <w:rsid w:val="00582723"/>
    <w:rsid w:val="005827E2"/>
    <w:rsid w:val="005827E4"/>
    <w:rsid w:val="0058283E"/>
    <w:rsid w:val="00582885"/>
    <w:rsid w:val="005828EF"/>
    <w:rsid w:val="00582943"/>
    <w:rsid w:val="00582AC8"/>
    <w:rsid w:val="00582ACA"/>
    <w:rsid w:val="00582AD5"/>
    <w:rsid w:val="00582BA0"/>
    <w:rsid w:val="00582BE6"/>
    <w:rsid w:val="00582EAE"/>
    <w:rsid w:val="00582F69"/>
    <w:rsid w:val="00583025"/>
    <w:rsid w:val="00583055"/>
    <w:rsid w:val="00583205"/>
    <w:rsid w:val="00583214"/>
    <w:rsid w:val="005832B2"/>
    <w:rsid w:val="0058336D"/>
    <w:rsid w:val="005833D7"/>
    <w:rsid w:val="0058345F"/>
    <w:rsid w:val="00583531"/>
    <w:rsid w:val="005835B9"/>
    <w:rsid w:val="00583605"/>
    <w:rsid w:val="00583607"/>
    <w:rsid w:val="00583743"/>
    <w:rsid w:val="00583949"/>
    <w:rsid w:val="0058394A"/>
    <w:rsid w:val="00583AFE"/>
    <w:rsid w:val="00583C05"/>
    <w:rsid w:val="00583F5C"/>
    <w:rsid w:val="00583FEC"/>
    <w:rsid w:val="0058401D"/>
    <w:rsid w:val="0058403D"/>
    <w:rsid w:val="00584095"/>
    <w:rsid w:val="0058409F"/>
    <w:rsid w:val="005840B9"/>
    <w:rsid w:val="005840BC"/>
    <w:rsid w:val="00584254"/>
    <w:rsid w:val="005842A1"/>
    <w:rsid w:val="00584492"/>
    <w:rsid w:val="005844FB"/>
    <w:rsid w:val="0058458F"/>
    <w:rsid w:val="00584664"/>
    <w:rsid w:val="005846B8"/>
    <w:rsid w:val="005846C0"/>
    <w:rsid w:val="0058475F"/>
    <w:rsid w:val="00584777"/>
    <w:rsid w:val="00584795"/>
    <w:rsid w:val="0058488B"/>
    <w:rsid w:val="005848EA"/>
    <w:rsid w:val="005848F4"/>
    <w:rsid w:val="00584976"/>
    <w:rsid w:val="00584AAC"/>
    <w:rsid w:val="00584C48"/>
    <w:rsid w:val="00584C69"/>
    <w:rsid w:val="00584C6E"/>
    <w:rsid w:val="00584D02"/>
    <w:rsid w:val="00584D85"/>
    <w:rsid w:val="00584DF0"/>
    <w:rsid w:val="00584E02"/>
    <w:rsid w:val="00584EA6"/>
    <w:rsid w:val="005850A9"/>
    <w:rsid w:val="005850DC"/>
    <w:rsid w:val="00585305"/>
    <w:rsid w:val="005853A6"/>
    <w:rsid w:val="005853D5"/>
    <w:rsid w:val="0058542E"/>
    <w:rsid w:val="00585431"/>
    <w:rsid w:val="005854D8"/>
    <w:rsid w:val="00585539"/>
    <w:rsid w:val="00585580"/>
    <w:rsid w:val="005856D1"/>
    <w:rsid w:val="005856FD"/>
    <w:rsid w:val="00585757"/>
    <w:rsid w:val="00585791"/>
    <w:rsid w:val="0058587F"/>
    <w:rsid w:val="00585937"/>
    <w:rsid w:val="00585A70"/>
    <w:rsid w:val="00585AAA"/>
    <w:rsid w:val="00585ABC"/>
    <w:rsid w:val="00585BA5"/>
    <w:rsid w:val="00585CAC"/>
    <w:rsid w:val="00585ED9"/>
    <w:rsid w:val="00585F8F"/>
    <w:rsid w:val="00586009"/>
    <w:rsid w:val="005860B9"/>
    <w:rsid w:val="005860E5"/>
    <w:rsid w:val="00586184"/>
    <w:rsid w:val="0058619D"/>
    <w:rsid w:val="0058643B"/>
    <w:rsid w:val="0058644E"/>
    <w:rsid w:val="005865DB"/>
    <w:rsid w:val="00586651"/>
    <w:rsid w:val="00586741"/>
    <w:rsid w:val="0058678F"/>
    <w:rsid w:val="0058679E"/>
    <w:rsid w:val="005867B0"/>
    <w:rsid w:val="00586849"/>
    <w:rsid w:val="005868AC"/>
    <w:rsid w:val="005869FB"/>
    <w:rsid w:val="00586A3F"/>
    <w:rsid w:val="00586AA2"/>
    <w:rsid w:val="00586B96"/>
    <w:rsid w:val="00586D18"/>
    <w:rsid w:val="00586D71"/>
    <w:rsid w:val="00586E80"/>
    <w:rsid w:val="00586F8A"/>
    <w:rsid w:val="00586FE4"/>
    <w:rsid w:val="005872A9"/>
    <w:rsid w:val="0058739D"/>
    <w:rsid w:val="005873BA"/>
    <w:rsid w:val="0058740F"/>
    <w:rsid w:val="0058760C"/>
    <w:rsid w:val="0058777A"/>
    <w:rsid w:val="005877C9"/>
    <w:rsid w:val="00587808"/>
    <w:rsid w:val="0058798A"/>
    <w:rsid w:val="005879BE"/>
    <w:rsid w:val="00587A42"/>
    <w:rsid w:val="00587A69"/>
    <w:rsid w:val="00587B3D"/>
    <w:rsid w:val="00587B5C"/>
    <w:rsid w:val="00587C35"/>
    <w:rsid w:val="00587C8B"/>
    <w:rsid w:val="00587D1A"/>
    <w:rsid w:val="00587E07"/>
    <w:rsid w:val="00587E9D"/>
    <w:rsid w:val="00587F0B"/>
    <w:rsid w:val="00587F12"/>
    <w:rsid w:val="00587FF6"/>
    <w:rsid w:val="00590378"/>
    <w:rsid w:val="005903C6"/>
    <w:rsid w:val="005904E8"/>
    <w:rsid w:val="00590506"/>
    <w:rsid w:val="00590536"/>
    <w:rsid w:val="0059062C"/>
    <w:rsid w:val="00590662"/>
    <w:rsid w:val="005906A5"/>
    <w:rsid w:val="005906AD"/>
    <w:rsid w:val="0059083D"/>
    <w:rsid w:val="0059084D"/>
    <w:rsid w:val="00590852"/>
    <w:rsid w:val="00590894"/>
    <w:rsid w:val="00590951"/>
    <w:rsid w:val="00590960"/>
    <w:rsid w:val="00590989"/>
    <w:rsid w:val="005909F3"/>
    <w:rsid w:val="00590A9D"/>
    <w:rsid w:val="00590AD4"/>
    <w:rsid w:val="00590AF3"/>
    <w:rsid w:val="00590B07"/>
    <w:rsid w:val="00590B3E"/>
    <w:rsid w:val="00590CCF"/>
    <w:rsid w:val="00590CD2"/>
    <w:rsid w:val="00590D90"/>
    <w:rsid w:val="00590DE1"/>
    <w:rsid w:val="00590F12"/>
    <w:rsid w:val="00590FC3"/>
    <w:rsid w:val="0059104D"/>
    <w:rsid w:val="00591068"/>
    <w:rsid w:val="00591134"/>
    <w:rsid w:val="005911CC"/>
    <w:rsid w:val="0059136E"/>
    <w:rsid w:val="005913E3"/>
    <w:rsid w:val="00591414"/>
    <w:rsid w:val="00591420"/>
    <w:rsid w:val="00591426"/>
    <w:rsid w:val="00591707"/>
    <w:rsid w:val="005917CB"/>
    <w:rsid w:val="00591833"/>
    <w:rsid w:val="005919AF"/>
    <w:rsid w:val="005919B0"/>
    <w:rsid w:val="00591A6B"/>
    <w:rsid w:val="00591CC8"/>
    <w:rsid w:val="00591DB4"/>
    <w:rsid w:val="00591DFD"/>
    <w:rsid w:val="00591E4C"/>
    <w:rsid w:val="00591F91"/>
    <w:rsid w:val="00592009"/>
    <w:rsid w:val="00592085"/>
    <w:rsid w:val="00592100"/>
    <w:rsid w:val="00592251"/>
    <w:rsid w:val="00592565"/>
    <w:rsid w:val="00592571"/>
    <w:rsid w:val="0059259C"/>
    <w:rsid w:val="00592635"/>
    <w:rsid w:val="00592647"/>
    <w:rsid w:val="00592794"/>
    <w:rsid w:val="00592839"/>
    <w:rsid w:val="00592877"/>
    <w:rsid w:val="005928BC"/>
    <w:rsid w:val="005929D8"/>
    <w:rsid w:val="00592A0A"/>
    <w:rsid w:val="00592B30"/>
    <w:rsid w:val="00592B41"/>
    <w:rsid w:val="00592B7D"/>
    <w:rsid w:val="00592D58"/>
    <w:rsid w:val="00592D9E"/>
    <w:rsid w:val="00592EF1"/>
    <w:rsid w:val="00592F69"/>
    <w:rsid w:val="00593162"/>
    <w:rsid w:val="005931FF"/>
    <w:rsid w:val="00593264"/>
    <w:rsid w:val="0059329A"/>
    <w:rsid w:val="00593339"/>
    <w:rsid w:val="005933D0"/>
    <w:rsid w:val="00593481"/>
    <w:rsid w:val="00593487"/>
    <w:rsid w:val="00593508"/>
    <w:rsid w:val="00593600"/>
    <w:rsid w:val="00593609"/>
    <w:rsid w:val="00593636"/>
    <w:rsid w:val="005937CC"/>
    <w:rsid w:val="00593924"/>
    <w:rsid w:val="00593A00"/>
    <w:rsid w:val="00593A51"/>
    <w:rsid w:val="00593C9E"/>
    <w:rsid w:val="00593CED"/>
    <w:rsid w:val="00593CF3"/>
    <w:rsid w:val="00593E15"/>
    <w:rsid w:val="00593E26"/>
    <w:rsid w:val="00593F8D"/>
    <w:rsid w:val="0059412B"/>
    <w:rsid w:val="005941A4"/>
    <w:rsid w:val="00594203"/>
    <w:rsid w:val="00594209"/>
    <w:rsid w:val="005942AC"/>
    <w:rsid w:val="005942EE"/>
    <w:rsid w:val="00594315"/>
    <w:rsid w:val="005943F9"/>
    <w:rsid w:val="0059443E"/>
    <w:rsid w:val="005944EC"/>
    <w:rsid w:val="00594567"/>
    <w:rsid w:val="00594627"/>
    <w:rsid w:val="00594714"/>
    <w:rsid w:val="0059477C"/>
    <w:rsid w:val="005947F1"/>
    <w:rsid w:val="0059482C"/>
    <w:rsid w:val="005948D6"/>
    <w:rsid w:val="005948DF"/>
    <w:rsid w:val="0059492C"/>
    <w:rsid w:val="00594CF6"/>
    <w:rsid w:val="00594D7E"/>
    <w:rsid w:val="00594DA0"/>
    <w:rsid w:val="00594DE7"/>
    <w:rsid w:val="00594E3D"/>
    <w:rsid w:val="00594EBC"/>
    <w:rsid w:val="00594FAB"/>
    <w:rsid w:val="00594FFE"/>
    <w:rsid w:val="00595034"/>
    <w:rsid w:val="00595109"/>
    <w:rsid w:val="00595111"/>
    <w:rsid w:val="00595124"/>
    <w:rsid w:val="0059517B"/>
    <w:rsid w:val="005951F9"/>
    <w:rsid w:val="00595300"/>
    <w:rsid w:val="0059530B"/>
    <w:rsid w:val="0059532A"/>
    <w:rsid w:val="00595360"/>
    <w:rsid w:val="005953E3"/>
    <w:rsid w:val="005954E0"/>
    <w:rsid w:val="0059556B"/>
    <w:rsid w:val="005955A4"/>
    <w:rsid w:val="005955B0"/>
    <w:rsid w:val="005955B2"/>
    <w:rsid w:val="005958E5"/>
    <w:rsid w:val="00595904"/>
    <w:rsid w:val="005959FA"/>
    <w:rsid w:val="00595B02"/>
    <w:rsid w:val="00595B8C"/>
    <w:rsid w:val="00595D1C"/>
    <w:rsid w:val="00595DD0"/>
    <w:rsid w:val="00595E07"/>
    <w:rsid w:val="00595E94"/>
    <w:rsid w:val="00596090"/>
    <w:rsid w:val="005962A4"/>
    <w:rsid w:val="005962A6"/>
    <w:rsid w:val="0059638B"/>
    <w:rsid w:val="005964F3"/>
    <w:rsid w:val="0059656A"/>
    <w:rsid w:val="0059656F"/>
    <w:rsid w:val="005965CC"/>
    <w:rsid w:val="00596692"/>
    <w:rsid w:val="005966E7"/>
    <w:rsid w:val="00596738"/>
    <w:rsid w:val="005967B2"/>
    <w:rsid w:val="00596802"/>
    <w:rsid w:val="0059686F"/>
    <w:rsid w:val="005968DB"/>
    <w:rsid w:val="0059694E"/>
    <w:rsid w:val="005969DE"/>
    <w:rsid w:val="00596A83"/>
    <w:rsid w:val="00596AE3"/>
    <w:rsid w:val="00596C92"/>
    <w:rsid w:val="00596E4C"/>
    <w:rsid w:val="005971CE"/>
    <w:rsid w:val="0059727E"/>
    <w:rsid w:val="005972C3"/>
    <w:rsid w:val="00597435"/>
    <w:rsid w:val="005974BB"/>
    <w:rsid w:val="00597671"/>
    <w:rsid w:val="005976C2"/>
    <w:rsid w:val="005977B2"/>
    <w:rsid w:val="005977E9"/>
    <w:rsid w:val="0059793B"/>
    <w:rsid w:val="00597B01"/>
    <w:rsid w:val="00597CE7"/>
    <w:rsid w:val="00597CF3"/>
    <w:rsid w:val="00597DB5"/>
    <w:rsid w:val="00597DEE"/>
    <w:rsid w:val="00597E4A"/>
    <w:rsid w:val="00597EA2"/>
    <w:rsid w:val="005A00B0"/>
    <w:rsid w:val="005A011C"/>
    <w:rsid w:val="005A0185"/>
    <w:rsid w:val="005A03C9"/>
    <w:rsid w:val="005A04B7"/>
    <w:rsid w:val="005A04FA"/>
    <w:rsid w:val="005A0510"/>
    <w:rsid w:val="005A0519"/>
    <w:rsid w:val="005A05CE"/>
    <w:rsid w:val="005A05DB"/>
    <w:rsid w:val="005A06B3"/>
    <w:rsid w:val="005A07A5"/>
    <w:rsid w:val="005A07D2"/>
    <w:rsid w:val="005A0834"/>
    <w:rsid w:val="005A0886"/>
    <w:rsid w:val="005A092B"/>
    <w:rsid w:val="005A0A56"/>
    <w:rsid w:val="005A0FA0"/>
    <w:rsid w:val="005A103F"/>
    <w:rsid w:val="005A11F0"/>
    <w:rsid w:val="005A135C"/>
    <w:rsid w:val="005A13E5"/>
    <w:rsid w:val="005A146D"/>
    <w:rsid w:val="005A14A5"/>
    <w:rsid w:val="005A1526"/>
    <w:rsid w:val="005A166F"/>
    <w:rsid w:val="005A1670"/>
    <w:rsid w:val="005A1753"/>
    <w:rsid w:val="005A18DE"/>
    <w:rsid w:val="005A1979"/>
    <w:rsid w:val="005A1BB7"/>
    <w:rsid w:val="005A1D51"/>
    <w:rsid w:val="005A1E4A"/>
    <w:rsid w:val="005A1FC5"/>
    <w:rsid w:val="005A21FC"/>
    <w:rsid w:val="005A2259"/>
    <w:rsid w:val="005A23BF"/>
    <w:rsid w:val="005A2448"/>
    <w:rsid w:val="005A2490"/>
    <w:rsid w:val="005A262E"/>
    <w:rsid w:val="005A27FF"/>
    <w:rsid w:val="005A285D"/>
    <w:rsid w:val="005A28E6"/>
    <w:rsid w:val="005A2B8C"/>
    <w:rsid w:val="005A2CE3"/>
    <w:rsid w:val="005A2D2B"/>
    <w:rsid w:val="005A2E77"/>
    <w:rsid w:val="005A2F18"/>
    <w:rsid w:val="005A2F68"/>
    <w:rsid w:val="005A2F95"/>
    <w:rsid w:val="005A304C"/>
    <w:rsid w:val="005A30F6"/>
    <w:rsid w:val="005A3197"/>
    <w:rsid w:val="005A326A"/>
    <w:rsid w:val="005A32BB"/>
    <w:rsid w:val="005A32EE"/>
    <w:rsid w:val="005A33CE"/>
    <w:rsid w:val="005A33FC"/>
    <w:rsid w:val="005A3428"/>
    <w:rsid w:val="005A34E3"/>
    <w:rsid w:val="005A3585"/>
    <w:rsid w:val="005A3696"/>
    <w:rsid w:val="005A36DF"/>
    <w:rsid w:val="005A3778"/>
    <w:rsid w:val="005A3953"/>
    <w:rsid w:val="005A39A3"/>
    <w:rsid w:val="005A39DE"/>
    <w:rsid w:val="005A3A16"/>
    <w:rsid w:val="005A3C59"/>
    <w:rsid w:val="005A3EDD"/>
    <w:rsid w:val="005A3FD0"/>
    <w:rsid w:val="005A41A5"/>
    <w:rsid w:val="005A42C1"/>
    <w:rsid w:val="005A436E"/>
    <w:rsid w:val="005A44E6"/>
    <w:rsid w:val="005A4586"/>
    <w:rsid w:val="005A46EE"/>
    <w:rsid w:val="005A4836"/>
    <w:rsid w:val="005A4941"/>
    <w:rsid w:val="005A49B5"/>
    <w:rsid w:val="005A4A47"/>
    <w:rsid w:val="005A4A61"/>
    <w:rsid w:val="005A4A81"/>
    <w:rsid w:val="005A4ADE"/>
    <w:rsid w:val="005A4B32"/>
    <w:rsid w:val="005A4D49"/>
    <w:rsid w:val="005A4D85"/>
    <w:rsid w:val="005A4E2F"/>
    <w:rsid w:val="005A4E54"/>
    <w:rsid w:val="005A4EC4"/>
    <w:rsid w:val="005A4EE3"/>
    <w:rsid w:val="005A4F18"/>
    <w:rsid w:val="005A4F2C"/>
    <w:rsid w:val="005A50E4"/>
    <w:rsid w:val="005A5201"/>
    <w:rsid w:val="005A521F"/>
    <w:rsid w:val="005A5307"/>
    <w:rsid w:val="005A532F"/>
    <w:rsid w:val="005A5338"/>
    <w:rsid w:val="005A544A"/>
    <w:rsid w:val="005A5486"/>
    <w:rsid w:val="005A54C8"/>
    <w:rsid w:val="005A556E"/>
    <w:rsid w:val="005A55C2"/>
    <w:rsid w:val="005A55EE"/>
    <w:rsid w:val="005A5613"/>
    <w:rsid w:val="005A566C"/>
    <w:rsid w:val="005A585D"/>
    <w:rsid w:val="005A58CB"/>
    <w:rsid w:val="005A5AB1"/>
    <w:rsid w:val="005A5B9C"/>
    <w:rsid w:val="005A5D39"/>
    <w:rsid w:val="005A5D4C"/>
    <w:rsid w:val="005A5D4D"/>
    <w:rsid w:val="005A5E04"/>
    <w:rsid w:val="005A5EB2"/>
    <w:rsid w:val="005A5EB9"/>
    <w:rsid w:val="005A6127"/>
    <w:rsid w:val="005A6207"/>
    <w:rsid w:val="005A622D"/>
    <w:rsid w:val="005A64C8"/>
    <w:rsid w:val="005A64F4"/>
    <w:rsid w:val="005A6651"/>
    <w:rsid w:val="005A677B"/>
    <w:rsid w:val="005A67FC"/>
    <w:rsid w:val="005A68D6"/>
    <w:rsid w:val="005A6922"/>
    <w:rsid w:val="005A697D"/>
    <w:rsid w:val="005A6A0C"/>
    <w:rsid w:val="005A6AD3"/>
    <w:rsid w:val="005A6C0F"/>
    <w:rsid w:val="005A6CA2"/>
    <w:rsid w:val="005A6D07"/>
    <w:rsid w:val="005A6E67"/>
    <w:rsid w:val="005A6E7F"/>
    <w:rsid w:val="005A6EA9"/>
    <w:rsid w:val="005A6F7E"/>
    <w:rsid w:val="005A6FD2"/>
    <w:rsid w:val="005A6FF2"/>
    <w:rsid w:val="005A705C"/>
    <w:rsid w:val="005A7197"/>
    <w:rsid w:val="005A71D0"/>
    <w:rsid w:val="005A71FB"/>
    <w:rsid w:val="005A72A6"/>
    <w:rsid w:val="005A72EF"/>
    <w:rsid w:val="005A7379"/>
    <w:rsid w:val="005A73C8"/>
    <w:rsid w:val="005A7407"/>
    <w:rsid w:val="005A742F"/>
    <w:rsid w:val="005A7449"/>
    <w:rsid w:val="005A74F2"/>
    <w:rsid w:val="005A7568"/>
    <w:rsid w:val="005A759B"/>
    <w:rsid w:val="005A76B8"/>
    <w:rsid w:val="005A76D7"/>
    <w:rsid w:val="005A77B9"/>
    <w:rsid w:val="005A79A7"/>
    <w:rsid w:val="005A7A0B"/>
    <w:rsid w:val="005A7A85"/>
    <w:rsid w:val="005A7BF0"/>
    <w:rsid w:val="005A7BF9"/>
    <w:rsid w:val="005A7F73"/>
    <w:rsid w:val="005B0015"/>
    <w:rsid w:val="005B0108"/>
    <w:rsid w:val="005B02E6"/>
    <w:rsid w:val="005B02E7"/>
    <w:rsid w:val="005B0385"/>
    <w:rsid w:val="005B038D"/>
    <w:rsid w:val="005B03B4"/>
    <w:rsid w:val="005B0411"/>
    <w:rsid w:val="005B041E"/>
    <w:rsid w:val="005B0457"/>
    <w:rsid w:val="005B0474"/>
    <w:rsid w:val="005B04B6"/>
    <w:rsid w:val="005B052F"/>
    <w:rsid w:val="005B054B"/>
    <w:rsid w:val="005B054F"/>
    <w:rsid w:val="005B0623"/>
    <w:rsid w:val="005B06AD"/>
    <w:rsid w:val="005B06BB"/>
    <w:rsid w:val="005B06C7"/>
    <w:rsid w:val="005B0809"/>
    <w:rsid w:val="005B0818"/>
    <w:rsid w:val="005B09C3"/>
    <w:rsid w:val="005B0A4F"/>
    <w:rsid w:val="005B0A82"/>
    <w:rsid w:val="005B0D47"/>
    <w:rsid w:val="005B0EBA"/>
    <w:rsid w:val="005B0F45"/>
    <w:rsid w:val="005B1011"/>
    <w:rsid w:val="005B1201"/>
    <w:rsid w:val="005B122C"/>
    <w:rsid w:val="005B1264"/>
    <w:rsid w:val="005B1383"/>
    <w:rsid w:val="005B14C6"/>
    <w:rsid w:val="005B1542"/>
    <w:rsid w:val="005B15A1"/>
    <w:rsid w:val="005B15AD"/>
    <w:rsid w:val="005B16E4"/>
    <w:rsid w:val="005B174E"/>
    <w:rsid w:val="005B184C"/>
    <w:rsid w:val="005B18F6"/>
    <w:rsid w:val="005B1A75"/>
    <w:rsid w:val="005B1CF9"/>
    <w:rsid w:val="005B1E09"/>
    <w:rsid w:val="005B1E2C"/>
    <w:rsid w:val="005B1F02"/>
    <w:rsid w:val="005B1F05"/>
    <w:rsid w:val="005B1F56"/>
    <w:rsid w:val="005B20F7"/>
    <w:rsid w:val="005B232A"/>
    <w:rsid w:val="005B2376"/>
    <w:rsid w:val="005B275C"/>
    <w:rsid w:val="005B2864"/>
    <w:rsid w:val="005B28A2"/>
    <w:rsid w:val="005B292B"/>
    <w:rsid w:val="005B29B9"/>
    <w:rsid w:val="005B2BDD"/>
    <w:rsid w:val="005B2C30"/>
    <w:rsid w:val="005B2C37"/>
    <w:rsid w:val="005B2CAE"/>
    <w:rsid w:val="005B2D95"/>
    <w:rsid w:val="005B2ED6"/>
    <w:rsid w:val="005B2F2A"/>
    <w:rsid w:val="005B2FA7"/>
    <w:rsid w:val="005B2FCB"/>
    <w:rsid w:val="005B2FE8"/>
    <w:rsid w:val="005B3103"/>
    <w:rsid w:val="005B3123"/>
    <w:rsid w:val="005B3142"/>
    <w:rsid w:val="005B32C1"/>
    <w:rsid w:val="005B3328"/>
    <w:rsid w:val="005B3348"/>
    <w:rsid w:val="005B3355"/>
    <w:rsid w:val="005B3416"/>
    <w:rsid w:val="005B34AC"/>
    <w:rsid w:val="005B35BB"/>
    <w:rsid w:val="005B365A"/>
    <w:rsid w:val="005B36AA"/>
    <w:rsid w:val="005B3874"/>
    <w:rsid w:val="005B38DD"/>
    <w:rsid w:val="005B39FD"/>
    <w:rsid w:val="005B3A32"/>
    <w:rsid w:val="005B3B68"/>
    <w:rsid w:val="005B3B97"/>
    <w:rsid w:val="005B3BC0"/>
    <w:rsid w:val="005B3CA7"/>
    <w:rsid w:val="005B3CCA"/>
    <w:rsid w:val="005B3CD7"/>
    <w:rsid w:val="005B3EEC"/>
    <w:rsid w:val="005B406D"/>
    <w:rsid w:val="005B428E"/>
    <w:rsid w:val="005B42D7"/>
    <w:rsid w:val="005B44F3"/>
    <w:rsid w:val="005B4586"/>
    <w:rsid w:val="005B45CA"/>
    <w:rsid w:val="005B4765"/>
    <w:rsid w:val="005B47CB"/>
    <w:rsid w:val="005B4809"/>
    <w:rsid w:val="005B4895"/>
    <w:rsid w:val="005B48B9"/>
    <w:rsid w:val="005B4A98"/>
    <w:rsid w:val="005B4ADB"/>
    <w:rsid w:val="005B4C84"/>
    <w:rsid w:val="005B4D58"/>
    <w:rsid w:val="005B4D7C"/>
    <w:rsid w:val="005B4DE8"/>
    <w:rsid w:val="005B4F0E"/>
    <w:rsid w:val="005B4FB2"/>
    <w:rsid w:val="005B50A0"/>
    <w:rsid w:val="005B50D3"/>
    <w:rsid w:val="005B5114"/>
    <w:rsid w:val="005B540B"/>
    <w:rsid w:val="005B5421"/>
    <w:rsid w:val="005B5457"/>
    <w:rsid w:val="005B54D5"/>
    <w:rsid w:val="005B54ED"/>
    <w:rsid w:val="005B5675"/>
    <w:rsid w:val="005B5688"/>
    <w:rsid w:val="005B56CD"/>
    <w:rsid w:val="005B56EC"/>
    <w:rsid w:val="005B587B"/>
    <w:rsid w:val="005B58E3"/>
    <w:rsid w:val="005B5964"/>
    <w:rsid w:val="005B5C77"/>
    <w:rsid w:val="005B5EE3"/>
    <w:rsid w:val="005B5F68"/>
    <w:rsid w:val="005B60A9"/>
    <w:rsid w:val="005B61F0"/>
    <w:rsid w:val="005B61F7"/>
    <w:rsid w:val="005B62AA"/>
    <w:rsid w:val="005B637E"/>
    <w:rsid w:val="005B640A"/>
    <w:rsid w:val="005B649C"/>
    <w:rsid w:val="005B669E"/>
    <w:rsid w:val="005B68AB"/>
    <w:rsid w:val="005B68AC"/>
    <w:rsid w:val="005B6972"/>
    <w:rsid w:val="005B69E9"/>
    <w:rsid w:val="005B6BF7"/>
    <w:rsid w:val="005B6C24"/>
    <w:rsid w:val="005B6C2A"/>
    <w:rsid w:val="005B6C5B"/>
    <w:rsid w:val="005B6CCD"/>
    <w:rsid w:val="005B6D67"/>
    <w:rsid w:val="005B6E3D"/>
    <w:rsid w:val="005B6EBF"/>
    <w:rsid w:val="005B6F99"/>
    <w:rsid w:val="005B6FCD"/>
    <w:rsid w:val="005B72FF"/>
    <w:rsid w:val="005B7425"/>
    <w:rsid w:val="005B7451"/>
    <w:rsid w:val="005B74A8"/>
    <w:rsid w:val="005B7586"/>
    <w:rsid w:val="005B76E8"/>
    <w:rsid w:val="005B77AC"/>
    <w:rsid w:val="005B7891"/>
    <w:rsid w:val="005B78B0"/>
    <w:rsid w:val="005B7902"/>
    <w:rsid w:val="005B7A47"/>
    <w:rsid w:val="005B7A55"/>
    <w:rsid w:val="005B7C0D"/>
    <w:rsid w:val="005B7F86"/>
    <w:rsid w:val="005C0059"/>
    <w:rsid w:val="005C022D"/>
    <w:rsid w:val="005C02DB"/>
    <w:rsid w:val="005C05E9"/>
    <w:rsid w:val="005C063B"/>
    <w:rsid w:val="005C066D"/>
    <w:rsid w:val="005C06BE"/>
    <w:rsid w:val="005C06E1"/>
    <w:rsid w:val="005C0875"/>
    <w:rsid w:val="005C087C"/>
    <w:rsid w:val="005C09B0"/>
    <w:rsid w:val="005C09F2"/>
    <w:rsid w:val="005C0ACD"/>
    <w:rsid w:val="005C0B98"/>
    <w:rsid w:val="005C0BE9"/>
    <w:rsid w:val="005C0C7A"/>
    <w:rsid w:val="005C0CE2"/>
    <w:rsid w:val="005C0D76"/>
    <w:rsid w:val="005C0DC9"/>
    <w:rsid w:val="005C0E46"/>
    <w:rsid w:val="005C0E97"/>
    <w:rsid w:val="005C0E9A"/>
    <w:rsid w:val="005C0EA8"/>
    <w:rsid w:val="005C0ECC"/>
    <w:rsid w:val="005C143F"/>
    <w:rsid w:val="005C1477"/>
    <w:rsid w:val="005C1503"/>
    <w:rsid w:val="005C1549"/>
    <w:rsid w:val="005C15B3"/>
    <w:rsid w:val="005C15C3"/>
    <w:rsid w:val="005C1711"/>
    <w:rsid w:val="005C1723"/>
    <w:rsid w:val="005C1781"/>
    <w:rsid w:val="005C1839"/>
    <w:rsid w:val="005C1908"/>
    <w:rsid w:val="005C1A85"/>
    <w:rsid w:val="005C1FE2"/>
    <w:rsid w:val="005C1FE3"/>
    <w:rsid w:val="005C2013"/>
    <w:rsid w:val="005C20EF"/>
    <w:rsid w:val="005C20F6"/>
    <w:rsid w:val="005C2113"/>
    <w:rsid w:val="005C220F"/>
    <w:rsid w:val="005C24E1"/>
    <w:rsid w:val="005C25D3"/>
    <w:rsid w:val="005C260C"/>
    <w:rsid w:val="005C260D"/>
    <w:rsid w:val="005C276D"/>
    <w:rsid w:val="005C27F8"/>
    <w:rsid w:val="005C28A2"/>
    <w:rsid w:val="005C296A"/>
    <w:rsid w:val="005C2978"/>
    <w:rsid w:val="005C2A63"/>
    <w:rsid w:val="005C2A79"/>
    <w:rsid w:val="005C2A80"/>
    <w:rsid w:val="005C2ACD"/>
    <w:rsid w:val="005C2AF5"/>
    <w:rsid w:val="005C2BB6"/>
    <w:rsid w:val="005C2C8B"/>
    <w:rsid w:val="005C2CAC"/>
    <w:rsid w:val="005C2DBC"/>
    <w:rsid w:val="005C2DE8"/>
    <w:rsid w:val="005C2DFB"/>
    <w:rsid w:val="005C2E54"/>
    <w:rsid w:val="005C3340"/>
    <w:rsid w:val="005C370E"/>
    <w:rsid w:val="005C3929"/>
    <w:rsid w:val="005C393F"/>
    <w:rsid w:val="005C395D"/>
    <w:rsid w:val="005C3981"/>
    <w:rsid w:val="005C39B0"/>
    <w:rsid w:val="005C3A37"/>
    <w:rsid w:val="005C3AB5"/>
    <w:rsid w:val="005C3AF2"/>
    <w:rsid w:val="005C3BAB"/>
    <w:rsid w:val="005C3C61"/>
    <w:rsid w:val="005C3C7F"/>
    <w:rsid w:val="005C3CDA"/>
    <w:rsid w:val="005C3CDF"/>
    <w:rsid w:val="005C3F69"/>
    <w:rsid w:val="005C3FF1"/>
    <w:rsid w:val="005C40F7"/>
    <w:rsid w:val="005C41DE"/>
    <w:rsid w:val="005C430E"/>
    <w:rsid w:val="005C44B3"/>
    <w:rsid w:val="005C4521"/>
    <w:rsid w:val="005C4543"/>
    <w:rsid w:val="005C4704"/>
    <w:rsid w:val="005C4742"/>
    <w:rsid w:val="005C4754"/>
    <w:rsid w:val="005C4769"/>
    <w:rsid w:val="005C48E7"/>
    <w:rsid w:val="005C4979"/>
    <w:rsid w:val="005C4B08"/>
    <w:rsid w:val="005C4BE4"/>
    <w:rsid w:val="005C4D11"/>
    <w:rsid w:val="005C4DCF"/>
    <w:rsid w:val="005C4E2B"/>
    <w:rsid w:val="005C4F6D"/>
    <w:rsid w:val="005C501A"/>
    <w:rsid w:val="005C5064"/>
    <w:rsid w:val="005C506A"/>
    <w:rsid w:val="005C50C7"/>
    <w:rsid w:val="005C50F7"/>
    <w:rsid w:val="005C514D"/>
    <w:rsid w:val="005C5179"/>
    <w:rsid w:val="005C529D"/>
    <w:rsid w:val="005C5342"/>
    <w:rsid w:val="005C53A1"/>
    <w:rsid w:val="005C53D0"/>
    <w:rsid w:val="005C5484"/>
    <w:rsid w:val="005C55EE"/>
    <w:rsid w:val="005C564D"/>
    <w:rsid w:val="005C5794"/>
    <w:rsid w:val="005C579A"/>
    <w:rsid w:val="005C57E8"/>
    <w:rsid w:val="005C58B3"/>
    <w:rsid w:val="005C5969"/>
    <w:rsid w:val="005C5983"/>
    <w:rsid w:val="005C5A4C"/>
    <w:rsid w:val="005C5ADE"/>
    <w:rsid w:val="005C5B48"/>
    <w:rsid w:val="005C5B4F"/>
    <w:rsid w:val="005C5B98"/>
    <w:rsid w:val="005C5C11"/>
    <w:rsid w:val="005C5C33"/>
    <w:rsid w:val="005C5D8A"/>
    <w:rsid w:val="005C5D96"/>
    <w:rsid w:val="005C5DC6"/>
    <w:rsid w:val="005C5EA5"/>
    <w:rsid w:val="005C5EE8"/>
    <w:rsid w:val="005C5F57"/>
    <w:rsid w:val="005C60A6"/>
    <w:rsid w:val="005C60DA"/>
    <w:rsid w:val="005C6154"/>
    <w:rsid w:val="005C61B9"/>
    <w:rsid w:val="005C624A"/>
    <w:rsid w:val="005C62FE"/>
    <w:rsid w:val="005C6340"/>
    <w:rsid w:val="005C63E8"/>
    <w:rsid w:val="005C63EE"/>
    <w:rsid w:val="005C6408"/>
    <w:rsid w:val="005C647E"/>
    <w:rsid w:val="005C6486"/>
    <w:rsid w:val="005C651F"/>
    <w:rsid w:val="005C65F6"/>
    <w:rsid w:val="005C66D5"/>
    <w:rsid w:val="005C6742"/>
    <w:rsid w:val="005C68F4"/>
    <w:rsid w:val="005C693C"/>
    <w:rsid w:val="005C6B14"/>
    <w:rsid w:val="005C6C78"/>
    <w:rsid w:val="005C6D5D"/>
    <w:rsid w:val="005C6EDE"/>
    <w:rsid w:val="005C6FA5"/>
    <w:rsid w:val="005C7063"/>
    <w:rsid w:val="005C7106"/>
    <w:rsid w:val="005C73BC"/>
    <w:rsid w:val="005C74B2"/>
    <w:rsid w:val="005C74E1"/>
    <w:rsid w:val="005C7630"/>
    <w:rsid w:val="005C765D"/>
    <w:rsid w:val="005C7BCA"/>
    <w:rsid w:val="005C7CF9"/>
    <w:rsid w:val="005C7D47"/>
    <w:rsid w:val="005C7E6E"/>
    <w:rsid w:val="005C7F43"/>
    <w:rsid w:val="005C7F48"/>
    <w:rsid w:val="005C7FF5"/>
    <w:rsid w:val="005C83A3"/>
    <w:rsid w:val="005D03EF"/>
    <w:rsid w:val="005D03FE"/>
    <w:rsid w:val="005D0547"/>
    <w:rsid w:val="005D05A5"/>
    <w:rsid w:val="005D07C5"/>
    <w:rsid w:val="005D07E5"/>
    <w:rsid w:val="005D0804"/>
    <w:rsid w:val="005D093F"/>
    <w:rsid w:val="005D097C"/>
    <w:rsid w:val="005D0B05"/>
    <w:rsid w:val="005D0B0F"/>
    <w:rsid w:val="005D0CBF"/>
    <w:rsid w:val="005D0D50"/>
    <w:rsid w:val="005D0E32"/>
    <w:rsid w:val="005D1259"/>
    <w:rsid w:val="005D13E4"/>
    <w:rsid w:val="005D14D1"/>
    <w:rsid w:val="005D14F6"/>
    <w:rsid w:val="005D154C"/>
    <w:rsid w:val="005D161F"/>
    <w:rsid w:val="005D1708"/>
    <w:rsid w:val="005D1780"/>
    <w:rsid w:val="005D1785"/>
    <w:rsid w:val="005D17C5"/>
    <w:rsid w:val="005D17ED"/>
    <w:rsid w:val="005D18C0"/>
    <w:rsid w:val="005D1948"/>
    <w:rsid w:val="005D19C9"/>
    <w:rsid w:val="005D19CC"/>
    <w:rsid w:val="005D1A37"/>
    <w:rsid w:val="005D1A5F"/>
    <w:rsid w:val="005D1AA0"/>
    <w:rsid w:val="005D1B0C"/>
    <w:rsid w:val="005D1B7E"/>
    <w:rsid w:val="005D1BF7"/>
    <w:rsid w:val="005D1C03"/>
    <w:rsid w:val="005D1C8F"/>
    <w:rsid w:val="005D1C9B"/>
    <w:rsid w:val="005D1CC0"/>
    <w:rsid w:val="005D1CF9"/>
    <w:rsid w:val="005D1D09"/>
    <w:rsid w:val="005D1E71"/>
    <w:rsid w:val="005D1F7C"/>
    <w:rsid w:val="005D1FC0"/>
    <w:rsid w:val="005D1FE0"/>
    <w:rsid w:val="005D1FEA"/>
    <w:rsid w:val="005D2021"/>
    <w:rsid w:val="005D20A7"/>
    <w:rsid w:val="005D216C"/>
    <w:rsid w:val="005D23BA"/>
    <w:rsid w:val="005D2405"/>
    <w:rsid w:val="005D2436"/>
    <w:rsid w:val="005D24AD"/>
    <w:rsid w:val="005D24BC"/>
    <w:rsid w:val="005D253D"/>
    <w:rsid w:val="005D25A1"/>
    <w:rsid w:val="005D263D"/>
    <w:rsid w:val="005D296A"/>
    <w:rsid w:val="005D2976"/>
    <w:rsid w:val="005D29C5"/>
    <w:rsid w:val="005D2B3D"/>
    <w:rsid w:val="005D2BC9"/>
    <w:rsid w:val="005D2BEF"/>
    <w:rsid w:val="005D2C41"/>
    <w:rsid w:val="005D2C8B"/>
    <w:rsid w:val="005D2CE8"/>
    <w:rsid w:val="005D2CF5"/>
    <w:rsid w:val="005D2D2C"/>
    <w:rsid w:val="005D2E22"/>
    <w:rsid w:val="005D3197"/>
    <w:rsid w:val="005D31A1"/>
    <w:rsid w:val="005D323D"/>
    <w:rsid w:val="005D329E"/>
    <w:rsid w:val="005D32C2"/>
    <w:rsid w:val="005D3361"/>
    <w:rsid w:val="005D3398"/>
    <w:rsid w:val="005D3661"/>
    <w:rsid w:val="005D3687"/>
    <w:rsid w:val="005D3817"/>
    <w:rsid w:val="005D386E"/>
    <w:rsid w:val="005D3A37"/>
    <w:rsid w:val="005D3B36"/>
    <w:rsid w:val="005D3CC6"/>
    <w:rsid w:val="005D3D7E"/>
    <w:rsid w:val="005D3E6E"/>
    <w:rsid w:val="005D3ED9"/>
    <w:rsid w:val="005D4069"/>
    <w:rsid w:val="005D4212"/>
    <w:rsid w:val="005D4245"/>
    <w:rsid w:val="005D4372"/>
    <w:rsid w:val="005D4393"/>
    <w:rsid w:val="005D442E"/>
    <w:rsid w:val="005D44C5"/>
    <w:rsid w:val="005D454C"/>
    <w:rsid w:val="005D45AA"/>
    <w:rsid w:val="005D45E4"/>
    <w:rsid w:val="005D45FE"/>
    <w:rsid w:val="005D4685"/>
    <w:rsid w:val="005D471B"/>
    <w:rsid w:val="005D483C"/>
    <w:rsid w:val="005D48AD"/>
    <w:rsid w:val="005D48B4"/>
    <w:rsid w:val="005D4963"/>
    <w:rsid w:val="005D49BE"/>
    <w:rsid w:val="005D4A36"/>
    <w:rsid w:val="005D4AD1"/>
    <w:rsid w:val="005D4CD6"/>
    <w:rsid w:val="005D4D02"/>
    <w:rsid w:val="005D4E73"/>
    <w:rsid w:val="005D4E77"/>
    <w:rsid w:val="005D4EF5"/>
    <w:rsid w:val="005D5048"/>
    <w:rsid w:val="005D50D9"/>
    <w:rsid w:val="005D525D"/>
    <w:rsid w:val="005D529C"/>
    <w:rsid w:val="005D52D7"/>
    <w:rsid w:val="005D5340"/>
    <w:rsid w:val="005D5345"/>
    <w:rsid w:val="005D53AA"/>
    <w:rsid w:val="005D53B7"/>
    <w:rsid w:val="005D5433"/>
    <w:rsid w:val="005D543D"/>
    <w:rsid w:val="005D5483"/>
    <w:rsid w:val="005D54A4"/>
    <w:rsid w:val="005D55C4"/>
    <w:rsid w:val="005D5661"/>
    <w:rsid w:val="005D5672"/>
    <w:rsid w:val="005D5754"/>
    <w:rsid w:val="005D5C32"/>
    <w:rsid w:val="005D5D4B"/>
    <w:rsid w:val="005D5F10"/>
    <w:rsid w:val="005D5F99"/>
    <w:rsid w:val="005D5FE9"/>
    <w:rsid w:val="005D601F"/>
    <w:rsid w:val="005D60DB"/>
    <w:rsid w:val="005D60E2"/>
    <w:rsid w:val="005D60F1"/>
    <w:rsid w:val="005D618E"/>
    <w:rsid w:val="005D61E8"/>
    <w:rsid w:val="005D624E"/>
    <w:rsid w:val="005D6302"/>
    <w:rsid w:val="005D6341"/>
    <w:rsid w:val="005D6400"/>
    <w:rsid w:val="005D6416"/>
    <w:rsid w:val="005D6450"/>
    <w:rsid w:val="005D675A"/>
    <w:rsid w:val="005D67D7"/>
    <w:rsid w:val="005D6B56"/>
    <w:rsid w:val="005D6B8B"/>
    <w:rsid w:val="005D6BC7"/>
    <w:rsid w:val="005D6D2A"/>
    <w:rsid w:val="005D6DE3"/>
    <w:rsid w:val="005D6E6B"/>
    <w:rsid w:val="005D6F67"/>
    <w:rsid w:val="005D6FA0"/>
    <w:rsid w:val="005D6FAF"/>
    <w:rsid w:val="005D6FC6"/>
    <w:rsid w:val="005D7006"/>
    <w:rsid w:val="005D7045"/>
    <w:rsid w:val="005D7139"/>
    <w:rsid w:val="005D717D"/>
    <w:rsid w:val="005D723F"/>
    <w:rsid w:val="005D734F"/>
    <w:rsid w:val="005D7361"/>
    <w:rsid w:val="005D73D8"/>
    <w:rsid w:val="005D7503"/>
    <w:rsid w:val="005D7572"/>
    <w:rsid w:val="005D7662"/>
    <w:rsid w:val="005D7671"/>
    <w:rsid w:val="005D787B"/>
    <w:rsid w:val="005D7949"/>
    <w:rsid w:val="005D7972"/>
    <w:rsid w:val="005D7A04"/>
    <w:rsid w:val="005D7ACD"/>
    <w:rsid w:val="005D7B4E"/>
    <w:rsid w:val="005D7C70"/>
    <w:rsid w:val="005D7DCC"/>
    <w:rsid w:val="005D7E1B"/>
    <w:rsid w:val="005D7F76"/>
    <w:rsid w:val="005E007C"/>
    <w:rsid w:val="005E00AC"/>
    <w:rsid w:val="005E0182"/>
    <w:rsid w:val="005E0184"/>
    <w:rsid w:val="005E026F"/>
    <w:rsid w:val="005E02BC"/>
    <w:rsid w:val="005E03E3"/>
    <w:rsid w:val="005E0437"/>
    <w:rsid w:val="005E06AD"/>
    <w:rsid w:val="005E06D2"/>
    <w:rsid w:val="005E075C"/>
    <w:rsid w:val="005E0765"/>
    <w:rsid w:val="005E07EC"/>
    <w:rsid w:val="005E07F9"/>
    <w:rsid w:val="005E097A"/>
    <w:rsid w:val="005E09D1"/>
    <w:rsid w:val="005E0A31"/>
    <w:rsid w:val="005E0A39"/>
    <w:rsid w:val="005E0AC1"/>
    <w:rsid w:val="005E0AE0"/>
    <w:rsid w:val="005E0CCA"/>
    <w:rsid w:val="005E0D3D"/>
    <w:rsid w:val="005E0D7E"/>
    <w:rsid w:val="005E1039"/>
    <w:rsid w:val="005E1081"/>
    <w:rsid w:val="005E11A4"/>
    <w:rsid w:val="005E11B9"/>
    <w:rsid w:val="005E11F9"/>
    <w:rsid w:val="005E1243"/>
    <w:rsid w:val="005E12D1"/>
    <w:rsid w:val="005E12D7"/>
    <w:rsid w:val="005E155F"/>
    <w:rsid w:val="005E15A3"/>
    <w:rsid w:val="005E15C1"/>
    <w:rsid w:val="005E15FA"/>
    <w:rsid w:val="005E16A8"/>
    <w:rsid w:val="005E175F"/>
    <w:rsid w:val="005E1780"/>
    <w:rsid w:val="005E17D8"/>
    <w:rsid w:val="005E17D9"/>
    <w:rsid w:val="005E1A21"/>
    <w:rsid w:val="005E1A43"/>
    <w:rsid w:val="005E1ABA"/>
    <w:rsid w:val="005E1AED"/>
    <w:rsid w:val="005E1BAF"/>
    <w:rsid w:val="005E1C4C"/>
    <w:rsid w:val="005E1DB1"/>
    <w:rsid w:val="005E1E93"/>
    <w:rsid w:val="005E1EC0"/>
    <w:rsid w:val="005E1FC9"/>
    <w:rsid w:val="005E208E"/>
    <w:rsid w:val="005E20EB"/>
    <w:rsid w:val="005E2119"/>
    <w:rsid w:val="005E2235"/>
    <w:rsid w:val="005E22FB"/>
    <w:rsid w:val="005E2319"/>
    <w:rsid w:val="005E2338"/>
    <w:rsid w:val="005E2422"/>
    <w:rsid w:val="005E2711"/>
    <w:rsid w:val="005E27A6"/>
    <w:rsid w:val="005E2A98"/>
    <w:rsid w:val="005E2B2C"/>
    <w:rsid w:val="005E2E3A"/>
    <w:rsid w:val="005E2EB9"/>
    <w:rsid w:val="005E2F06"/>
    <w:rsid w:val="005E2F49"/>
    <w:rsid w:val="005E3011"/>
    <w:rsid w:val="005E3039"/>
    <w:rsid w:val="005E3275"/>
    <w:rsid w:val="005E3279"/>
    <w:rsid w:val="005E34F0"/>
    <w:rsid w:val="005E3503"/>
    <w:rsid w:val="005E3595"/>
    <w:rsid w:val="005E35E9"/>
    <w:rsid w:val="005E35FC"/>
    <w:rsid w:val="005E360E"/>
    <w:rsid w:val="005E3706"/>
    <w:rsid w:val="005E381C"/>
    <w:rsid w:val="005E39F4"/>
    <w:rsid w:val="005E3B04"/>
    <w:rsid w:val="005E3CBB"/>
    <w:rsid w:val="005E3E1F"/>
    <w:rsid w:val="005E3E71"/>
    <w:rsid w:val="005E3FD4"/>
    <w:rsid w:val="005E3FEC"/>
    <w:rsid w:val="005E43AE"/>
    <w:rsid w:val="005E4434"/>
    <w:rsid w:val="005E45BC"/>
    <w:rsid w:val="005E4682"/>
    <w:rsid w:val="005E47C9"/>
    <w:rsid w:val="005E47CA"/>
    <w:rsid w:val="005E4810"/>
    <w:rsid w:val="005E482B"/>
    <w:rsid w:val="005E4881"/>
    <w:rsid w:val="005E48A2"/>
    <w:rsid w:val="005E48B1"/>
    <w:rsid w:val="005E4AB0"/>
    <w:rsid w:val="005E4AF4"/>
    <w:rsid w:val="005E4BED"/>
    <w:rsid w:val="005E4CB4"/>
    <w:rsid w:val="005E4D32"/>
    <w:rsid w:val="005E4E46"/>
    <w:rsid w:val="005E4F15"/>
    <w:rsid w:val="005E4FF4"/>
    <w:rsid w:val="005E50FF"/>
    <w:rsid w:val="005E51E5"/>
    <w:rsid w:val="005E52B1"/>
    <w:rsid w:val="005E5375"/>
    <w:rsid w:val="005E538C"/>
    <w:rsid w:val="005E56D4"/>
    <w:rsid w:val="005E56F9"/>
    <w:rsid w:val="005E5704"/>
    <w:rsid w:val="005E597E"/>
    <w:rsid w:val="005E5B35"/>
    <w:rsid w:val="005E5BAC"/>
    <w:rsid w:val="005E5D1C"/>
    <w:rsid w:val="005E5DEF"/>
    <w:rsid w:val="005E5E74"/>
    <w:rsid w:val="005E5ED8"/>
    <w:rsid w:val="005E5F3D"/>
    <w:rsid w:val="005E61CC"/>
    <w:rsid w:val="005E6207"/>
    <w:rsid w:val="005E64FE"/>
    <w:rsid w:val="005E658C"/>
    <w:rsid w:val="005E65A1"/>
    <w:rsid w:val="005E65EA"/>
    <w:rsid w:val="005E660E"/>
    <w:rsid w:val="005E6775"/>
    <w:rsid w:val="005E688B"/>
    <w:rsid w:val="005E68FC"/>
    <w:rsid w:val="005E69FD"/>
    <w:rsid w:val="005E6A68"/>
    <w:rsid w:val="005E6BB3"/>
    <w:rsid w:val="005E6D65"/>
    <w:rsid w:val="005E6E75"/>
    <w:rsid w:val="005E6EC2"/>
    <w:rsid w:val="005E7000"/>
    <w:rsid w:val="005E70DF"/>
    <w:rsid w:val="005E71D9"/>
    <w:rsid w:val="005E7238"/>
    <w:rsid w:val="005E72A5"/>
    <w:rsid w:val="005E73F7"/>
    <w:rsid w:val="005E746A"/>
    <w:rsid w:val="005E757E"/>
    <w:rsid w:val="005E7590"/>
    <w:rsid w:val="005E76AA"/>
    <w:rsid w:val="005E788F"/>
    <w:rsid w:val="005E7947"/>
    <w:rsid w:val="005E79D2"/>
    <w:rsid w:val="005E7AD5"/>
    <w:rsid w:val="005E7C38"/>
    <w:rsid w:val="005E7C4A"/>
    <w:rsid w:val="005E7D41"/>
    <w:rsid w:val="005E7D72"/>
    <w:rsid w:val="005E7DD6"/>
    <w:rsid w:val="005E7E12"/>
    <w:rsid w:val="005E7F98"/>
    <w:rsid w:val="005E7F9E"/>
    <w:rsid w:val="005F006A"/>
    <w:rsid w:val="005F0174"/>
    <w:rsid w:val="005F0250"/>
    <w:rsid w:val="005F02BD"/>
    <w:rsid w:val="005F04FB"/>
    <w:rsid w:val="005F061B"/>
    <w:rsid w:val="005F07C2"/>
    <w:rsid w:val="005F08C8"/>
    <w:rsid w:val="005F0909"/>
    <w:rsid w:val="005F0A08"/>
    <w:rsid w:val="005F0B77"/>
    <w:rsid w:val="005F0C37"/>
    <w:rsid w:val="005F0C5A"/>
    <w:rsid w:val="005F0D5C"/>
    <w:rsid w:val="005F0DBD"/>
    <w:rsid w:val="005F0DDF"/>
    <w:rsid w:val="005F0E09"/>
    <w:rsid w:val="005F0E40"/>
    <w:rsid w:val="005F105B"/>
    <w:rsid w:val="005F10F9"/>
    <w:rsid w:val="005F10FF"/>
    <w:rsid w:val="005F1491"/>
    <w:rsid w:val="005F14AB"/>
    <w:rsid w:val="005F158A"/>
    <w:rsid w:val="005F1645"/>
    <w:rsid w:val="005F1674"/>
    <w:rsid w:val="005F1736"/>
    <w:rsid w:val="005F18AF"/>
    <w:rsid w:val="005F18DD"/>
    <w:rsid w:val="005F192C"/>
    <w:rsid w:val="005F19A9"/>
    <w:rsid w:val="005F1A0D"/>
    <w:rsid w:val="005F1AAB"/>
    <w:rsid w:val="005F1B64"/>
    <w:rsid w:val="005F1BFB"/>
    <w:rsid w:val="005F1C11"/>
    <w:rsid w:val="005F1C70"/>
    <w:rsid w:val="005F1CDE"/>
    <w:rsid w:val="005F1EB9"/>
    <w:rsid w:val="005F20F3"/>
    <w:rsid w:val="005F2104"/>
    <w:rsid w:val="005F2129"/>
    <w:rsid w:val="005F216E"/>
    <w:rsid w:val="005F21B8"/>
    <w:rsid w:val="005F22FB"/>
    <w:rsid w:val="005F23FB"/>
    <w:rsid w:val="005F2410"/>
    <w:rsid w:val="005F2579"/>
    <w:rsid w:val="005F260E"/>
    <w:rsid w:val="005F2826"/>
    <w:rsid w:val="005F2866"/>
    <w:rsid w:val="005F2DCD"/>
    <w:rsid w:val="005F2E10"/>
    <w:rsid w:val="005F2E35"/>
    <w:rsid w:val="005F2FF2"/>
    <w:rsid w:val="005F316C"/>
    <w:rsid w:val="005F339F"/>
    <w:rsid w:val="005F353C"/>
    <w:rsid w:val="005F35CF"/>
    <w:rsid w:val="005F384B"/>
    <w:rsid w:val="005F38CD"/>
    <w:rsid w:val="005F39C8"/>
    <w:rsid w:val="005F39FB"/>
    <w:rsid w:val="005F3A3F"/>
    <w:rsid w:val="005F3B78"/>
    <w:rsid w:val="005F3BA6"/>
    <w:rsid w:val="005F3C0C"/>
    <w:rsid w:val="005F3D76"/>
    <w:rsid w:val="005F3FD6"/>
    <w:rsid w:val="005F4105"/>
    <w:rsid w:val="005F4225"/>
    <w:rsid w:val="005F429B"/>
    <w:rsid w:val="005F42FC"/>
    <w:rsid w:val="005F433F"/>
    <w:rsid w:val="005F4552"/>
    <w:rsid w:val="005F4585"/>
    <w:rsid w:val="005F45BC"/>
    <w:rsid w:val="005F4633"/>
    <w:rsid w:val="005F4679"/>
    <w:rsid w:val="005F46B6"/>
    <w:rsid w:val="005F4794"/>
    <w:rsid w:val="005F49A4"/>
    <w:rsid w:val="005F4ADF"/>
    <w:rsid w:val="005F4D33"/>
    <w:rsid w:val="005F4D5E"/>
    <w:rsid w:val="005F4D9A"/>
    <w:rsid w:val="005F4EEE"/>
    <w:rsid w:val="005F4F41"/>
    <w:rsid w:val="005F500B"/>
    <w:rsid w:val="005F5026"/>
    <w:rsid w:val="005F5087"/>
    <w:rsid w:val="005F509B"/>
    <w:rsid w:val="005F51D8"/>
    <w:rsid w:val="005F5205"/>
    <w:rsid w:val="005F5404"/>
    <w:rsid w:val="005F5427"/>
    <w:rsid w:val="005F54DD"/>
    <w:rsid w:val="005F554A"/>
    <w:rsid w:val="005F55C6"/>
    <w:rsid w:val="005F56A1"/>
    <w:rsid w:val="005F5747"/>
    <w:rsid w:val="005F5756"/>
    <w:rsid w:val="005F57C2"/>
    <w:rsid w:val="005F590B"/>
    <w:rsid w:val="005F5965"/>
    <w:rsid w:val="005F5A6A"/>
    <w:rsid w:val="005F5AD1"/>
    <w:rsid w:val="005F5B69"/>
    <w:rsid w:val="005F5B6A"/>
    <w:rsid w:val="005F5B7F"/>
    <w:rsid w:val="005F5BAB"/>
    <w:rsid w:val="005F5C9B"/>
    <w:rsid w:val="005F5D38"/>
    <w:rsid w:val="005F5D6A"/>
    <w:rsid w:val="005F5F67"/>
    <w:rsid w:val="005F5FDF"/>
    <w:rsid w:val="005F60BC"/>
    <w:rsid w:val="005F60FC"/>
    <w:rsid w:val="005F61A9"/>
    <w:rsid w:val="005F6221"/>
    <w:rsid w:val="005F6275"/>
    <w:rsid w:val="005F62E0"/>
    <w:rsid w:val="005F6342"/>
    <w:rsid w:val="005F6374"/>
    <w:rsid w:val="005F64F7"/>
    <w:rsid w:val="005F678C"/>
    <w:rsid w:val="005F6846"/>
    <w:rsid w:val="005F6941"/>
    <w:rsid w:val="005F6997"/>
    <w:rsid w:val="005F699D"/>
    <w:rsid w:val="005F6A5F"/>
    <w:rsid w:val="005F6BCC"/>
    <w:rsid w:val="005F6C42"/>
    <w:rsid w:val="005F6C77"/>
    <w:rsid w:val="005F6CEF"/>
    <w:rsid w:val="005F6D0E"/>
    <w:rsid w:val="005F6ECF"/>
    <w:rsid w:val="005F6F8A"/>
    <w:rsid w:val="005F6FC3"/>
    <w:rsid w:val="005F7045"/>
    <w:rsid w:val="005F709C"/>
    <w:rsid w:val="005F70E2"/>
    <w:rsid w:val="005F70EC"/>
    <w:rsid w:val="005F7100"/>
    <w:rsid w:val="005F7376"/>
    <w:rsid w:val="005F745C"/>
    <w:rsid w:val="005F75F1"/>
    <w:rsid w:val="005F7641"/>
    <w:rsid w:val="005F778E"/>
    <w:rsid w:val="005F784D"/>
    <w:rsid w:val="005F7920"/>
    <w:rsid w:val="005F7AF4"/>
    <w:rsid w:val="005F7B98"/>
    <w:rsid w:val="005F7BCF"/>
    <w:rsid w:val="005F7E05"/>
    <w:rsid w:val="005F7EE9"/>
    <w:rsid w:val="005F7F69"/>
    <w:rsid w:val="005F95AA"/>
    <w:rsid w:val="0060016F"/>
    <w:rsid w:val="00600213"/>
    <w:rsid w:val="006003ED"/>
    <w:rsid w:val="00600549"/>
    <w:rsid w:val="00600555"/>
    <w:rsid w:val="00600692"/>
    <w:rsid w:val="006006DF"/>
    <w:rsid w:val="00600767"/>
    <w:rsid w:val="00600808"/>
    <w:rsid w:val="006008EE"/>
    <w:rsid w:val="00600964"/>
    <w:rsid w:val="00600A99"/>
    <w:rsid w:val="00600BB6"/>
    <w:rsid w:val="00600C1D"/>
    <w:rsid w:val="00600CC6"/>
    <w:rsid w:val="00600D84"/>
    <w:rsid w:val="00600DAF"/>
    <w:rsid w:val="00600DC9"/>
    <w:rsid w:val="00600EDA"/>
    <w:rsid w:val="00600F4C"/>
    <w:rsid w:val="00600FDE"/>
    <w:rsid w:val="00601161"/>
    <w:rsid w:val="006011D5"/>
    <w:rsid w:val="0060125E"/>
    <w:rsid w:val="0060130B"/>
    <w:rsid w:val="006014AA"/>
    <w:rsid w:val="0060151F"/>
    <w:rsid w:val="00601521"/>
    <w:rsid w:val="0060171D"/>
    <w:rsid w:val="0060180B"/>
    <w:rsid w:val="00601829"/>
    <w:rsid w:val="0060188C"/>
    <w:rsid w:val="00601923"/>
    <w:rsid w:val="00601962"/>
    <w:rsid w:val="006019D4"/>
    <w:rsid w:val="00601BC7"/>
    <w:rsid w:val="00601C54"/>
    <w:rsid w:val="00601CDA"/>
    <w:rsid w:val="00601E57"/>
    <w:rsid w:val="00601F71"/>
    <w:rsid w:val="00601FA1"/>
    <w:rsid w:val="00601FE8"/>
    <w:rsid w:val="0060206C"/>
    <w:rsid w:val="006020AE"/>
    <w:rsid w:val="0060212F"/>
    <w:rsid w:val="006021DF"/>
    <w:rsid w:val="006022BA"/>
    <w:rsid w:val="006024EF"/>
    <w:rsid w:val="006025F5"/>
    <w:rsid w:val="00602650"/>
    <w:rsid w:val="006026A1"/>
    <w:rsid w:val="006026A9"/>
    <w:rsid w:val="00602731"/>
    <w:rsid w:val="00602773"/>
    <w:rsid w:val="006027EE"/>
    <w:rsid w:val="00602B51"/>
    <w:rsid w:val="00602EDB"/>
    <w:rsid w:val="00602F95"/>
    <w:rsid w:val="00603045"/>
    <w:rsid w:val="00603047"/>
    <w:rsid w:val="0060305A"/>
    <w:rsid w:val="0060310F"/>
    <w:rsid w:val="0060311E"/>
    <w:rsid w:val="0060314E"/>
    <w:rsid w:val="0060327C"/>
    <w:rsid w:val="006032EE"/>
    <w:rsid w:val="00603319"/>
    <w:rsid w:val="00603471"/>
    <w:rsid w:val="00603506"/>
    <w:rsid w:val="00603707"/>
    <w:rsid w:val="006037E3"/>
    <w:rsid w:val="0060383E"/>
    <w:rsid w:val="0060386E"/>
    <w:rsid w:val="006038B4"/>
    <w:rsid w:val="00603978"/>
    <w:rsid w:val="00603ABD"/>
    <w:rsid w:val="00603BC6"/>
    <w:rsid w:val="00603DEC"/>
    <w:rsid w:val="00603F25"/>
    <w:rsid w:val="00603F8A"/>
    <w:rsid w:val="00604014"/>
    <w:rsid w:val="0060412F"/>
    <w:rsid w:val="00604140"/>
    <w:rsid w:val="0060417A"/>
    <w:rsid w:val="006041C7"/>
    <w:rsid w:val="0060420B"/>
    <w:rsid w:val="006042A8"/>
    <w:rsid w:val="006042BA"/>
    <w:rsid w:val="006043FA"/>
    <w:rsid w:val="00604435"/>
    <w:rsid w:val="006044AA"/>
    <w:rsid w:val="00604592"/>
    <w:rsid w:val="00604624"/>
    <w:rsid w:val="00604736"/>
    <w:rsid w:val="00604785"/>
    <w:rsid w:val="0060480F"/>
    <w:rsid w:val="00604817"/>
    <w:rsid w:val="00604846"/>
    <w:rsid w:val="0060494B"/>
    <w:rsid w:val="00604AA2"/>
    <w:rsid w:val="00604CA9"/>
    <w:rsid w:val="00604D13"/>
    <w:rsid w:val="00604D3E"/>
    <w:rsid w:val="00604E4A"/>
    <w:rsid w:val="00604E75"/>
    <w:rsid w:val="00604E7D"/>
    <w:rsid w:val="00604E86"/>
    <w:rsid w:val="00604ED0"/>
    <w:rsid w:val="00604F0A"/>
    <w:rsid w:val="00604F34"/>
    <w:rsid w:val="00604F4C"/>
    <w:rsid w:val="00605013"/>
    <w:rsid w:val="00605091"/>
    <w:rsid w:val="00605100"/>
    <w:rsid w:val="00605200"/>
    <w:rsid w:val="0060550C"/>
    <w:rsid w:val="0060556B"/>
    <w:rsid w:val="00605635"/>
    <w:rsid w:val="00605758"/>
    <w:rsid w:val="00605822"/>
    <w:rsid w:val="00605881"/>
    <w:rsid w:val="006058E9"/>
    <w:rsid w:val="00605BAB"/>
    <w:rsid w:val="00605C50"/>
    <w:rsid w:val="00605C97"/>
    <w:rsid w:val="00605EDB"/>
    <w:rsid w:val="00605F0B"/>
    <w:rsid w:val="0060606C"/>
    <w:rsid w:val="00606104"/>
    <w:rsid w:val="0060610F"/>
    <w:rsid w:val="006061EE"/>
    <w:rsid w:val="00606271"/>
    <w:rsid w:val="006062C2"/>
    <w:rsid w:val="00606407"/>
    <w:rsid w:val="00606482"/>
    <w:rsid w:val="006064B9"/>
    <w:rsid w:val="00606593"/>
    <w:rsid w:val="0060660D"/>
    <w:rsid w:val="00606627"/>
    <w:rsid w:val="0060667A"/>
    <w:rsid w:val="0060667C"/>
    <w:rsid w:val="006066C8"/>
    <w:rsid w:val="0060677B"/>
    <w:rsid w:val="006067DE"/>
    <w:rsid w:val="006067FD"/>
    <w:rsid w:val="00606884"/>
    <w:rsid w:val="006068DC"/>
    <w:rsid w:val="006068FA"/>
    <w:rsid w:val="00606B1F"/>
    <w:rsid w:val="00606B3B"/>
    <w:rsid w:val="00606CEB"/>
    <w:rsid w:val="00606DB0"/>
    <w:rsid w:val="00606DF8"/>
    <w:rsid w:val="00606E92"/>
    <w:rsid w:val="00607007"/>
    <w:rsid w:val="00607011"/>
    <w:rsid w:val="006071EF"/>
    <w:rsid w:val="0060726B"/>
    <w:rsid w:val="006072F8"/>
    <w:rsid w:val="00607310"/>
    <w:rsid w:val="00607402"/>
    <w:rsid w:val="00607425"/>
    <w:rsid w:val="006074A2"/>
    <w:rsid w:val="00607569"/>
    <w:rsid w:val="00607A0D"/>
    <w:rsid w:val="00607B5F"/>
    <w:rsid w:val="00607B7C"/>
    <w:rsid w:val="00607C94"/>
    <w:rsid w:val="00607CB0"/>
    <w:rsid w:val="00607D55"/>
    <w:rsid w:val="00607DF2"/>
    <w:rsid w:val="00607E99"/>
    <w:rsid w:val="00607F29"/>
    <w:rsid w:val="00610030"/>
    <w:rsid w:val="006100FA"/>
    <w:rsid w:val="0061012C"/>
    <w:rsid w:val="00610169"/>
    <w:rsid w:val="006101BD"/>
    <w:rsid w:val="00610528"/>
    <w:rsid w:val="006105C4"/>
    <w:rsid w:val="006106F0"/>
    <w:rsid w:val="00610865"/>
    <w:rsid w:val="006108D1"/>
    <w:rsid w:val="00610949"/>
    <w:rsid w:val="00610BED"/>
    <w:rsid w:val="00610C59"/>
    <w:rsid w:val="00610CD3"/>
    <w:rsid w:val="00610CE2"/>
    <w:rsid w:val="00610FB5"/>
    <w:rsid w:val="00610FC4"/>
    <w:rsid w:val="00611017"/>
    <w:rsid w:val="0061108D"/>
    <w:rsid w:val="006110AD"/>
    <w:rsid w:val="006111B8"/>
    <w:rsid w:val="006111C9"/>
    <w:rsid w:val="0061124C"/>
    <w:rsid w:val="00611344"/>
    <w:rsid w:val="006113C6"/>
    <w:rsid w:val="006113F8"/>
    <w:rsid w:val="006114BF"/>
    <w:rsid w:val="006114C2"/>
    <w:rsid w:val="006114C8"/>
    <w:rsid w:val="006115B1"/>
    <w:rsid w:val="006115FC"/>
    <w:rsid w:val="0061183A"/>
    <w:rsid w:val="0061185A"/>
    <w:rsid w:val="006118BA"/>
    <w:rsid w:val="006118BB"/>
    <w:rsid w:val="0061199A"/>
    <w:rsid w:val="00611A37"/>
    <w:rsid w:val="00611A5E"/>
    <w:rsid w:val="00611A61"/>
    <w:rsid w:val="00611A70"/>
    <w:rsid w:val="00611A85"/>
    <w:rsid w:val="00611B26"/>
    <w:rsid w:val="00611C98"/>
    <w:rsid w:val="00611DF7"/>
    <w:rsid w:val="00611F3F"/>
    <w:rsid w:val="00611F73"/>
    <w:rsid w:val="00611FB2"/>
    <w:rsid w:val="006120FA"/>
    <w:rsid w:val="00612109"/>
    <w:rsid w:val="00612113"/>
    <w:rsid w:val="00612135"/>
    <w:rsid w:val="006121FA"/>
    <w:rsid w:val="0061239E"/>
    <w:rsid w:val="00612413"/>
    <w:rsid w:val="00612483"/>
    <w:rsid w:val="0061255F"/>
    <w:rsid w:val="006125D7"/>
    <w:rsid w:val="0061264D"/>
    <w:rsid w:val="00612663"/>
    <w:rsid w:val="0061274A"/>
    <w:rsid w:val="00612835"/>
    <w:rsid w:val="006129B9"/>
    <w:rsid w:val="006129C1"/>
    <w:rsid w:val="00612A17"/>
    <w:rsid w:val="00612AC5"/>
    <w:rsid w:val="00612ADF"/>
    <w:rsid w:val="00612B3A"/>
    <w:rsid w:val="00612B82"/>
    <w:rsid w:val="00612BEE"/>
    <w:rsid w:val="00612C40"/>
    <w:rsid w:val="00612C57"/>
    <w:rsid w:val="00612CC2"/>
    <w:rsid w:val="00612E46"/>
    <w:rsid w:val="00612E94"/>
    <w:rsid w:val="00612EA5"/>
    <w:rsid w:val="00612EAA"/>
    <w:rsid w:val="00612F4C"/>
    <w:rsid w:val="00612FEA"/>
    <w:rsid w:val="00612FFA"/>
    <w:rsid w:val="00613061"/>
    <w:rsid w:val="0061321F"/>
    <w:rsid w:val="00613221"/>
    <w:rsid w:val="00613292"/>
    <w:rsid w:val="006132C3"/>
    <w:rsid w:val="0061333C"/>
    <w:rsid w:val="0061377D"/>
    <w:rsid w:val="0061379C"/>
    <w:rsid w:val="006137E5"/>
    <w:rsid w:val="0061384B"/>
    <w:rsid w:val="0061388C"/>
    <w:rsid w:val="006139B9"/>
    <w:rsid w:val="006139EA"/>
    <w:rsid w:val="00613A05"/>
    <w:rsid w:val="00613AB0"/>
    <w:rsid w:val="00613AE5"/>
    <w:rsid w:val="00613B23"/>
    <w:rsid w:val="00613C25"/>
    <w:rsid w:val="00613CB3"/>
    <w:rsid w:val="00613D2C"/>
    <w:rsid w:val="00613D98"/>
    <w:rsid w:val="00613DBC"/>
    <w:rsid w:val="0061401C"/>
    <w:rsid w:val="00614109"/>
    <w:rsid w:val="00614133"/>
    <w:rsid w:val="00614241"/>
    <w:rsid w:val="00614297"/>
    <w:rsid w:val="006143E5"/>
    <w:rsid w:val="006145BF"/>
    <w:rsid w:val="006145D7"/>
    <w:rsid w:val="00614659"/>
    <w:rsid w:val="0061471E"/>
    <w:rsid w:val="00614766"/>
    <w:rsid w:val="00614772"/>
    <w:rsid w:val="006147B1"/>
    <w:rsid w:val="006147E9"/>
    <w:rsid w:val="006148FE"/>
    <w:rsid w:val="00614938"/>
    <w:rsid w:val="00614A28"/>
    <w:rsid w:val="00614BC2"/>
    <w:rsid w:val="00614DEA"/>
    <w:rsid w:val="00614E51"/>
    <w:rsid w:val="00614FED"/>
    <w:rsid w:val="0061509B"/>
    <w:rsid w:val="0061512A"/>
    <w:rsid w:val="00615184"/>
    <w:rsid w:val="00615512"/>
    <w:rsid w:val="00615542"/>
    <w:rsid w:val="0061563C"/>
    <w:rsid w:val="00615867"/>
    <w:rsid w:val="00615875"/>
    <w:rsid w:val="00615942"/>
    <w:rsid w:val="0061597C"/>
    <w:rsid w:val="0061598F"/>
    <w:rsid w:val="00615B2C"/>
    <w:rsid w:val="00615C3F"/>
    <w:rsid w:val="00615D0A"/>
    <w:rsid w:val="00615DD9"/>
    <w:rsid w:val="00615ECA"/>
    <w:rsid w:val="00616014"/>
    <w:rsid w:val="0061617F"/>
    <w:rsid w:val="006161E0"/>
    <w:rsid w:val="0061657E"/>
    <w:rsid w:val="006165C6"/>
    <w:rsid w:val="0061672D"/>
    <w:rsid w:val="00616742"/>
    <w:rsid w:val="006169A5"/>
    <w:rsid w:val="006169B2"/>
    <w:rsid w:val="006169DC"/>
    <w:rsid w:val="00616C36"/>
    <w:rsid w:val="00616C6C"/>
    <w:rsid w:val="00616FEF"/>
    <w:rsid w:val="00617019"/>
    <w:rsid w:val="00617299"/>
    <w:rsid w:val="006172DD"/>
    <w:rsid w:val="00617384"/>
    <w:rsid w:val="006173A0"/>
    <w:rsid w:val="00617491"/>
    <w:rsid w:val="00617549"/>
    <w:rsid w:val="0061754D"/>
    <w:rsid w:val="006176C5"/>
    <w:rsid w:val="0061782C"/>
    <w:rsid w:val="00617885"/>
    <w:rsid w:val="0061790D"/>
    <w:rsid w:val="006179EB"/>
    <w:rsid w:val="00617CEF"/>
    <w:rsid w:val="00617D33"/>
    <w:rsid w:val="00617D3B"/>
    <w:rsid w:val="00617D7A"/>
    <w:rsid w:val="00617E86"/>
    <w:rsid w:val="00617FE3"/>
    <w:rsid w:val="00620097"/>
    <w:rsid w:val="0062013C"/>
    <w:rsid w:val="00620308"/>
    <w:rsid w:val="006206A6"/>
    <w:rsid w:val="006206DC"/>
    <w:rsid w:val="006207E3"/>
    <w:rsid w:val="0062080E"/>
    <w:rsid w:val="00620860"/>
    <w:rsid w:val="00620881"/>
    <w:rsid w:val="006208C9"/>
    <w:rsid w:val="006208D5"/>
    <w:rsid w:val="00620900"/>
    <w:rsid w:val="0062099C"/>
    <w:rsid w:val="00620B06"/>
    <w:rsid w:val="00620B43"/>
    <w:rsid w:val="00620C13"/>
    <w:rsid w:val="00620C66"/>
    <w:rsid w:val="00620CD7"/>
    <w:rsid w:val="00620DE2"/>
    <w:rsid w:val="00620DFB"/>
    <w:rsid w:val="00620F9D"/>
    <w:rsid w:val="00621145"/>
    <w:rsid w:val="00621237"/>
    <w:rsid w:val="00621308"/>
    <w:rsid w:val="006214EC"/>
    <w:rsid w:val="00621585"/>
    <w:rsid w:val="006217D9"/>
    <w:rsid w:val="00621875"/>
    <w:rsid w:val="006218B6"/>
    <w:rsid w:val="006218D4"/>
    <w:rsid w:val="006219E3"/>
    <w:rsid w:val="00621B0C"/>
    <w:rsid w:val="00621CA7"/>
    <w:rsid w:val="00621CCD"/>
    <w:rsid w:val="00621D43"/>
    <w:rsid w:val="00621D5D"/>
    <w:rsid w:val="00621D7C"/>
    <w:rsid w:val="00621E2E"/>
    <w:rsid w:val="00621EFB"/>
    <w:rsid w:val="00621FC1"/>
    <w:rsid w:val="00621FC7"/>
    <w:rsid w:val="00622327"/>
    <w:rsid w:val="0062239D"/>
    <w:rsid w:val="00622434"/>
    <w:rsid w:val="00622501"/>
    <w:rsid w:val="00622576"/>
    <w:rsid w:val="00622642"/>
    <w:rsid w:val="00622696"/>
    <w:rsid w:val="006226B8"/>
    <w:rsid w:val="006226BB"/>
    <w:rsid w:val="0062276A"/>
    <w:rsid w:val="006227D7"/>
    <w:rsid w:val="00622933"/>
    <w:rsid w:val="00622944"/>
    <w:rsid w:val="00622974"/>
    <w:rsid w:val="006229FF"/>
    <w:rsid w:val="00622B0C"/>
    <w:rsid w:val="00622B24"/>
    <w:rsid w:val="00622C7C"/>
    <w:rsid w:val="00622CED"/>
    <w:rsid w:val="00622DB3"/>
    <w:rsid w:val="00622DB7"/>
    <w:rsid w:val="00622E56"/>
    <w:rsid w:val="00622E6B"/>
    <w:rsid w:val="00622E96"/>
    <w:rsid w:val="00622FA8"/>
    <w:rsid w:val="006230E7"/>
    <w:rsid w:val="00623386"/>
    <w:rsid w:val="006234AA"/>
    <w:rsid w:val="006235B5"/>
    <w:rsid w:val="00623600"/>
    <w:rsid w:val="006236AA"/>
    <w:rsid w:val="00623713"/>
    <w:rsid w:val="0062380E"/>
    <w:rsid w:val="006238C0"/>
    <w:rsid w:val="006239B6"/>
    <w:rsid w:val="00623A00"/>
    <w:rsid w:val="00623A31"/>
    <w:rsid w:val="00623B4C"/>
    <w:rsid w:val="00623B6F"/>
    <w:rsid w:val="00623CF7"/>
    <w:rsid w:val="00623D29"/>
    <w:rsid w:val="00623EA3"/>
    <w:rsid w:val="00623ED7"/>
    <w:rsid w:val="00623FDF"/>
    <w:rsid w:val="0062403E"/>
    <w:rsid w:val="006240FD"/>
    <w:rsid w:val="0062412E"/>
    <w:rsid w:val="0062428C"/>
    <w:rsid w:val="006242C2"/>
    <w:rsid w:val="0062435B"/>
    <w:rsid w:val="0062442E"/>
    <w:rsid w:val="0062449C"/>
    <w:rsid w:val="00624505"/>
    <w:rsid w:val="0062467E"/>
    <w:rsid w:val="00624684"/>
    <w:rsid w:val="0062469F"/>
    <w:rsid w:val="006246E7"/>
    <w:rsid w:val="0062481C"/>
    <w:rsid w:val="006249BD"/>
    <w:rsid w:val="00624A53"/>
    <w:rsid w:val="00624B4B"/>
    <w:rsid w:val="00624CBE"/>
    <w:rsid w:val="00624ECA"/>
    <w:rsid w:val="00624F5E"/>
    <w:rsid w:val="006252B7"/>
    <w:rsid w:val="00625307"/>
    <w:rsid w:val="0062538E"/>
    <w:rsid w:val="00625497"/>
    <w:rsid w:val="006254FE"/>
    <w:rsid w:val="00625533"/>
    <w:rsid w:val="006255A5"/>
    <w:rsid w:val="006256CF"/>
    <w:rsid w:val="00625787"/>
    <w:rsid w:val="00625910"/>
    <w:rsid w:val="00625EC9"/>
    <w:rsid w:val="00625F94"/>
    <w:rsid w:val="00625F97"/>
    <w:rsid w:val="006261A6"/>
    <w:rsid w:val="006261AF"/>
    <w:rsid w:val="00626317"/>
    <w:rsid w:val="0062636F"/>
    <w:rsid w:val="0062644F"/>
    <w:rsid w:val="006265DD"/>
    <w:rsid w:val="006265FE"/>
    <w:rsid w:val="0062691F"/>
    <w:rsid w:val="0062695A"/>
    <w:rsid w:val="006269A0"/>
    <w:rsid w:val="00626B79"/>
    <w:rsid w:val="00626BC3"/>
    <w:rsid w:val="00626C29"/>
    <w:rsid w:val="00626CC2"/>
    <w:rsid w:val="00626CE2"/>
    <w:rsid w:val="00626D64"/>
    <w:rsid w:val="00626D80"/>
    <w:rsid w:val="00626E73"/>
    <w:rsid w:val="006270D5"/>
    <w:rsid w:val="0062717C"/>
    <w:rsid w:val="00627386"/>
    <w:rsid w:val="0062747C"/>
    <w:rsid w:val="00627509"/>
    <w:rsid w:val="00627525"/>
    <w:rsid w:val="00627567"/>
    <w:rsid w:val="006276E0"/>
    <w:rsid w:val="00627793"/>
    <w:rsid w:val="00627AAE"/>
    <w:rsid w:val="00627ACD"/>
    <w:rsid w:val="00627BE3"/>
    <w:rsid w:val="00627BF7"/>
    <w:rsid w:val="00627C85"/>
    <w:rsid w:val="00627CE2"/>
    <w:rsid w:val="00627CEA"/>
    <w:rsid w:val="00627CF1"/>
    <w:rsid w:val="00627D66"/>
    <w:rsid w:val="00627D74"/>
    <w:rsid w:val="00627D88"/>
    <w:rsid w:val="00627DCF"/>
    <w:rsid w:val="00627DE2"/>
    <w:rsid w:val="00627E22"/>
    <w:rsid w:val="00627ED8"/>
    <w:rsid w:val="00630188"/>
    <w:rsid w:val="006301D1"/>
    <w:rsid w:val="00630338"/>
    <w:rsid w:val="00630354"/>
    <w:rsid w:val="00630466"/>
    <w:rsid w:val="00630844"/>
    <w:rsid w:val="006309D5"/>
    <w:rsid w:val="00630A9A"/>
    <w:rsid w:val="00630B0E"/>
    <w:rsid w:val="00630BE8"/>
    <w:rsid w:val="00630CA3"/>
    <w:rsid w:val="00630CAD"/>
    <w:rsid w:val="00630CEE"/>
    <w:rsid w:val="00630D79"/>
    <w:rsid w:val="00630EF7"/>
    <w:rsid w:val="00631027"/>
    <w:rsid w:val="006310D9"/>
    <w:rsid w:val="00631103"/>
    <w:rsid w:val="0063111A"/>
    <w:rsid w:val="00631153"/>
    <w:rsid w:val="00631178"/>
    <w:rsid w:val="0063118F"/>
    <w:rsid w:val="006311EE"/>
    <w:rsid w:val="00631226"/>
    <w:rsid w:val="00631259"/>
    <w:rsid w:val="00631269"/>
    <w:rsid w:val="0063134D"/>
    <w:rsid w:val="0063137F"/>
    <w:rsid w:val="0063139B"/>
    <w:rsid w:val="006313C0"/>
    <w:rsid w:val="006315F2"/>
    <w:rsid w:val="0063160D"/>
    <w:rsid w:val="00631702"/>
    <w:rsid w:val="00631962"/>
    <w:rsid w:val="00631A55"/>
    <w:rsid w:val="00631AA8"/>
    <w:rsid w:val="00631AFB"/>
    <w:rsid w:val="00631DCE"/>
    <w:rsid w:val="00631DD2"/>
    <w:rsid w:val="00631E11"/>
    <w:rsid w:val="00631E83"/>
    <w:rsid w:val="00631EC1"/>
    <w:rsid w:val="00631FC7"/>
    <w:rsid w:val="0063208D"/>
    <w:rsid w:val="006320F0"/>
    <w:rsid w:val="0063210C"/>
    <w:rsid w:val="0063211C"/>
    <w:rsid w:val="00632135"/>
    <w:rsid w:val="006321B4"/>
    <w:rsid w:val="006321EE"/>
    <w:rsid w:val="00632253"/>
    <w:rsid w:val="006322C2"/>
    <w:rsid w:val="0063233C"/>
    <w:rsid w:val="00632524"/>
    <w:rsid w:val="006325E2"/>
    <w:rsid w:val="0063268D"/>
    <w:rsid w:val="006326CD"/>
    <w:rsid w:val="00632857"/>
    <w:rsid w:val="0063293A"/>
    <w:rsid w:val="00632B37"/>
    <w:rsid w:val="00632E3C"/>
    <w:rsid w:val="00633090"/>
    <w:rsid w:val="006331A3"/>
    <w:rsid w:val="0063324A"/>
    <w:rsid w:val="0063334B"/>
    <w:rsid w:val="006333CA"/>
    <w:rsid w:val="00633419"/>
    <w:rsid w:val="006335A6"/>
    <w:rsid w:val="006335BA"/>
    <w:rsid w:val="006336E2"/>
    <w:rsid w:val="006336FC"/>
    <w:rsid w:val="0063371D"/>
    <w:rsid w:val="006338FA"/>
    <w:rsid w:val="00633992"/>
    <w:rsid w:val="006339BF"/>
    <w:rsid w:val="00633A80"/>
    <w:rsid w:val="00633AAE"/>
    <w:rsid w:val="00633BFC"/>
    <w:rsid w:val="00633C5E"/>
    <w:rsid w:val="00633D2C"/>
    <w:rsid w:val="00633DD7"/>
    <w:rsid w:val="00633E90"/>
    <w:rsid w:val="00633EFE"/>
    <w:rsid w:val="00633FBB"/>
    <w:rsid w:val="0063405D"/>
    <w:rsid w:val="0063405F"/>
    <w:rsid w:val="006340B9"/>
    <w:rsid w:val="00634125"/>
    <w:rsid w:val="0063414E"/>
    <w:rsid w:val="006341B2"/>
    <w:rsid w:val="006341B7"/>
    <w:rsid w:val="00634201"/>
    <w:rsid w:val="0063427B"/>
    <w:rsid w:val="00634299"/>
    <w:rsid w:val="0063433A"/>
    <w:rsid w:val="0063433E"/>
    <w:rsid w:val="006343AC"/>
    <w:rsid w:val="006343E8"/>
    <w:rsid w:val="0063451D"/>
    <w:rsid w:val="00634548"/>
    <w:rsid w:val="0063460D"/>
    <w:rsid w:val="0063476F"/>
    <w:rsid w:val="00634873"/>
    <w:rsid w:val="00634AF8"/>
    <w:rsid w:val="00634BB3"/>
    <w:rsid w:val="00634C47"/>
    <w:rsid w:val="00634D66"/>
    <w:rsid w:val="00634DAA"/>
    <w:rsid w:val="00634E07"/>
    <w:rsid w:val="00634EFD"/>
    <w:rsid w:val="00634F92"/>
    <w:rsid w:val="0063502B"/>
    <w:rsid w:val="00635056"/>
    <w:rsid w:val="0063517F"/>
    <w:rsid w:val="00635266"/>
    <w:rsid w:val="006352D9"/>
    <w:rsid w:val="0063534D"/>
    <w:rsid w:val="00635520"/>
    <w:rsid w:val="0063553F"/>
    <w:rsid w:val="00635555"/>
    <w:rsid w:val="0063559D"/>
    <w:rsid w:val="006355F4"/>
    <w:rsid w:val="00635612"/>
    <w:rsid w:val="0063568C"/>
    <w:rsid w:val="006357D7"/>
    <w:rsid w:val="006359A6"/>
    <w:rsid w:val="00635A65"/>
    <w:rsid w:val="00635B5D"/>
    <w:rsid w:val="00635C10"/>
    <w:rsid w:val="00635CC1"/>
    <w:rsid w:val="00635CFE"/>
    <w:rsid w:val="00635D41"/>
    <w:rsid w:val="00635E0A"/>
    <w:rsid w:val="00635E5B"/>
    <w:rsid w:val="00635F49"/>
    <w:rsid w:val="00635FD5"/>
    <w:rsid w:val="0063607A"/>
    <w:rsid w:val="006360A0"/>
    <w:rsid w:val="006360FC"/>
    <w:rsid w:val="0063634D"/>
    <w:rsid w:val="006363AD"/>
    <w:rsid w:val="006363BC"/>
    <w:rsid w:val="00636456"/>
    <w:rsid w:val="006364E6"/>
    <w:rsid w:val="00636535"/>
    <w:rsid w:val="006365C1"/>
    <w:rsid w:val="0063667B"/>
    <w:rsid w:val="006366C6"/>
    <w:rsid w:val="00636771"/>
    <w:rsid w:val="006367DE"/>
    <w:rsid w:val="00636904"/>
    <w:rsid w:val="00636958"/>
    <w:rsid w:val="00636ABB"/>
    <w:rsid w:val="00636B86"/>
    <w:rsid w:val="00636BC6"/>
    <w:rsid w:val="00636DB6"/>
    <w:rsid w:val="00636ECC"/>
    <w:rsid w:val="00636EEA"/>
    <w:rsid w:val="00636F53"/>
    <w:rsid w:val="00637074"/>
    <w:rsid w:val="006370B4"/>
    <w:rsid w:val="0063716E"/>
    <w:rsid w:val="0063718A"/>
    <w:rsid w:val="006371DF"/>
    <w:rsid w:val="006372A4"/>
    <w:rsid w:val="006373D6"/>
    <w:rsid w:val="006374B2"/>
    <w:rsid w:val="006375D8"/>
    <w:rsid w:val="006375DD"/>
    <w:rsid w:val="006375FA"/>
    <w:rsid w:val="00637804"/>
    <w:rsid w:val="0063796D"/>
    <w:rsid w:val="00637989"/>
    <w:rsid w:val="006379D4"/>
    <w:rsid w:val="00637A33"/>
    <w:rsid w:val="00637A92"/>
    <w:rsid w:val="00637B1C"/>
    <w:rsid w:val="00637D80"/>
    <w:rsid w:val="00637E3A"/>
    <w:rsid w:val="00640006"/>
    <w:rsid w:val="00640129"/>
    <w:rsid w:val="0064016C"/>
    <w:rsid w:val="00640257"/>
    <w:rsid w:val="00640266"/>
    <w:rsid w:val="00640303"/>
    <w:rsid w:val="00640308"/>
    <w:rsid w:val="00640328"/>
    <w:rsid w:val="0064039F"/>
    <w:rsid w:val="0064041D"/>
    <w:rsid w:val="006404FA"/>
    <w:rsid w:val="00640506"/>
    <w:rsid w:val="00640570"/>
    <w:rsid w:val="006406B7"/>
    <w:rsid w:val="006406EF"/>
    <w:rsid w:val="006408D8"/>
    <w:rsid w:val="00640984"/>
    <w:rsid w:val="0064099D"/>
    <w:rsid w:val="006409F6"/>
    <w:rsid w:val="00640D12"/>
    <w:rsid w:val="00640D15"/>
    <w:rsid w:val="00640DAA"/>
    <w:rsid w:val="00640EE2"/>
    <w:rsid w:val="00640EF5"/>
    <w:rsid w:val="00640F0A"/>
    <w:rsid w:val="00640FF5"/>
    <w:rsid w:val="00641184"/>
    <w:rsid w:val="00641199"/>
    <w:rsid w:val="006413BB"/>
    <w:rsid w:val="006413FC"/>
    <w:rsid w:val="00641414"/>
    <w:rsid w:val="006415D5"/>
    <w:rsid w:val="006416AE"/>
    <w:rsid w:val="006416E9"/>
    <w:rsid w:val="0064181E"/>
    <w:rsid w:val="00641A62"/>
    <w:rsid w:val="00641ADB"/>
    <w:rsid w:val="00641C1E"/>
    <w:rsid w:val="00641C60"/>
    <w:rsid w:val="00641CC4"/>
    <w:rsid w:val="00641CF6"/>
    <w:rsid w:val="00641F72"/>
    <w:rsid w:val="00641F84"/>
    <w:rsid w:val="00641FB1"/>
    <w:rsid w:val="006420A1"/>
    <w:rsid w:val="006420B7"/>
    <w:rsid w:val="0064230A"/>
    <w:rsid w:val="0064230B"/>
    <w:rsid w:val="0064260A"/>
    <w:rsid w:val="00642630"/>
    <w:rsid w:val="0064264C"/>
    <w:rsid w:val="006428CD"/>
    <w:rsid w:val="00642992"/>
    <w:rsid w:val="006429A2"/>
    <w:rsid w:val="00642BC4"/>
    <w:rsid w:val="00642CAB"/>
    <w:rsid w:val="00642D96"/>
    <w:rsid w:val="00642E27"/>
    <w:rsid w:val="00642E9A"/>
    <w:rsid w:val="00642EC5"/>
    <w:rsid w:val="00642FE2"/>
    <w:rsid w:val="006430EE"/>
    <w:rsid w:val="00643170"/>
    <w:rsid w:val="00643188"/>
    <w:rsid w:val="006431FF"/>
    <w:rsid w:val="0064326A"/>
    <w:rsid w:val="00643306"/>
    <w:rsid w:val="00643360"/>
    <w:rsid w:val="0064336C"/>
    <w:rsid w:val="00643371"/>
    <w:rsid w:val="00643415"/>
    <w:rsid w:val="00643440"/>
    <w:rsid w:val="006434BE"/>
    <w:rsid w:val="006435F2"/>
    <w:rsid w:val="006437A1"/>
    <w:rsid w:val="006439ED"/>
    <w:rsid w:val="00643A39"/>
    <w:rsid w:val="00643ACE"/>
    <w:rsid w:val="00643B6D"/>
    <w:rsid w:val="00643B9B"/>
    <w:rsid w:val="00643CAB"/>
    <w:rsid w:val="00643D02"/>
    <w:rsid w:val="00643E57"/>
    <w:rsid w:val="00643F1F"/>
    <w:rsid w:val="006441DD"/>
    <w:rsid w:val="006441E3"/>
    <w:rsid w:val="006442BA"/>
    <w:rsid w:val="00644301"/>
    <w:rsid w:val="006443CE"/>
    <w:rsid w:val="00644449"/>
    <w:rsid w:val="0064449C"/>
    <w:rsid w:val="006444FD"/>
    <w:rsid w:val="00644509"/>
    <w:rsid w:val="0064455A"/>
    <w:rsid w:val="006445E3"/>
    <w:rsid w:val="006446E8"/>
    <w:rsid w:val="00644880"/>
    <w:rsid w:val="00644959"/>
    <w:rsid w:val="00644979"/>
    <w:rsid w:val="006449A5"/>
    <w:rsid w:val="006449B6"/>
    <w:rsid w:val="00644A51"/>
    <w:rsid w:val="00644ADE"/>
    <w:rsid w:val="00644AFF"/>
    <w:rsid w:val="00644B4C"/>
    <w:rsid w:val="00644B61"/>
    <w:rsid w:val="00644B68"/>
    <w:rsid w:val="00644DFA"/>
    <w:rsid w:val="00644F03"/>
    <w:rsid w:val="00644F98"/>
    <w:rsid w:val="00645010"/>
    <w:rsid w:val="0064517D"/>
    <w:rsid w:val="00645221"/>
    <w:rsid w:val="0064527C"/>
    <w:rsid w:val="006452A8"/>
    <w:rsid w:val="00645427"/>
    <w:rsid w:val="006454F8"/>
    <w:rsid w:val="00645525"/>
    <w:rsid w:val="0064562D"/>
    <w:rsid w:val="006456FE"/>
    <w:rsid w:val="00645740"/>
    <w:rsid w:val="0064575E"/>
    <w:rsid w:val="00645835"/>
    <w:rsid w:val="0064584D"/>
    <w:rsid w:val="0064588B"/>
    <w:rsid w:val="00645894"/>
    <w:rsid w:val="006458F2"/>
    <w:rsid w:val="00645955"/>
    <w:rsid w:val="0064596D"/>
    <w:rsid w:val="00645B29"/>
    <w:rsid w:val="00645B33"/>
    <w:rsid w:val="00645BBE"/>
    <w:rsid w:val="00645C21"/>
    <w:rsid w:val="00645C41"/>
    <w:rsid w:val="00645C82"/>
    <w:rsid w:val="00645E73"/>
    <w:rsid w:val="00645EB8"/>
    <w:rsid w:val="0064610A"/>
    <w:rsid w:val="00646121"/>
    <w:rsid w:val="00646129"/>
    <w:rsid w:val="00646176"/>
    <w:rsid w:val="0064619B"/>
    <w:rsid w:val="006461D0"/>
    <w:rsid w:val="006461D1"/>
    <w:rsid w:val="0064633E"/>
    <w:rsid w:val="0064635D"/>
    <w:rsid w:val="006463CB"/>
    <w:rsid w:val="006463E2"/>
    <w:rsid w:val="006464F6"/>
    <w:rsid w:val="00646503"/>
    <w:rsid w:val="00646525"/>
    <w:rsid w:val="006465E5"/>
    <w:rsid w:val="0064671E"/>
    <w:rsid w:val="00646811"/>
    <w:rsid w:val="00646835"/>
    <w:rsid w:val="00646928"/>
    <w:rsid w:val="00646A21"/>
    <w:rsid w:val="00646A6B"/>
    <w:rsid w:val="00646C9C"/>
    <w:rsid w:val="00646E42"/>
    <w:rsid w:val="00646EB1"/>
    <w:rsid w:val="00646ED8"/>
    <w:rsid w:val="00646F0A"/>
    <w:rsid w:val="00646FD1"/>
    <w:rsid w:val="006471B2"/>
    <w:rsid w:val="00647256"/>
    <w:rsid w:val="006472DC"/>
    <w:rsid w:val="006472E5"/>
    <w:rsid w:val="006473A0"/>
    <w:rsid w:val="00647427"/>
    <w:rsid w:val="0064746E"/>
    <w:rsid w:val="006474EA"/>
    <w:rsid w:val="006474FC"/>
    <w:rsid w:val="00647581"/>
    <w:rsid w:val="00647607"/>
    <w:rsid w:val="0064768E"/>
    <w:rsid w:val="006476D1"/>
    <w:rsid w:val="00647734"/>
    <w:rsid w:val="00647743"/>
    <w:rsid w:val="0064774E"/>
    <w:rsid w:val="0064785C"/>
    <w:rsid w:val="0064798C"/>
    <w:rsid w:val="00647BB7"/>
    <w:rsid w:val="00647C23"/>
    <w:rsid w:val="00647C96"/>
    <w:rsid w:val="00647CB9"/>
    <w:rsid w:val="00647CFD"/>
    <w:rsid w:val="00647D1E"/>
    <w:rsid w:val="00647D27"/>
    <w:rsid w:val="00647D5E"/>
    <w:rsid w:val="00647DA7"/>
    <w:rsid w:val="00647F46"/>
    <w:rsid w:val="00647FA7"/>
    <w:rsid w:val="00647FBF"/>
    <w:rsid w:val="00647FEB"/>
    <w:rsid w:val="00650294"/>
    <w:rsid w:val="006502E4"/>
    <w:rsid w:val="00650315"/>
    <w:rsid w:val="00650361"/>
    <w:rsid w:val="006503A1"/>
    <w:rsid w:val="006503C9"/>
    <w:rsid w:val="00650428"/>
    <w:rsid w:val="006504D0"/>
    <w:rsid w:val="00650646"/>
    <w:rsid w:val="00650691"/>
    <w:rsid w:val="0065071D"/>
    <w:rsid w:val="006507C0"/>
    <w:rsid w:val="00650869"/>
    <w:rsid w:val="00650912"/>
    <w:rsid w:val="00650BED"/>
    <w:rsid w:val="00650CFC"/>
    <w:rsid w:val="00650D31"/>
    <w:rsid w:val="00650D82"/>
    <w:rsid w:val="00650F33"/>
    <w:rsid w:val="00650F9D"/>
    <w:rsid w:val="006510A9"/>
    <w:rsid w:val="006511B5"/>
    <w:rsid w:val="006513A1"/>
    <w:rsid w:val="006513AF"/>
    <w:rsid w:val="006514FD"/>
    <w:rsid w:val="006515E9"/>
    <w:rsid w:val="00651703"/>
    <w:rsid w:val="00651754"/>
    <w:rsid w:val="006518EF"/>
    <w:rsid w:val="00651909"/>
    <w:rsid w:val="0065197D"/>
    <w:rsid w:val="006519EF"/>
    <w:rsid w:val="006519F7"/>
    <w:rsid w:val="00651A21"/>
    <w:rsid w:val="00651A31"/>
    <w:rsid w:val="00651A4D"/>
    <w:rsid w:val="00651A6F"/>
    <w:rsid w:val="00651AF9"/>
    <w:rsid w:val="00651B65"/>
    <w:rsid w:val="00651BC4"/>
    <w:rsid w:val="00651C16"/>
    <w:rsid w:val="00651CC4"/>
    <w:rsid w:val="00651DB7"/>
    <w:rsid w:val="00651DD3"/>
    <w:rsid w:val="00651F3A"/>
    <w:rsid w:val="00651FF7"/>
    <w:rsid w:val="00652202"/>
    <w:rsid w:val="006522BF"/>
    <w:rsid w:val="006522C2"/>
    <w:rsid w:val="00652342"/>
    <w:rsid w:val="006524DC"/>
    <w:rsid w:val="00652594"/>
    <w:rsid w:val="006525BC"/>
    <w:rsid w:val="006525E3"/>
    <w:rsid w:val="00652661"/>
    <w:rsid w:val="00652669"/>
    <w:rsid w:val="006526B5"/>
    <w:rsid w:val="0065270B"/>
    <w:rsid w:val="0065285A"/>
    <w:rsid w:val="006528A3"/>
    <w:rsid w:val="006528BC"/>
    <w:rsid w:val="00652994"/>
    <w:rsid w:val="00652A14"/>
    <w:rsid w:val="00652B65"/>
    <w:rsid w:val="00652BD0"/>
    <w:rsid w:val="00652C1C"/>
    <w:rsid w:val="00652C37"/>
    <w:rsid w:val="00652C94"/>
    <w:rsid w:val="00652D55"/>
    <w:rsid w:val="00652FB6"/>
    <w:rsid w:val="00653037"/>
    <w:rsid w:val="00653080"/>
    <w:rsid w:val="00653160"/>
    <w:rsid w:val="0065321A"/>
    <w:rsid w:val="006532CC"/>
    <w:rsid w:val="006532EE"/>
    <w:rsid w:val="0065334C"/>
    <w:rsid w:val="00653360"/>
    <w:rsid w:val="0065363D"/>
    <w:rsid w:val="006536EF"/>
    <w:rsid w:val="00653809"/>
    <w:rsid w:val="006538A2"/>
    <w:rsid w:val="006538E0"/>
    <w:rsid w:val="006539A0"/>
    <w:rsid w:val="00653A2F"/>
    <w:rsid w:val="00653A60"/>
    <w:rsid w:val="00653AA6"/>
    <w:rsid w:val="00653BDD"/>
    <w:rsid w:val="00653DA8"/>
    <w:rsid w:val="00653DCA"/>
    <w:rsid w:val="00653E68"/>
    <w:rsid w:val="00653E98"/>
    <w:rsid w:val="00653EB3"/>
    <w:rsid w:val="00654010"/>
    <w:rsid w:val="00654057"/>
    <w:rsid w:val="006540D5"/>
    <w:rsid w:val="00654139"/>
    <w:rsid w:val="006541B2"/>
    <w:rsid w:val="006541D3"/>
    <w:rsid w:val="006541E3"/>
    <w:rsid w:val="0065426D"/>
    <w:rsid w:val="00654311"/>
    <w:rsid w:val="006544DD"/>
    <w:rsid w:val="006545B1"/>
    <w:rsid w:val="006545CE"/>
    <w:rsid w:val="00654848"/>
    <w:rsid w:val="006548B8"/>
    <w:rsid w:val="00654B97"/>
    <w:rsid w:val="00654C0D"/>
    <w:rsid w:val="00654C4A"/>
    <w:rsid w:val="00654C8D"/>
    <w:rsid w:val="00654D2B"/>
    <w:rsid w:val="00654D2E"/>
    <w:rsid w:val="00654D99"/>
    <w:rsid w:val="00654DE5"/>
    <w:rsid w:val="00654DED"/>
    <w:rsid w:val="00654F72"/>
    <w:rsid w:val="00654F94"/>
    <w:rsid w:val="00655283"/>
    <w:rsid w:val="00655331"/>
    <w:rsid w:val="006553B6"/>
    <w:rsid w:val="00655493"/>
    <w:rsid w:val="006554C9"/>
    <w:rsid w:val="0065557E"/>
    <w:rsid w:val="006555FA"/>
    <w:rsid w:val="006556AE"/>
    <w:rsid w:val="006556D4"/>
    <w:rsid w:val="0065578B"/>
    <w:rsid w:val="006558C1"/>
    <w:rsid w:val="006558C7"/>
    <w:rsid w:val="00655929"/>
    <w:rsid w:val="00655A77"/>
    <w:rsid w:val="00655CA7"/>
    <w:rsid w:val="00655D1E"/>
    <w:rsid w:val="00655DC0"/>
    <w:rsid w:val="00655E2A"/>
    <w:rsid w:val="00655F00"/>
    <w:rsid w:val="00655F07"/>
    <w:rsid w:val="00655F81"/>
    <w:rsid w:val="00655FB8"/>
    <w:rsid w:val="00655FF8"/>
    <w:rsid w:val="00656060"/>
    <w:rsid w:val="0065608C"/>
    <w:rsid w:val="0065611F"/>
    <w:rsid w:val="0065617A"/>
    <w:rsid w:val="0065619B"/>
    <w:rsid w:val="00656367"/>
    <w:rsid w:val="00656392"/>
    <w:rsid w:val="0065647F"/>
    <w:rsid w:val="006564F8"/>
    <w:rsid w:val="00656603"/>
    <w:rsid w:val="0065676F"/>
    <w:rsid w:val="0065677E"/>
    <w:rsid w:val="00656B60"/>
    <w:rsid w:val="00656BA0"/>
    <w:rsid w:val="00656BAB"/>
    <w:rsid w:val="00656E22"/>
    <w:rsid w:val="00656F88"/>
    <w:rsid w:val="0065705B"/>
    <w:rsid w:val="006570BC"/>
    <w:rsid w:val="00657260"/>
    <w:rsid w:val="0065729F"/>
    <w:rsid w:val="0065737B"/>
    <w:rsid w:val="00657451"/>
    <w:rsid w:val="00657481"/>
    <w:rsid w:val="006574AC"/>
    <w:rsid w:val="006575EF"/>
    <w:rsid w:val="0065761D"/>
    <w:rsid w:val="00657650"/>
    <w:rsid w:val="006576C3"/>
    <w:rsid w:val="00657725"/>
    <w:rsid w:val="00657747"/>
    <w:rsid w:val="006577BE"/>
    <w:rsid w:val="00657995"/>
    <w:rsid w:val="006579EA"/>
    <w:rsid w:val="00657A05"/>
    <w:rsid w:val="00657A0E"/>
    <w:rsid w:val="00657A30"/>
    <w:rsid w:val="00657BAE"/>
    <w:rsid w:val="00657CD8"/>
    <w:rsid w:val="00657D6B"/>
    <w:rsid w:val="00657F5A"/>
    <w:rsid w:val="00657FDD"/>
    <w:rsid w:val="00660004"/>
    <w:rsid w:val="00660023"/>
    <w:rsid w:val="0066003F"/>
    <w:rsid w:val="00660057"/>
    <w:rsid w:val="006601D1"/>
    <w:rsid w:val="00660206"/>
    <w:rsid w:val="0066027E"/>
    <w:rsid w:val="00660526"/>
    <w:rsid w:val="00660539"/>
    <w:rsid w:val="0066058C"/>
    <w:rsid w:val="00660599"/>
    <w:rsid w:val="0066067E"/>
    <w:rsid w:val="006606A4"/>
    <w:rsid w:val="006607F9"/>
    <w:rsid w:val="0066081B"/>
    <w:rsid w:val="006608A4"/>
    <w:rsid w:val="00660943"/>
    <w:rsid w:val="00660955"/>
    <w:rsid w:val="00660A42"/>
    <w:rsid w:val="00660B82"/>
    <w:rsid w:val="00660BD8"/>
    <w:rsid w:val="00660BDD"/>
    <w:rsid w:val="00660C8A"/>
    <w:rsid w:val="00660C99"/>
    <w:rsid w:val="00660D30"/>
    <w:rsid w:val="00660DF7"/>
    <w:rsid w:val="00660E33"/>
    <w:rsid w:val="00660EF1"/>
    <w:rsid w:val="00660FD0"/>
    <w:rsid w:val="00660FDB"/>
    <w:rsid w:val="0066118B"/>
    <w:rsid w:val="006612A6"/>
    <w:rsid w:val="00661332"/>
    <w:rsid w:val="0066134F"/>
    <w:rsid w:val="006614ED"/>
    <w:rsid w:val="00661557"/>
    <w:rsid w:val="006615BB"/>
    <w:rsid w:val="006615CB"/>
    <w:rsid w:val="0066161A"/>
    <w:rsid w:val="0066162F"/>
    <w:rsid w:val="006616C2"/>
    <w:rsid w:val="0066187F"/>
    <w:rsid w:val="006618F6"/>
    <w:rsid w:val="00661A11"/>
    <w:rsid w:val="00661BEA"/>
    <w:rsid w:val="00661C92"/>
    <w:rsid w:val="00661CC9"/>
    <w:rsid w:val="00661F6C"/>
    <w:rsid w:val="0066212E"/>
    <w:rsid w:val="0066224C"/>
    <w:rsid w:val="006622D3"/>
    <w:rsid w:val="0066236B"/>
    <w:rsid w:val="0066246E"/>
    <w:rsid w:val="00662493"/>
    <w:rsid w:val="006625B8"/>
    <w:rsid w:val="006626FC"/>
    <w:rsid w:val="00662722"/>
    <w:rsid w:val="006627C9"/>
    <w:rsid w:val="006627FB"/>
    <w:rsid w:val="00662968"/>
    <w:rsid w:val="006629CA"/>
    <w:rsid w:val="00662A05"/>
    <w:rsid w:val="00662A1F"/>
    <w:rsid w:val="00662A3B"/>
    <w:rsid w:val="00662A91"/>
    <w:rsid w:val="00662B61"/>
    <w:rsid w:val="00662B82"/>
    <w:rsid w:val="00662C96"/>
    <w:rsid w:val="00662D3E"/>
    <w:rsid w:val="00662D5C"/>
    <w:rsid w:val="00662ECC"/>
    <w:rsid w:val="00662EDE"/>
    <w:rsid w:val="00662EE9"/>
    <w:rsid w:val="00662F71"/>
    <w:rsid w:val="0066309D"/>
    <w:rsid w:val="006630E9"/>
    <w:rsid w:val="006632B8"/>
    <w:rsid w:val="006632C0"/>
    <w:rsid w:val="00663357"/>
    <w:rsid w:val="00663447"/>
    <w:rsid w:val="0066345B"/>
    <w:rsid w:val="006634B3"/>
    <w:rsid w:val="006634CB"/>
    <w:rsid w:val="00663648"/>
    <w:rsid w:val="00663716"/>
    <w:rsid w:val="00663794"/>
    <w:rsid w:val="006638D6"/>
    <w:rsid w:val="0066390A"/>
    <w:rsid w:val="00663A81"/>
    <w:rsid w:val="00663AA2"/>
    <w:rsid w:val="00663AA7"/>
    <w:rsid w:val="00663AB1"/>
    <w:rsid w:val="00663B8A"/>
    <w:rsid w:val="00663BA3"/>
    <w:rsid w:val="00663BE2"/>
    <w:rsid w:val="00663DB8"/>
    <w:rsid w:val="00663ECD"/>
    <w:rsid w:val="00663F2C"/>
    <w:rsid w:val="00663F6E"/>
    <w:rsid w:val="00663F8C"/>
    <w:rsid w:val="00663FD0"/>
    <w:rsid w:val="006640C1"/>
    <w:rsid w:val="0066425C"/>
    <w:rsid w:val="0066431B"/>
    <w:rsid w:val="0066431C"/>
    <w:rsid w:val="006643ED"/>
    <w:rsid w:val="0066441D"/>
    <w:rsid w:val="00664493"/>
    <w:rsid w:val="006644EB"/>
    <w:rsid w:val="00664709"/>
    <w:rsid w:val="006648BE"/>
    <w:rsid w:val="00664928"/>
    <w:rsid w:val="00664958"/>
    <w:rsid w:val="0066498E"/>
    <w:rsid w:val="006649BD"/>
    <w:rsid w:val="00664A23"/>
    <w:rsid w:val="00664A34"/>
    <w:rsid w:val="00664ADB"/>
    <w:rsid w:val="00664B1F"/>
    <w:rsid w:val="00664BAB"/>
    <w:rsid w:val="00664CEC"/>
    <w:rsid w:val="00664CFC"/>
    <w:rsid w:val="00664D06"/>
    <w:rsid w:val="00664E14"/>
    <w:rsid w:val="00664F58"/>
    <w:rsid w:val="00664FCE"/>
    <w:rsid w:val="00665077"/>
    <w:rsid w:val="00665166"/>
    <w:rsid w:val="00665225"/>
    <w:rsid w:val="00665241"/>
    <w:rsid w:val="0066527B"/>
    <w:rsid w:val="0066528C"/>
    <w:rsid w:val="006652B0"/>
    <w:rsid w:val="006653AF"/>
    <w:rsid w:val="006654C6"/>
    <w:rsid w:val="00665543"/>
    <w:rsid w:val="006656AD"/>
    <w:rsid w:val="0066572F"/>
    <w:rsid w:val="00665753"/>
    <w:rsid w:val="0066578F"/>
    <w:rsid w:val="00665808"/>
    <w:rsid w:val="0066588C"/>
    <w:rsid w:val="006658C3"/>
    <w:rsid w:val="006658F3"/>
    <w:rsid w:val="00665958"/>
    <w:rsid w:val="006659FF"/>
    <w:rsid w:val="00665A19"/>
    <w:rsid w:val="00665AB0"/>
    <w:rsid w:val="00665BA1"/>
    <w:rsid w:val="00665C2A"/>
    <w:rsid w:val="00665D57"/>
    <w:rsid w:val="00665D86"/>
    <w:rsid w:val="00665E14"/>
    <w:rsid w:val="00665ED3"/>
    <w:rsid w:val="00665F35"/>
    <w:rsid w:val="00665F82"/>
    <w:rsid w:val="006661D5"/>
    <w:rsid w:val="006662C3"/>
    <w:rsid w:val="006662F8"/>
    <w:rsid w:val="0066631D"/>
    <w:rsid w:val="006663AC"/>
    <w:rsid w:val="00666478"/>
    <w:rsid w:val="0066649C"/>
    <w:rsid w:val="006664F7"/>
    <w:rsid w:val="0066658B"/>
    <w:rsid w:val="00666638"/>
    <w:rsid w:val="0066682C"/>
    <w:rsid w:val="006668DA"/>
    <w:rsid w:val="00666985"/>
    <w:rsid w:val="00666AB2"/>
    <w:rsid w:val="00666C9E"/>
    <w:rsid w:val="00666CBF"/>
    <w:rsid w:val="00666D14"/>
    <w:rsid w:val="00666DB1"/>
    <w:rsid w:val="00666E07"/>
    <w:rsid w:val="00666EB0"/>
    <w:rsid w:val="00666EBA"/>
    <w:rsid w:val="00666EC9"/>
    <w:rsid w:val="00666EDE"/>
    <w:rsid w:val="00666F38"/>
    <w:rsid w:val="00666FDE"/>
    <w:rsid w:val="006670CD"/>
    <w:rsid w:val="006671CE"/>
    <w:rsid w:val="006671DC"/>
    <w:rsid w:val="0066728B"/>
    <w:rsid w:val="0066738B"/>
    <w:rsid w:val="006673DB"/>
    <w:rsid w:val="00667420"/>
    <w:rsid w:val="006674AF"/>
    <w:rsid w:val="00667554"/>
    <w:rsid w:val="0066758B"/>
    <w:rsid w:val="006676B1"/>
    <w:rsid w:val="006676F0"/>
    <w:rsid w:val="00667720"/>
    <w:rsid w:val="00667797"/>
    <w:rsid w:val="006678A7"/>
    <w:rsid w:val="0066792B"/>
    <w:rsid w:val="00667A87"/>
    <w:rsid w:val="00667C06"/>
    <w:rsid w:val="00667C0A"/>
    <w:rsid w:val="00667C6A"/>
    <w:rsid w:val="00667C94"/>
    <w:rsid w:val="00667CBA"/>
    <w:rsid w:val="00667CC3"/>
    <w:rsid w:val="00667DC9"/>
    <w:rsid w:val="00667EF2"/>
    <w:rsid w:val="00667FA1"/>
    <w:rsid w:val="006700CB"/>
    <w:rsid w:val="006700E5"/>
    <w:rsid w:val="0067012A"/>
    <w:rsid w:val="0067019B"/>
    <w:rsid w:val="00670211"/>
    <w:rsid w:val="006703B3"/>
    <w:rsid w:val="00670475"/>
    <w:rsid w:val="00670495"/>
    <w:rsid w:val="00670553"/>
    <w:rsid w:val="006705FC"/>
    <w:rsid w:val="0067060B"/>
    <w:rsid w:val="00670750"/>
    <w:rsid w:val="00670839"/>
    <w:rsid w:val="006708A4"/>
    <w:rsid w:val="006708C6"/>
    <w:rsid w:val="00670916"/>
    <w:rsid w:val="00670937"/>
    <w:rsid w:val="00670B47"/>
    <w:rsid w:val="00670BC2"/>
    <w:rsid w:val="00670C63"/>
    <w:rsid w:val="00670D23"/>
    <w:rsid w:val="00670D59"/>
    <w:rsid w:val="00670EA3"/>
    <w:rsid w:val="00670F76"/>
    <w:rsid w:val="006712A7"/>
    <w:rsid w:val="00671458"/>
    <w:rsid w:val="006714AD"/>
    <w:rsid w:val="00671535"/>
    <w:rsid w:val="00671563"/>
    <w:rsid w:val="006715D9"/>
    <w:rsid w:val="006715E5"/>
    <w:rsid w:val="00671600"/>
    <w:rsid w:val="0067165C"/>
    <w:rsid w:val="006716D2"/>
    <w:rsid w:val="00671AAC"/>
    <w:rsid w:val="00671AB8"/>
    <w:rsid w:val="00671BD0"/>
    <w:rsid w:val="00671C58"/>
    <w:rsid w:val="00671D16"/>
    <w:rsid w:val="00671E11"/>
    <w:rsid w:val="00671E3B"/>
    <w:rsid w:val="00671E94"/>
    <w:rsid w:val="00671F1A"/>
    <w:rsid w:val="00671F1E"/>
    <w:rsid w:val="00671F7F"/>
    <w:rsid w:val="006720D6"/>
    <w:rsid w:val="006721EF"/>
    <w:rsid w:val="0067233A"/>
    <w:rsid w:val="00672388"/>
    <w:rsid w:val="006723AA"/>
    <w:rsid w:val="006723C9"/>
    <w:rsid w:val="0067252B"/>
    <w:rsid w:val="006726F4"/>
    <w:rsid w:val="00672701"/>
    <w:rsid w:val="00672760"/>
    <w:rsid w:val="006727F2"/>
    <w:rsid w:val="0067282F"/>
    <w:rsid w:val="00672860"/>
    <w:rsid w:val="006729F0"/>
    <w:rsid w:val="00672AC6"/>
    <w:rsid w:val="00672BBA"/>
    <w:rsid w:val="00672BF8"/>
    <w:rsid w:val="00672C18"/>
    <w:rsid w:val="00672CAE"/>
    <w:rsid w:val="00672CB6"/>
    <w:rsid w:val="00672DB8"/>
    <w:rsid w:val="0067308F"/>
    <w:rsid w:val="006730CA"/>
    <w:rsid w:val="006732BA"/>
    <w:rsid w:val="006732C4"/>
    <w:rsid w:val="00673366"/>
    <w:rsid w:val="0067344F"/>
    <w:rsid w:val="00673462"/>
    <w:rsid w:val="00673468"/>
    <w:rsid w:val="00673478"/>
    <w:rsid w:val="006734B3"/>
    <w:rsid w:val="00673586"/>
    <w:rsid w:val="006735E9"/>
    <w:rsid w:val="00673616"/>
    <w:rsid w:val="00673680"/>
    <w:rsid w:val="00673730"/>
    <w:rsid w:val="00673752"/>
    <w:rsid w:val="00673ABE"/>
    <w:rsid w:val="00673B95"/>
    <w:rsid w:val="00673C34"/>
    <w:rsid w:val="00673C77"/>
    <w:rsid w:val="00673D32"/>
    <w:rsid w:val="00673DC0"/>
    <w:rsid w:val="00673E40"/>
    <w:rsid w:val="00673EB8"/>
    <w:rsid w:val="00673ED9"/>
    <w:rsid w:val="00673F3F"/>
    <w:rsid w:val="00673F54"/>
    <w:rsid w:val="00673F76"/>
    <w:rsid w:val="00674006"/>
    <w:rsid w:val="00674009"/>
    <w:rsid w:val="0067405F"/>
    <w:rsid w:val="006740D7"/>
    <w:rsid w:val="0067415B"/>
    <w:rsid w:val="006741DC"/>
    <w:rsid w:val="00674573"/>
    <w:rsid w:val="006745AB"/>
    <w:rsid w:val="00674698"/>
    <w:rsid w:val="006746B2"/>
    <w:rsid w:val="00674771"/>
    <w:rsid w:val="006747B5"/>
    <w:rsid w:val="00674835"/>
    <w:rsid w:val="00674861"/>
    <w:rsid w:val="00674975"/>
    <w:rsid w:val="00674988"/>
    <w:rsid w:val="006749DF"/>
    <w:rsid w:val="00674AB5"/>
    <w:rsid w:val="00674B45"/>
    <w:rsid w:val="00674B83"/>
    <w:rsid w:val="00674BAD"/>
    <w:rsid w:val="00674BB9"/>
    <w:rsid w:val="00674DF6"/>
    <w:rsid w:val="00674E3A"/>
    <w:rsid w:val="00674EC6"/>
    <w:rsid w:val="00674F56"/>
    <w:rsid w:val="0067502A"/>
    <w:rsid w:val="00675298"/>
    <w:rsid w:val="006754BA"/>
    <w:rsid w:val="006754BB"/>
    <w:rsid w:val="006754DC"/>
    <w:rsid w:val="00675536"/>
    <w:rsid w:val="00675604"/>
    <w:rsid w:val="006756B2"/>
    <w:rsid w:val="0067581E"/>
    <w:rsid w:val="006758F8"/>
    <w:rsid w:val="00675AA0"/>
    <w:rsid w:val="00675BFE"/>
    <w:rsid w:val="00675D3E"/>
    <w:rsid w:val="00675D43"/>
    <w:rsid w:val="00675DA8"/>
    <w:rsid w:val="00675E10"/>
    <w:rsid w:val="00675E77"/>
    <w:rsid w:val="00675FD5"/>
    <w:rsid w:val="006760D7"/>
    <w:rsid w:val="006760FE"/>
    <w:rsid w:val="00676132"/>
    <w:rsid w:val="00676507"/>
    <w:rsid w:val="0067651E"/>
    <w:rsid w:val="00676551"/>
    <w:rsid w:val="00676560"/>
    <w:rsid w:val="00676591"/>
    <w:rsid w:val="00676730"/>
    <w:rsid w:val="006767F7"/>
    <w:rsid w:val="006768F6"/>
    <w:rsid w:val="00676914"/>
    <w:rsid w:val="00676AE1"/>
    <w:rsid w:val="00676B77"/>
    <w:rsid w:val="00676B79"/>
    <w:rsid w:val="00676C0B"/>
    <w:rsid w:val="00676D4B"/>
    <w:rsid w:val="00676D4E"/>
    <w:rsid w:val="00676E05"/>
    <w:rsid w:val="00676E50"/>
    <w:rsid w:val="00676E5C"/>
    <w:rsid w:val="00676EC7"/>
    <w:rsid w:val="00676ED7"/>
    <w:rsid w:val="00676F44"/>
    <w:rsid w:val="00677008"/>
    <w:rsid w:val="00677084"/>
    <w:rsid w:val="00677120"/>
    <w:rsid w:val="00677153"/>
    <w:rsid w:val="0067719C"/>
    <w:rsid w:val="006771A1"/>
    <w:rsid w:val="00677299"/>
    <w:rsid w:val="0067731C"/>
    <w:rsid w:val="00677320"/>
    <w:rsid w:val="006773EA"/>
    <w:rsid w:val="0067748D"/>
    <w:rsid w:val="00677493"/>
    <w:rsid w:val="0067751E"/>
    <w:rsid w:val="00677555"/>
    <w:rsid w:val="0067759E"/>
    <w:rsid w:val="006775A6"/>
    <w:rsid w:val="0067761A"/>
    <w:rsid w:val="0067774D"/>
    <w:rsid w:val="00677897"/>
    <w:rsid w:val="0067794B"/>
    <w:rsid w:val="00677A0C"/>
    <w:rsid w:val="00677A1B"/>
    <w:rsid w:val="00677A66"/>
    <w:rsid w:val="00677AA5"/>
    <w:rsid w:val="00677C4F"/>
    <w:rsid w:val="00677CBA"/>
    <w:rsid w:val="00677D90"/>
    <w:rsid w:val="00677DB8"/>
    <w:rsid w:val="00677DBD"/>
    <w:rsid w:val="00677E6A"/>
    <w:rsid w:val="00680010"/>
    <w:rsid w:val="00680050"/>
    <w:rsid w:val="00680090"/>
    <w:rsid w:val="00680258"/>
    <w:rsid w:val="00680263"/>
    <w:rsid w:val="00680362"/>
    <w:rsid w:val="006803BF"/>
    <w:rsid w:val="00680439"/>
    <w:rsid w:val="006804F7"/>
    <w:rsid w:val="00680534"/>
    <w:rsid w:val="00680625"/>
    <w:rsid w:val="00680728"/>
    <w:rsid w:val="0068099E"/>
    <w:rsid w:val="00680A0E"/>
    <w:rsid w:val="00680A8A"/>
    <w:rsid w:val="00680B54"/>
    <w:rsid w:val="00680C25"/>
    <w:rsid w:val="00680C2D"/>
    <w:rsid w:val="00680C53"/>
    <w:rsid w:val="00680C5C"/>
    <w:rsid w:val="00680C9C"/>
    <w:rsid w:val="00680CA0"/>
    <w:rsid w:val="00680CBC"/>
    <w:rsid w:val="00680DD3"/>
    <w:rsid w:val="00680EC1"/>
    <w:rsid w:val="00680F88"/>
    <w:rsid w:val="00680F98"/>
    <w:rsid w:val="00680FDB"/>
    <w:rsid w:val="0068107A"/>
    <w:rsid w:val="00681164"/>
    <w:rsid w:val="0068116C"/>
    <w:rsid w:val="00681202"/>
    <w:rsid w:val="006812EA"/>
    <w:rsid w:val="00681465"/>
    <w:rsid w:val="006814B5"/>
    <w:rsid w:val="006814BF"/>
    <w:rsid w:val="00681751"/>
    <w:rsid w:val="006817C7"/>
    <w:rsid w:val="006818AE"/>
    <w:rsid w:val="00681B00"/>
    <w:rsid w:val="00681CAF"/>
    <w:rsid w:val="00681CBE"/>
    <w:rsid w:val="00681E47"/>
    <w:rsid w:val="00681EC8"/>
    <w:rsid w:val="00681F31"/>
    <w:rsid w:val="00682111"/>
    <w:rsid w:val="00682153"/>
    <w:rsid w:val="006822EB"/>
    <w:rsid w:val="006823E1"/>
    <w:rsid w:val="00682449"/>
    <w:rsid w:val="006824D7"/>
    <w:rsid w:val="00682518"/>
    <w:rsid w:val="006825A9"/>
    <w:rsid w:val="00682808"/>
    <w:rsid w:val="00682868"/>
    <w:rsid w:val="00682885"/>
    <w:rsid w:val="00682947"/>
    <w:rsid w:val="00682B0A"/>
    <w:rsid w:val="00682B9C"/>
    <w:rsid w:val="00682C37"/>
    <w:rsid w:val="00682CCC"/>
    <w:rsid w:val="00682EDD"/>
    <w:rsid w:val="00682F93"/>
    <w:rsid w:val="0068308D"/>
    <w:rsid w:val="0068317A"/>
    <w:rsid w:val="006831DA"/>
    <w:rsid w:val="00683331"/>
    <w:rsid w:val="006833B7"/>
    <w:rsid w:val="00683592"/>
    <w:rsid w:val="006835A3"/>
    <w:rsid w:val="006835BA"/>
    <w:rsid w:val="0068364D"/>
    <w:rsid w:val="0068366E"/>
    <w:rsid w:val="006836AB"/>
    <w:rsid w:val="00683767"/>
    <w:rsid w:val="00683768"/>
    <w:rsid w:val="00683887"/>
    <w:rsid w:val="006838B1"/>
    <w:rsid w:val="0068395B"/>
    <w:rsid w:val="0068398A"/>
    <w:rsid w:val="006839C7"/>
    <w:rsid w:val="00683BCC"/>
    <w:rsid w:val="00683CC2"/>
    <w:rsid w:val="00683CF1"/>
    <w:rsid w:val="00683D2F"/>
    <w:rsid w:val="00683D46"/>
    <w:rsid w:val="00683DEB"/>
    <w:rsid w:val="00683ECB"/>
    <w:rsid w:val="00683F53"/>
    <w:rsid w:val="00684113"/>
    <w:rsid w:val="00684184"/>
    <w:rsid w:val="006841C0"/>
    <w:rsid w:val="0068423D"/>
    <w:rsid w:val="00684356"/>
    <w:rsid w:val="006843A6"/>
    <w:rsid w:val="00684437"/>
    <w:rsid w:val="006844F2"/>
    <w:rsid w:val="0068455B"/>
    <w:rsid w:val="0068469B"/>
    <w:rsid w:val="006846C6"/>
    <w:rsid w:val="00684777"/>
    <w:rsid w:val="006848A5"/>
    <w:rsid w:val="006848D4"/>
    <w:rsid w:val="0068491E"/>
    <w:rsid w:val="00684A5F"/>
    <w:rsid w:val="00684A8E"/>
    <w:rsid w:val="00684BAE"/>
    <w:rsid w:val="00684F7F"/>
    <w:rsid w:val="006850C2"/>
    <w:rsid w:val="00685105"/>
    <w:rsid w:val="00685201"/>
    <w:rsid w:val="0068526C"/>
    <w:rsid w:val="0068527C"/>
    <w:rsid w:val="006852F6"/>
    <w:rsid w:val="00685312"/>
    <w:rsid w:val="006853FD"/>
    <w:rsid w:val="00685400"/>
    <w:rsid w:val="0068540B"/>
    <w:rsid w:val="00685473"/>
    <w:rsid w:val="00685487"/>
    <w:rsid w:val="006854C3"/>
    <w:rsid w:val="0068558F"/>
    <w:rsid w:val="0068563A"/>
    <w:rsid w:val="006856B9"/>
    <w:rsid w:val="00685A05"/>
    <w:rsid w:val="00685A63"/>
    <w:rsid w:val="00685AE4"/>
    <w:rsid w:val="00685B62"/>
    <w:rsid w:val="00685B72"/>
    <w:rsid w:val="00685BD6"/>
    <w:rsid w:val="00685BE5"/>
    <w:rsid w:val="00685C1A"/>
    <w:rsid w:val="00685D6B"/>
    <w:rsid w:val="00685ECD"/>
    <w:rsid w:val="00685F43"/>
    <w:rsid w:val="00686151"/>
    <w:rsid w:val="0068628E"/>
    <w:rsid w:val="00686454"/>
    <w:rsid w:val="00686521"/>
    <w:rsid w:val="0068659D"/>
    <w:rsid w:val="006865F2"/>
    <w:rsid w:val="00686648"/>
    <w:rsid w:val="00686678"/>
    <w:rsid w:val="00686679"/>
    <w:rsid w:val="00686705"/>
    <w:rsid w:val="00686801"/>
    <w:rsid w:val="006868C3"/>
    <w:rsid w:val="006868EC"/>
    <w:rsid w:val="006868F6"/>
    <w:rsid w:val="006869B5"/>
    <w:rsid w:val="00686AA9"/>
    <w:rsid w:val="00686E28"/>
    <w:rsid w:val="00686ED6"/>
    <w:rsid w:val="0068705B"/>
    <w:rsid w:val="006870F7"/>
    <w:rsid w:val="00687102"/>
    <w:rsid w:val="00687267"/>
    <w:rsid w:val="00687322"/>
    <w:rsid w:val="006873B2"/>
    <w:rsid w:val="006873C9"/>
    <w:rsid w:val="006874BC"/>
    <w:rsid w:val="006874E6"/>
    <w:rsid w:val="006874F5"/>
    <w:rsid w:val="0068751A"/>
    <w:rsid w:val="00687655"/>
    <w:rsid w:val="006876AE"/>
    <w:rsid w:val="00687751"/>
    <w:rsid w:val="00687847"/>
    <w:rsid w:val="00687882"/>
    <w:rsid w:val="0068793A"/>
    <w:rsid w:val="00687A03"/>
    <w:rsid w:val="00687D79"/>
    <w:rsid w:val="00687EF0"/>
    <w:rsid w:val="0069027B"/>
    <w:rsid w:val="006903B2"/>
    <w:rsid w:val="006904A9"/>
    <w:rsid w:val="00690615"/>
    <w:rsid w:val="006906B9"/>
    <w:rsid w:val="006906C4"/>
    <w:rsid w:val="0069080F"/>
    <w:rsid w:val="006909F2"/>
    <w:rsid w:val="00690A04"/>
    <w:rsid w:val="00690A12"/>
    <w:rsid w:val="00690BC8"/>
    <w:rsid w:val="00690C63"/>
    <w:rsid w:val="00690CBE"/>
    <w:rsid w:val="00690E06"/>
    <w:rsid w:val="00690E88"/>
    <w:rsid w:val="00690E93"/>
    <w:rsid w:val="00691168"/>
    <w:rsid w:val="00691377"/>
    <w:rsid w:val="00691426"/>
    <w:rsid w:val="0069147C"/>
    <w:rsid w:val="006914DA"/>
    <w:rsid w:val="00691511"/>
    <w:rsid w:val="0069173E"/>
    <w:rsid w:val="0069179B"/>
    <w:rsid w:val="006917B8"/>
    <w:rsid w:val="006918F7"/>
    <w:rsid w:val="006919FF"/>
    <w:rsid w:val="00691D54"/>
    <w:rsid w:val="00691E96"/>
    <w:rsid w:val="00691F05"/>
    <w:rsid w:val="00691FA2"/>
    <w:rsid w:val="0069201C"/>
    <w:rsid w:val="0069205B"/>
    <w:rsid w:val="006920A4"/>
    <w:rsid w:val="006922EC"/>
    <w:rsid w:val="00692312"/>
    <w:rsid w:val="00692427"/>
    <w:rsid w:val="006925C9"/>
    <w:rsid w:val="0069267B"/>
    <w:rsid w:val="006926BC"/>
    <w:rsid w:val="0069272A"/>
    <w:rsid w:val="00692746"/>
    <w:rsid w:val="0069289C"/>
    <w:rsid w:val="006929F8"/>
    <w:rsid w:val="00692A10"/>
    <w:rsid w:val="00692ACB"/>
    <w:rsid w:val="00692B30"/>
    <w:rsid w:val="00692CD4"/>
    <w:rsid w:val="00692D93"/>
    <w:rsid w:val="00692D95"/>
    <w:rsid w:val="00692DC2"/>
    <w:rsid w:val="00692E48"/>
    <w:rsid w:val="00692EE9"/>
    <w:rsid w:val="00692FDB"/>
    <w:rsid w:val="0069300C"/>
    <w:rsid w:val="006934B8"/>
    <w:rsid w:val="0069366E"/>
    <w:rsid w:val="00693768"/>
    <w:rsid w:val="00693826"/>
    <w:rsid w:val="006938BF"/>
    <w:rsid w:val="00693913"/>
    <w:rsid w:val="006939DC"/>
    <w:rsid w:val="006939F0"/>
    <w:rsid w:val="00693AE6"/>
    <w:rsid w:val="00693B6E"/>
    <w:rsid w:val="00693B9B"/>
    <w:rsid w:val="00693BE0"/>
    <w:rsid w:val="00693C99"/>
    <w:rsid w:val="00693D59"/>
    <w:rsid w:val="00693E51"/>
    <w:rsid w:val="00693E81"/>
    <w:rsid w:val="00693ED9"/>
    <w:rsid w:val="00693F3C"/>
    <w:rsid w:val="00694095"/>
    <w:rsid w:val="00694190"/>
    <w:rsid w:val="006943D5"/>
    <w:rsid w:val="00694489"/>
    <w:rsid w:val="006944E2"/>
    <w:rsid w:val="00694659"/>
    <w:rsid w:val="006946DC"/>
    <w:rsid w:val="0069471F"/>
    <w:rsid w:val="00694768"/>
    <w:rsid w:val="0069492A"/>
    <w:rsid w:val="00694BEA"/>
    <w:rsid w:val="00694C48"/>
    <w:rsid w:val="00694CFF"/>
    <w:rsid w:val="00694D20"/>
    <w:rsid w:val="00694E1F"/>
    <w:rsid w:val="00694FB8"/>
    <w:rsid w:val="0069509E"/>
    <w:rsid w:val="0069510B"/>
    <w:rsid w:val="0069510E"/>
    <w:rsid w:val="00695148"/>
    <w:rsid w:val="00695160"/>
    <w:rsid w:val="006951DD"/>
    <w:rsid w:val="0069523C"/>
    <w:rsid w:val="0069530C"/>
    <w:rsid w:val="006953F3"/>
    <w:rsid w:val="006954CE"/>
    <w:rsid w:val="0069552F"/>
    <w:rsid w:val="006955E8"/>
    <w:rsid w:val="00695939"/>
    <w:rsid w:val="00695DDD"/>
    <w:rsid w:val="00695DE4"/>
    <w:rsid w:val="00695E8B"/>
    <w:rsid w:val="00695E9A"/>
    <w:rsid w:val="00695F09"/>
    <w:rsid w:val="00695F91"/>
    <w:rsid w:val="00695FB6"/>
    <w:rsid w:val="00696026"/>
    <w:rsid w:val="006962BE"/>
    <w:rsid w:val="006962E5"/>
    <w:rsid w:val="00696467"/>
    <w:rsid w:val="006964AE"/>
    <w:rsid w:val="006964D9"/>
    <w:rsid w:val="00696504"/>
    <w:rsid w:val="006965CB"/>
    <w:rsid w:val="006966CB"/>
    <w:rsid w:val="00696761"/>
    <w:rsid w:val="0069677F"/>
    <w:rsid w:val="006967F3"/>
    <w:rsid w:val="00696836"/>
    <w:rsid w:val="00696852"/>
    <w:rsid w:val="0069691C"/>
    <w:rsid w:val="0069696D"/>
    <w:rsid w:val="00696981"/>
    <w:rsid w:val="00696998"/>
    <w:rsid w:val="00696AA4"/>
    <w:rsid w:val="00696BEF"/>
    <w:rsid w:val="00696C5C"/>
    <w:rsid w:val="00696D25"/>
    <w:rsid w:val="00696DFC"/>
    <w:rsid w:val="00696EDD"/>
    <w:rsid w:val="00697054"/>
    <w:rsid w:val="006970CB"/>
    <w:rsid w:val="00697183"/>
    <w:rsid w:val="00697350"/>
    <w:rsid w:val="0069737A"/>
    <w:rsid w:val="006974B6"/>
    <w:rsid w:val="006974F8"/>
    <w:rsid w:val="0069752C"/>
    <w:rsid w:val="006976AE"/>
    <w:rsid w:val="0069787F"/>
    <w:rsid w:val="0069788F"/>
    <w:rsid w:val="006978A7"/>
    <w:rsid w:val="00697AD7"/>
    <w:rsid w:val="00697D44"/>
    <w:rsid w:val="00697DCB"/>
    <w:rsid w:val="00697EB9"/>
    <w:rsid w:val="00697EF6"/>
    <w:rsid w:val="00697F57"/>
    <w:rsid w:val="006A0013"/>
    <w:rsid w:val="006A0154"/>
    <w:rsid w:val="006A0215"/>
    <w:rsid w:val="006A0234"/>
    <w:rsid w:val="006A027B"/>
    <w:rsid w:val="006A0312"/>
    <w:rsid w:val="006A039C"/>
    <w:rsid w:val="006A03FF"/>
    <w:rsid w:val="006A0569"/>
    <w:rsid w:val="006A0691"/>
    <w:rsid w:val="006A0706"/>
    <w:rsid w:val="006A071C"/>
    <w:rsid w:val="006A073B"/>
    <w:rsid w:val="006A080D"/>
    <w:rsid w:val="006A082C"/>
    <w:rsid w:val="006A0851"/>
    <w:rsid w:val="006A0858"/>
    <w:rsid w:val="006A0859"/>
    <w:rsid w:val="006A0AE9"/>
    <w:rsid w:val="006A0B16"/>
    <w:rsid w:val="006A0D28"/>
    <w:rsid w:val="006A0D4B"/>
    <w:rsid w:val="006A0D8A"/>
    <w:rsid w:val="006A0DE6"/>
    <w:rsid w:val="006A0EC0"/>
    <w:rsid w:val="006A1001"/>
    <w:rsid w:val="006A1104"/>
    <w:rsid w:val="006A1193"/>
    <w:rsid w:val="006A1251"/>
    <w:rsid w:val="006A1368"/>
    <w:rsid w:val="006A1398"/>
    <w:rsid w:val="006A1414"/>
    <w:rsid w:val="006A14B7"/>
    <w:rsid w:val="006A15B4"/>
    <w:rsid w:val="006A161A"/>
    <w:rsid w:val="006A1841"/>
    <w:rsid w:val="006A185A"/>
    <w:rsid w:val="006A18D5"/>
    <w:rsid w:val="006A1A91"/>
    <w:rsid w:val="006A1B8C"/>
    <w:rsid w:val="006A1BFC"/>
    <w:rsid w:val="006A1C2B"/>
    <w:rsid w:val="006A1C47"/>
    <w:rsid w:val="006A1CA2"/>
    <w:rsid w:val="006A1CAC"/>
    <w:rsid w:val="006A1D17"/>
    <w:rsid w:val="006A1DBD"/>
    <w:rsid w:val="006A1EC0"/>
    <w:rsid w:val="006A1FEA"/>
    <w:rsid w:val="006A204E"/>
    <w:rsid w:val="006A20A4"/>
    <w:rsid w:val="006A212A"/>
    <w:rsid w:val="006A21D0"/>
    <w:rsid w:val="006A2206"/>
    <w:rsid w:val="006A244D"/>
    <w:rsid w:val="006A24B9"/>
    <w:rsid w:val="006A24EC"/>
    <w:rsid w:val="006A26F8"/>
    <w:rsid w:val="006A2715"/>
    <w:rsid w:val="006A27DF"/>
    <w:rsid w:val="006A27FE"/>
    <w:rsid w:val="006A298D"/>
    <w:rsid w:val="006A2A19"/>
    <w:rsid w:val="006A2B1E"/>
    <w:rsid w:val="006A2BEB"/>
    <w:rsid w:val="006A2BF3"/>
    <w:rsid w:val="006A2C48"/>
    <w:rsid w:val="006A2CCB"/>
    <w:rsid w:val="006A2EB6"/>
    <w:rsid w:val="006A2F64"/>
    <w:rsid w:val="006A316B"/>
    <w:rsid w:val="006A3235"/>
    <w:rsid w:val="006A3238"/>
    <w:rsid w:val="006A3246"/>
    <w:rsid w:val="006A324C"/>
    <w:rsid w:val="006A33D4"/>
    <w:rsid w:val="006A342C"/>
    <w:rsid w:val="006A3474"/>
    <w:rsid w:val="006A3700"/>
    <w:rsid w:val="006A37A6"/>
    <w:rsid w:val="006A3854"/>
    <w:rsid w:val="006A389F"/>
    <w:rsid w:val="006A38F4"/>
    <w:rsid w:val="006A39C5"/>
    <w:rsid w:val="006A3A42"/>
    <w:rsid w:val="006A3AC5"/>
    <w:rsid w:val="006A3B4F"/>
    <w:rsid w:val="006A3B93"/>
    <w:rsid w:val="006A3BFB"/>
    <w:rsid w:val="006A3E05"/>
    <w:rsid w:val="006A3F26"/>
    <w:rsid w:val="006A3F2E"/>
    <w:rsid w:val="006A42FC"/>
    <w:rsid w:val="006A4349"/>
    <w:rsid w:val="006A43D7"/>
    <w:rsid w:val="006A43D8"/>
    <w:rsid w:val="006A44EA"/>
    <w:rsid w:val="006A45A5"/>
    <w:rsid w:val="006A46DF"/>
    <w:rsid w:val="006A46E3"/>
    <w:rsid w:val="006A48A6"/>
    <w:rsid w:val="006A48D3"/>
    <w:rsid w:val="006A49CE"/>
    <w:rsid w:val="006A4D50"/>
    <w:rsid w:val="006A4F15"/>
    <w:rsid w:val="006A4F1C"/>
    <w:rsid w:val="006A4F2D"/>
    <w:rsid w:val="006A4F59"/>
    <w:rsid w:val="006A4F5D"/>
    <w:rsid w:val="006A4FE0"/>
    <w:rsid w:val="006A5078"/>
    <w:rsid w:val="006A5156"/>
    <w:rsid w:val="006A5242"/>
    <w:rsid w:val="006A5390"/>
    <w:rsid w:val="006A53F5"/>
    <w:rsid w:val="006A546D"/>
    <w:rsid w:val="006A5494"/>
    <w:rsid w:val="006A54AA"/>
    <w:rsid w:val="006A5646"/>
    <w:rsid w:val="006A5855"/>
    <w:rsid w:val="006A58DA"/>
    <w:rsid w:val="006A59FB"/>
    <w:rsid w:val="006A5A2A"/>
    <w:rsid w:val="006A5BCA"/>
    <w:rsid w:val="006A5C12"/>
    <w:rsid w:val="006A5C29"/>
    <w:rsid w:val="006A5C90"/>
    <w:rsid w:val="006A5CC7"/>
    <w:rsid w:val="006A5D7D"/>
    <w:rsid w:val="006A5E05"/>
    <w:rsid w:val="006A5E17"/>
    <w:rsid w:val="006A5E59"/>
    <w:rsid w:val="006A5EE7"/>
    <w:rsid w:val="006A5FAF"/>
    <w:rsid w:val="006A6018"/>
    <w:rsid w:val="006A6029"/>
    <w:rsid w:val="006A6064"/>
    <w:rsid w:val="006A61C8"/>
    <w:rsid w:val="006A6319"/>
    <w:rsid w:val="006A6349"/>
    <w:rsid w:val="006A64B4"/>
    <w:rsid w:val="006A653D"/>
    <w:rsid w:val="006A6664"/>
    <w:rsid w:val="006A6679"/>
    <w:rsid w:val="006A688D"/>
    <w:rsid w:val="006A692B"/>
    <w:rsid w:val="006A695D"/>
    <w:rsid w:val="006A6B66"/>
    <w:rsid w:val="006A6D20"/>
    <w:rsid w:val="006A6E3B"/>
    <w:rsid w:val="006A6ECE"/>
    <w:rsid w:val="006A6F4E"/>
    <w:rsid w:val="006A6F8B"/>
    <w:rsid w:val="006A7020"/>
    <w:rsid w:val="006A706A"/>
    <w:rsid w:val="006A71A3"/>
    <w:rsid w:val="006A720F"/>
    <w:rsid w:val="006A72DC"/>
    <w:rsid w:val="006A72E5"/>
    <w:rsid w:val="006A73A7"/>
    <w:rsid w:val="006A7679"/>
    <w:rsid w:val="006A7688"/>
    <w:rsid w:val="006A76B0"/>
    <w:rsid w:val="006A771E"/>
    <w:rsid w:val="006A773B"/>
    <w:rsid w:val="006A773E"/>
    <w:rsid w:val="006A7841"/>
    <w:rsid w:val="006A78AA"/>
    <w:rsid w:val="006A78C5"/>
    <w:rsid w:val="006A7925"/>
    <w:rsid w:val="006A7962"/>
    <w:rsid w:val="006A7989"/>
    <w:rsid w:val="006A7991"/>
    <w:rsid w:val="006A7A5E"/>
    <w:rsid w:val="006A7B53"/>
    <w:rsid w:val="006A7B76"/>
    <w:rsid w:val="006A7D97"/>
    <w:rsid w:val="006A7ED8"/>
    <w:rsid w:val="006A7F87"/>
    <w:rsid w:val="006A7FA6"/>
    <w:rsid w:val="006A7FBD"/>
    <w:rsid w:val="006B0033"/>
    <w:rsid w:val="006B0048"/>
    <w:rsid w:val="006B0199"/>
    <w:rsid w:val="006B0248"/>
    <w:rsid w:val="006B035B"/>
    <w:rsid w:val="006B0398"/>
    <w:rsid w:val="006B03A5"/>
    <w:rsid w:val="006B0577"/>
    <w:rsid w:val="006B0608"/>
    <w:rsid w:val="006B0669"/>
    <w:rsid w:val="006B06BF"/>
    <w:rsid w:val="006B06F2"/>
    <w:rsid w:val="006B077A"/>
    <w:rsid w:val="006B082A"/>
    <w:rsid w:val="006B0856"/>
    <w:rsid w:val="006B089C"/>
    <w:rsid w:val="006B09A1"/>
    <w:rsid w:val="006B0ADC"/>
    <w:rsid w:val="006B0AF1"/>
    <w:rsid w:val="006B0AF8"/>
    <w:rsid w:val="006B0B3F"/>
    <w:rsid w:val="006B0BFB"/>
    <w:rsid w:val="006B0C34"/>
    <w:rsid w:val="006B0D6E"/>
    <w:rsid w:val="006B1122"/>
    <w:rsid w:val="006B114C"/>
    <w:rsid w:val="006B12F5"/>
    <w:rsid w:val="006B138B"/>
    <w:rsid w:val="006B1396"/>
    <w:rsid w:val="006B13E9"/>
    <w:rsid w:val="006B1479"/>
    <w:rsid w:val="006B157C"/>
    <w:rsid w:val="006B1603"/>
    <w:rsid w:val="006B1674"/>
    <w:rsid w:val="006B16E5"/>
    <w:rsid w:val="006B1730"/>
    <w:rsid w:val="006B1917"/>
    <w:rsid w:val="006B1924"/>
    <w:rsid w:val="006B1B71"/>
    <w:rsid w:val="006B1B73"/>
    <w:rsid w:val="006B1BF4"/>
    <w:rsid w:val="006B1C77"/>
    <w:rsid w:val="006B1CEA"/>
    <w:rsid w:val="006B1D74"/>
    <w:rsid w:val="006B1D82"/>
    <w:rsid w:val="006B1E1A"/>
    <w:rsid w:val="006B1F76"/>
    <w:rsid w:val="006B1F85"/>
    <w:rsid w:val="006B2049"/>
    <w:rsid w:val="006B2070"/>
    <w:rsid w:val="006B2087"/>
    <w:rsid w:val="006B20B2"/>
    <w:rsid w:val="006B20CD"/>
    <w:rsid w:val="006B20E4"/>
    <w:rsid w:val="006B20EF"/>
    <w:rsid w:val="006B2136"/>
    <w:rsid w:val="006B216E"/>
    <w:rsid w:val="006B21EE"/>
    <w:rsid w:val="006B2308"/>
    <w:rsid w:val="006B2378"/>
    <w:rsid w:val="006B23E0"/>
    <w:rsid w:val="006B24B2"/>
    <w:rsid w:val="006B2504"/>
    <w:rsid w:val="006B254E"/>
    <w:rsid w:val="006B259C"/>
    <w:rsid w:val="006B2763"/>
    <w:rsid w:val="006B28E2"/>
    <w:rsid w:val="006B290F"/>
    <w:rsid w:val="006B2991"/>
    <w:rsid w:val="006B2AC6"/>
    <w:rsid w:val="006B2C4A"/>
    <w:rsid w:val="006B2CDA"/>
    <w:rsid w:val="006B2D07"/>
    <w:rsid w:val="006B2D20"/>
    <w:rsid w:val="006B2E2F"/>
    <w:rsid w:val="006B2E73"/>
    <w:rsid w:val="006B2F12"/>
    <w:rsid w:val="006B3080"/>
    <w:rsid w:val="006B309B"/>
    <w:rsid w:val="006B30B4"/>
    <w:rsid w:val="006B328D"/>
    <w:rsid w:val="006B333E"/>
    <w:rsid w:val="006B336E"/>
    <w:rsid w:val="006B3371"/>
    <w:rsid w:val="006B33A2"/>
    <w:rsid w:val="006B3479"/>
    <w:rsid w:val="006B3595"/>
    <w:rsid w:val="006B36F2"/>
    <w:rsid w:val="006B372A"/>
    <w:rsid w:val="006B39DC"/>
    <w:rsid w:val="006B3A39"/>
    <w:rsid w:val="006B3B3E"/>
    <w:rsid w:val="006B3B76"/>
    <w:rsid w:val="006B3B83"/>
    <w:rsid w:val="006B3BAA"/>
    <w:rsid w:val="006B3BC0"/>
    <w:rsid w:val="006B3C73"/>
    <w:rsid w:val="006B3C8E"/>
    <w:rsid w:val="006B3E80"/>
    <w:rsid w:val="006B40F7"/>
    <w:rsid w:val="006B41C6"/>
    <w:rsid w:val="006B41D5"/>
    <w:rsid w:val="006B41F1"/>
    <w:rsid w:val="006B4277"/>
    <w:rsid w:val="006B43D6"/>
    <w:rsid w:val="006B43E0"/>
    <w:rsid w:val="006B4459"/>
    <w:rsid w:val="006B4669"/>
    <w:rsid w:val="006B4693"/>
    <w:rsid w:val="006B4791"/>
    <w:rsid w:val="006B48CD"/>
    <w:rsid w:val="006B49C4"/>
    <w:rsid w:val="006B49D5"/>
    <w:rsid w:val="006B4A5E"/>
    <w:rsid w:val="006B4B2A"/>
    <w:rsid w:val="006B4BCE"/>
    <w:rsid w:val="006B4C1B"/>
    <w:rsid w:val="006B4D0B"/>
    <w:rsid w:val="006B4E92"/>
    <w:rsid w:val="006B4FD9"/>
    <w:rsid w:val="006B519A"/>
    <w:rsid w:val="006B51EA"/>
    <w:rsid w:val="006B5222"/>
    <w:rsid w:val="006B53C9"/>
    <w:rsid w:val="006B53CD"/>
    <w:rsid w:val="006B5408"/>
    <w:rsid w:val="006B5512"/>
    <w:rsid w:val="006B56DC"/>
    <w:rsid w:val="006B571E"/>
    <w:rsid w:val="006B572C"/>
    <w:rsid w:val="006B5763"/>
    <w:rsid w:val="006B5942"/>
    <w:rsid w:val="006B5964"/>
    <w:rsid w:val="006B5AFB"/>
    <w:rsid w:val="006B5B16"/>
    <w:rsid w:val="006B5B76"/>
    <w:rsid w:val="006B5CF7"/>
    <w:rsid w:val="006B5E33"/>
    <w:rsid w:val="006B5E8F"/>
    <w:rsid w:val="006B605C"/>
    <w:rsid w:val="006B61F4"/>
    <w:rsid w:val="006B6279"/>
    <w:rsid w:val="006B6291"/>
    <w:rsid w:val="006B629C"/>
    <w:rsid w:val="006B642C"/>
    <w:rsid w:val="006B64CA"/>
    <w:rsid w:val="006B6529"/>
    <w:rsid w:val="006B6749"/>
    <w:rsid w:val="006B6864"/>
    <w:rsid w:val="006B688D"/>
    <w:rsid w:val="006B69BE"/>
    <w:rsid w:val="006B69EF"/>
    <w:rsid w:val="006B6A3C"/>
    <w:rsid w:val="006B6AFA"/>
    <w:rsid w:val="006B6BA8"/>
    <w:rsid w:val="006B6BB5"/>
    <w:rsid w:val="006B6DB1"/>
    <w:rsid w:val="006B6E85"/>
    <w:rsid w:val="006B6EAF"/>
    <w:rsid w:val="006B6FFD"/>
    <w:rsid w:val="006B712A"/>
    <w:rsid w:val="006B731B"/>
    <w:rsid w:val="006B750C"/>
    <w:rsid w:val="006B75BE"/>
    <w:rsid w:val="006B75F4"/>
    <w:rsid w:val="006B765B"/>
    <w:rsid w:val="006B76EC"/>
    <w:rsid w:val="006B77E9"/>
    <w:rsid w:val="006B78AC"/>
    <w:rsid w:val="006B78DD"/>
    <w:rsid w:val="006B79D9"/>
    <w:rsid w:val="006B7A2A"/>
    <w:rsid w:val="006B7B07"/>
    <w:rsid w:val="006B7B54"/>
    <w:rsid w:val="006B7BB8"/>
    <w:rsid w:val="006B7BDF"/>
    <w:rsid w:val="006B7CBF"/>
    <w:rsid w:val="006B7D02"/>
    <w:rsid w:val="006B7E08"/>
    <w:rsid w:val="006B7E91"/>
    <w:rsid w:val="006B7F8F"/>
    <w:rsid w:val="006B7FBA"/>
    <w:rsid w:val="006C011E"/>
    <w:rsid w:val="006C0237"/>
    <w:rsid w:val="006C02BF"/>
    <w:rsid w:val="006C0388"/>
    <w:rsid w:val="006C03A2"/>
    <w:rsid w:val="006C0431"/>
    <w:rsid w:val="006C0AC1"/>
    <w:rsid w:val="006C0BAA"/>
    <w:rsid w:val="006C0BBF"/>
    <w:rsid w:val="006C0BDF"/>
    <w:rsid w:val="006C0C87"/>
    <w:rsid w:val="006C0CB2"/>
    <w:rsid w:val="006C0CCA"/>
    <w:rsid w:val="006C0DF9"/>
    <w:rsid w:val="006C0ECA"/>
    <w:rsid w:val="006C0FFF"/>
    <w:rsid w:val="006C1078"/>
    <w:rsid w:val="006C10DD"/>
    <w:rsid w:val="006C11C7"/>
    <w:rsid w:val="006C125E"/>
    <w:rsid w:val="006C1305"/>
    <w:rsid w:val="006C135E"/>
    <w:rsid w:val="006C1485"/>
    <w:rsid w:val="006C14E8"/>
    <w:rsid w:val="006C153A"/>
    <w:rsid w:val="006C15B3"/>
    <w:rsid w:val="006C1618"/>
    <w:rsid w:val="006C17E1"/>
    <w:rsid w:val="006C188F"/>
    <w:rsid w:val="006C19A7"/>
    <w:rsid w:val="006C1A86"/>
    <w:rsid w:val="006C1B27"/>
    <w:rsid w:val="006C1BF6"/>
    <w:rsid w:val="006C1DF8"/>
    <w:rsid w:val="006C1E4F"/>
    <w:rsid w:val="006C1F21"/>
    <w:rsid w:val="006C1F46"/>
    <w:rsid w:val="006C1F5E"/>
    <w:rsid w:val="006C1F72"/>
    <w:rsid w:val="006C1FDF"/>
    <w:rsid w:val="006C2080"/>
    <w:rsid w:val="006C2133"/>
    <w:rsid w:val="006C2154"/>
    <w:rsid w:val="006C215C"/>
    <w:rsid w:val="006C22A0"/>
    <w:rsid w:val="006C22EE"/>
    <w:rsid w:val="006C23CE"/>
    <w:rsid w:val="006C259A"/>
    <w:rsid w:val="006C2602"/>
    <w:rsid w:val="006C2760"/>
    <w:rsid w:val="006C2784"/>
    <w:rsid w:val="006C28C1"/>
    <w:rsid w:val="006C28CF"/>
    <w:rsid w:val="006C29B0"/>
    <w:rsid w:val="006C2AF5"/>
    <w:rsid w:val="006C2BC4"/>
    <w:rsid w:val="006C2C01"/>
    <w:rsid w:val="006C2CC6"/>
    <w:rsid w:val="006C2DCB"/>
    <w:rsid w:val="006C2DFA"/>
    <w:rsid w:val="006C2E81"/>
    <w:rsid w:val="006C2EA8"/>
    <w:rsid w:val="006C2F7F"/>
    <w:rsid w:val="006C309C"/>
    <w:rsid w:val="006C30C0"/>
    <w:rsid w:val="006C30C7"/>
    <w:rsid w:val="006C333F"/>
    <w:rsid w:val="006C3400"/>
    <w:rsid w:val="006C34BB"/>
    <w:rsid w:val="006C35E9"/>
    <w:rsid w:val="006C364D"/>
    <w:rsid w:val="006C3706"/>
    <w:rsid w:val="006C3786"/>
    <w:rsid w:val="006C37A7"/>
    <w:rsid w:val="006C38D9"/>
    <w:rsid w:val="006C3959"/>
    <w:rsid w:val="006C3ACF"/>
    <w:rsid w:val="006C3B09"/>
    <w:rsid w:val="006C3BDC"/>
    <w:rsid w:val="006C3BF1"/>
    <w:rsid w:val="006C3C46"/>
    <w:rsid w:val="006C3C5F"/>
    <w:rsid w:val="006C3D5E"/>
    <w:rsid w:val="006C3E07"/>
    <w:rsid w:val="006C3FBF"/>
    <w:rsid w:val="006C40EA"/>
    <w:rsid w:val="006C4105"/>
    <w:rsid w:val="006C4192"/>
    <w:rsid w:val="006C41D0"/>
    <w:rsid w:val="006C4222"/>
    <w:rsid w:val="006C422A"/>
    <w:rsid w:val="006C42F5"/>
    <w:rsid w:val="006C4302"/>
    <w:rsid w:val="006C4389"/>
    <w:rsid w:val="006C43FC"/>
    <w:rsid w:val="006C4418"/>
    <w:rsid w:val="006C4615"/>
    <w:rsid w:val="006C46F4"/>
    <w:rsid w:val="006C47CB"/>
    <w:rsid w:val="006C49A9"/>
    <w:rsid w:val="006C49DE"/>
    <w:rsid w:val="006C49F5"/>
    <w:rsid w:val="006C4CE4"/>
    <w:rsid w:val="006C4D54"/>
    <w:rsid w:val="006C4D90"/>
    <w:rsid w:val="006C4DC5"/>
    <w:rsid w:val="006C4E99"/>
    <w:rsid w:val="006C4EC8"/>
    <w:rsid w:val="006C51BA"/>
    <w:rsid w:val="006C5201"/>
    <w:rsid w:val="006C5257"/>
    <w:rsid w:val="006C5358"/>
    <w:rsid w:val="006C53E1"/>
    <w:rsid w:val="006C5424"/>
    <w:rsid w:val="006C54EC"/>
    <w:rsid w:val="006C55CE"/>
    <w:rsid w:val="006C567D"/>
    <w:rsid w:val="006C5765"/>
    <w:rsid w:val="006C5906"/>
    <w:rsid w:val="006C5931"/>
    <w:rsid w:val="006C593C"/>
    <w:rsid w:val="006C59E7"/>
    <w:rsid w:val="006C59F6"/>
    <w:rsid w:val="006C5D34"/>
    <w:rsid w:val="006C5D49"/>
    <w:rsid w:val="006C5E1E"/>
    <w:rsid w:val="006C5F06"/>
    <w:rsid w:val="006C5F9B"/>
    <w:rsid w:val="006C612A"/>
    <w:rsid w:val="006C615C"/>
    <w:rsid w:val="006C6175"/>
    <w:rsid w:val="006C61DC"/>
    <w:rsid w:val="006C6273"/>
    <w:rsid w:val="006C64E7"/>
    <w:rsid w:val="006C6559"/>
    <w:rsid w:val="006C6587"/>
    <w:rsid w:val="006C6592"/>
    <w:rsid w:val="006C65A5"/>
    <w:rsid w:val="006C66D1"/>
    <w:rsid w:val="006C66E8"/>
    <w:rsid w:val="006C678E"/>
    <w:rsid w:val="006C6849"/>
    <w:rsid w:val="006C685D"/>
    <w:rsid w:val="006C68E6"/>
    <w:rsid w:val="006C6AD3"/>
    <w:rsid w:val="006C6BB9"/>
    <w:rsid w:val="006C6C72"/>
    <w:rsid w:val="006C6D07"/>
    <w:rsid w:val="006C6DED"/>
    <w:rsid w:val="006C6E0F"/>
    <w:rsid w:val="006C6E23"/>
    <w:rsid w:val="006C7050"/>
    <w:rsid w:val="006C70D0"/>
    <w:rsid w:val="006C748E"/>
    <w:rsid w:val="006C756E"/>
    <w:rsid w:val="006C76E2"/>
    <w:rsid w:val="006C7798"/>
    <w:rsid w:val="006C783F"/>
    <w:rsid w:val="006C78A7"/>
    <w:rsid w:val="006C791E"/>
    <w:rsid w:val="006C79CD"/>
    <w:rsid w:val="006C7C43"/>
    <w:rsid w:val="006C7C7F"/>
    <w:rsid w:val="006C7CB3"/>
    <w:rsid w:val="006C7D40"/>
    <w:rsid w:val="006C7E5A"/>
    <w:rsid w:val="006C7EB0"/>
    <w:rsid w:val="006C7EC4"/>
    <w:rsid w:val="006C7F06"/>
    <w:rsid w:val="006D0155"/>
    <w:rsid w:val="006D0207"/>
    <w:rsid w:val="006D0258"/>
    <w:rsid w:val="006D03EA"/>
    <w:rsid w:val="006D054E"/>
    <w:rsid w:val="006D056E"/>
    <w:rsid w:val="006D05E7"/>
    <w:rsid w:val="006D06DC"/>
    <w:rsid w:val="006D072F"/>
    <w:rsid w:val="006D0893"/>
    <w:rsid w:val="006D0A26"/>
    <w:rsid w:val="006D0A51"/>
    <w:rsid w:val="006D0A7B"/>
    <w:rsid w:val="006D0A7D"/>
    <w:rsid w:val="006D0AB2"/>
    <w:rsid w:val="006D0ADC"/>
    <w:rsid w:val="006D0B1A"/>
    <w:rsid w:val="006D0CAB"/>
    <w:rsid w:val="006D0CE1"/>
    <w:rsid w:val="006D0DB8"/>
    <w:rsid w:val="006D0DDA"/>
    <w:rsid w:val="006D0E02"/>
    <w:rsid w:val="006D0E10"/>
    <w:rsid w:val="006D0F1E"/>
    <w:rsid w:val="006D0F26"/>
    <w:rsid w:val="006D0F42"/>
    <w:rsid w:val="006D0FDF"/>
    <w:rsid w:val="006D1047"/>
    <w:rsid w:val="006D1054"/>
    <w:rsid w:val="006D1091"/>
    <w:rsid w:val="006D1199"/>
    <w:rsid w:val="006D1461"/>
    <w:rsid w:val="006D15F2"/>
    <w:rsid w:val="006D16DB"/>
    <w:rsid w:val="006D1749"/>
    <w:rsid w:val="006D185E"/>
    <w:rsid w:val="006D193F"/>
    <w:rsid w:val="006D1985"/>
    <w:rsid w:val="006D1B75"/>
    <w:rsid w:val="006D1BC8"/>
    <w:rsid w:val="006D1E5D"/>
    <w:rsid w:val="006D2011"/>
    <w:rsid w:val="006D20F2"/>
    <w:rsid w:val="006D20F6"/>
    <w:rsid w:val="006D21B1"/>
    <w:rsid w:val="006D22A1"/>
    <w:rsid w:val="006D23C0"/>
    <w:rsid w:val="006D2469"/>
    <w:rsid w:val="006D2567"/>
    <w:rsid w:val="006D26CE"/>
    <w:rsid w:val="006D26EC"/>
    <w:rsid w:val="006D2755"/>
    <w:rsid w:val="006D28B3"/>
    <w:rsid w:val="006D296B"/>
    <w:rsid w:val="006D2AE5"/>
    <w:rsid w:val="006D2C02"/>
    <w:rsid w:val="006D2C84"/>
    <w:rsid w:val="006D2D88"/>
    <w:rsid w:val="006D2FA5"/>
    <w:rsid w:val="006D2FA7"/>
    <w:rsid w:val="006D2FAF"/>
    <w:rsid w:val="006D2FD7"/>
    <w:rsid w:val="006D2FDA"/>
    <w:rsid w:val="006D3010"/>
    <w:rsid w:val="006D306E"/>
    <w:rsid w:val="006D316A"/>
    <w:rsid w:val="006D317D"/>
    <w:rsid w:val="006D319D"/>
    <w:rsid w:val="006D31FC"/>
    <w:rsid w:val="006D3283"/>
    <w:rsid w:val="006D32A6"/>
    <w:rsid w:val="006D3304"/>
    <w:rsid w:val="006D3334"/>
    <w:rsid w:val="006D335F"/>
    <w:rsid w:val="006D3362"/>
    <w:rsid w:val="006D3571"/>
    <w:rsid w:val="006D3609"/>
    <w:rsid w:val="006D361A"/>
    <w:rsid w:val="006D3626"/>
    <w:rsid w:val="006D373C"/>
    <w:rsid w:val="006D3887"/>
    <w:rsid w:val="006D39B4"/>
    <w:rsid w:val="006D3A3F"/>
    <w:rsid w:val="006D3BD2"/>
    <w:rsid w:val="006D3BE1"/>
    <w:rsid w:val="006D3BEE"/>
    <w:rsid w:val="006D3CF5"/>
    <w:rsid w:val="006D3D2A"/>
    <w:rsid w:val="006D3D9F"/>
    <w:rsid w:val="006D3DAA"/>
    <w:rsid w:val="006D3DDF"/>
    <w:rsid w:val="006D3E1C"/>
    <w:rsid w:val="006D3EB6"/>
    <w:rsid w:val="006D3F44"/>
    <w:rsid w:val="006D40C8"/>
    <w:rsid w:val="006D4151"/>
    <w:rsid w:val="006D4189"/>
    <w:rsid w:val="006D4243"/>
    <w:rsid w:val="006D426F"/>
    <w:rsid w:val="006D4309"/>
    <w:rsid w:val="006D43A6"/>
    <w:rsid w:val="006D43EE"/>
    <w:rsid w:val="006D4540"/>
    <w:rsid w:val="006D4580"/>
    <w:rsid w:val="006D47BC"/>
    <w:rsid w:val="006D4B13"/>
    <w:rsid w:val="006D4B15"/>
    <w:rsid w:val="006D4B9F"/>
    <w:rsid w:val="006D4BDF"/>
    <w:rsid w:val="006D4CD4"/>
    <w:rsid w:val="006D4CFC"/>
    <w:rsid w:val="006D4D79"/>
    <w:rsid w:val="006D4D89"/>
    <w:rsid w:val="006D4DDE"/>
    <w:rsid w:val="006D5014"/>
    <w:rsid w:val="006D516E"/>
    <w:rsid w:val="006D51AD"/>
    <w:rsid w:val="006D51F3"/>
    <w:rsid w:val="006D51F7"/>
    <w:rsid w:val="006D520B"/>
    <w:rsid w:val="006D5214"/>
    <w:rsid w:val="006D52A0"/>
    <w:rsid w:val="006D52E8"/>
    <w:rsid w:val="006D5319"/>
    <w:rsid w:val="006D533B"/>
    <w:rsid w:val="006D5457"/>
    <w:rsid w:val="006D5480"/>
    <w:rsid w:val="006D5567"/>
    <w:rsid w:val="006D5629"/>
    <w:rsid w:val="006D57E6"/>
    <w:rsid w:val="006D57E7"/>
    <w:rsid w:val="006D57FD"/>
    <w:rsid w:val="006D58FB"/>
    <w:rsid w:val="006D5918"/>
    <w:rsid w:val="006D5C18"/>
    <w:rsid w:val="006D5C1B"/>
    <w:rsid w:val="006D5C7C"/>
    <w:rsid w:val="006D5D90"/>
    <w:rsid w:val="006D5DD1"/>
    <w:rsid w:val="006D5E2E"/>
    <w:rsid w:val="006D5E38"/>
    <w:rsid w:val="006D5F3F"/>
    <w:rsid w:val="006D601D"/>
    <w:rsid w:val="006D60FD"/>
    <w:rsid w:val="006D62E6"/>
    <w:rsid w:val="006D637D"/>
    <w:rsid w:val="006D654B"/>
    <w:rsid w:val="006D6569"/>
    <w:rsid w:val="006D65D3"/>
    <w:rsid w:val="006D662F"/>
    <w:rsid w:val="006D6750"/>
    <w:rsid w:val="006D6771"/>
    <w:rsid w:val="006D67C8"/>
    <w:rsid w:val="006D68CF"/>
    <w:rsid w:val="006D6B96"/>
    <w:rsid w:val="006D6C3D"/>
    <w:rsid w:val="006D6DB7"/>
    <w:rsid w:val="006D6F73"/>
    <w:rsid w:val="006D6FC7"/>
    <w:rsid w:val="006D723F"/>
    <w:rsid w:val="006D731F"/>
    <w:rsid w:val="006D7362"/>
    <w:rsid w:val="006D737D"/>
    <w:rsid w:val="006D740A"/>
    <w:rsid w:val="006D7527"/>
    <w:rsid w:val="006D76DD"/>
    <w:rsid w:val="006D76EF"/>
    <w:rsid w:val="006D77AC"/>
    <w:rsid w:val="006D77E7"/>
    <w:rsid w:val="006D7A63"/>
    <w:rsid w:val="006D7AD7"/>
    <w:rsid w:val="006D7BAF"/>
    <w:rsid w:val="006D7BD9"/>
    <w:rsid w:val="006D7CB7"/>
    <w:rsid w:val="006D7CFC"/>
    <w:rsid w:val="006D7E73"/>
    <w:rsid w:val="006D7F41"/>
    <w:rsid w:val="006D7FC4"/>
    <w:rsid w:val="006E004C"/>
    <w:rsid w:val="006E0225"/>
    <w:rsid w:val="006E0293"/>
    <w:rsid w:val="006E02D5"/>
    <w:rsid w:val="006E030C"/>
    <w:rsid w:val="006E0555"/>
    <w:rsid w:val="006E0573"/>
    <w:rsid w:val="006E062F"/>
    <w:rsid w:val="006E071D"/>
    <w:rsid w:val="006E0799"/>
    <w:rsid w:val="006E07A2"/>
    <w:rsid w:val="006E088D"/>
    <w:rsid w:val="006E0A36"/>
    <w:rsid w:val="006E0A5B"/>
    <w:rsid w:val="006E0B34"/>
    <w:rsid w:val="006E0CB1"/>
    <w:rsid w:val="006E0D03"/>
    <w:rsid w:val="006E0D07"/>
    <w:rsid w:val="006E0DEC"/>
    <w:rsid w:val="006E0FD6"/>
    <w:rsid w:val="006E0FDF"/>
    <w:rsid w:val="006E10B1"/>
    <w:rsid w:val="006E13C7"/>
    <w:rsid w:val="006E13DA"/>
    <w:rsid w:val="006E14CB"/>
    <w:rsid w:val="006E15CB"/>
    <w:rsid w:val="006E1667"/>
    <w:rsid w:val="006E16B7"/>
    <w:rsid w:val="006E16ED"/>
    <w:rsid w:val="006E1804"/>
    <w:rsid w:val="006E18F3"/>
    <w:rsid w:val="006E1A28"/>
    <w:rsid w:val="006E1A88"/>
    <w:rsid w:val="006E1A9A"/>
    <w:rsid w:val="006E1AE2"/>
    <w:rsid w:val="006E1BAC"/>
    <w:rsid w:val="006E1DBC"/>
    <w:rsid w:val="006E1FA7"/>
    <w:rsid w:val="006E2313"/>
    <w:rsid w:val="006E23C2"/>
    <w:rsid w:val="006E2547"/>
    <w:rsid w:val="006E259D"/>
    <w:rsid w:val="006E264F"/>
    <w:rsid w:val="006E2664"/>
    <w:rsid w:val="006E2707"/>
    <w:rsid w:val="006E2747"/>
    <w:rsid w:val="006E27DE"/>
    <w:rsid w:val="006E2822"/>
    <w:rsid w:val="006E2859"/>
    <w:rsid w:val="006E28A6"/>
    <w:rsid w:val="006E28FB"/>
    <w:rsid w:val="006E2B5B"/>
    <w:rsid w:val="006E2C8B"/>
    <w:rsid w:val="006E2C8D"/>
    <w:rsid w:val="006E2D33"/>
    <w:rsid w:val="006E2D8A"/>
    <w:rsid w:val="006E2FAC"/>
    <w:rsid w:val="006E2FF2"/>
    <w:rsid w:val="006E30CE"/>
    <w:rsid w:val="006E30DC"/>
    <w:rsid w:val="006E31D0"/>
    <w:rsid w:val="006E3223"/>
    <w:rsid w:val="006E32CB"/>
    <w:rsid w:val="006E32E1"/>
    <w:rsid w:val="006E3354"/>
    <w:rsid w:val="006E3591"/>
    <w:rsid w:val="006E37B9"/>
    <w:rsid w:val="006E387C"/>
    <w:rsid w:val="006E398F"/>
    <w:rsid w:val="006E39CF"/>
    <w:rsid w:val="006E39DC"/>
    <w:rsid w:val="006E3AEF"/>
    <w:rsid w:val="006E3B3D"/>
    <w:rsid w:val="006E3C85"/>
    <w:rsid w:val="006E3D14"/>
    <w:rsid w:val="006E3D53"/>
    <w:rsid w:val="006E3D68"/>
    <w:rsid w:val="006E3D80"/>
    <w:rsid w:val="006E3DBF"/>
    <w:rsid w:val="006E3E0C"/>
    <w:rsid w:val="006E3E0D"/>
    <w:rsid w:val="006E3F9D"/>
    <w:rsid w:val="006E3FB2"/>
    <w:rsid w:val="006E3FB4"/>
    <w:rsid w:val="006E3FE6"/>
    <w:rsid w:val="006E4038"/>
    <w:rsid w:val="006E40A5"/>
    <w:rsid w:val="006E41D4"/>
    <w:rsid w:val="006E41F3"/>
    <w:rsid w:val="006E425E"/>
    <w:rsid w:val="006E428F"/>
    <w:rsid w:val="006E45F7"/>
    <w:rsid w:val="006E4712"/>
    <w:rsid w:val="006E47AD"/>
    <w:rsid w:val="006E4826"/>
    <w:rsid w:val="006E491D"/>
    <w:rsid w:val="006E4A10"/>
    <w:rsid w:val="006E4C0A"/>
    <w:rsid w:val="006E4C1D"/>
    <w:rsid w:val="006E4CEE"/>
    <w:rsid w:val="006E4D6D"/>
    <w:rsid w:val="006E4EA2"/>
    <w:rsid w:val="006E4EEA"/>
    <w:rsid w:val="006E4F85"/>
    <w:rsid w:val="006E50EF"/>
    <w:rsid w:val="006E523B"/>
    <w:rsid w:val="006E5296"/>
    <w:rsid w:val="006E5298"/>
    <w:rsid w:val="006E5308"/>
    <w:rsid w:val="006E5333"/>
    <w:rsid w:val="006E53AB"/>
    <w:rsid w:val="006E5415"/>
    <w:rsid w:val="006E5525"/>
    <w:rsid w:val="006E5562"/>
    <w:rsid w:val="006E55F3"/>
    <w:rsid w:val="006E573E"/>
    <w:rsid w:val="006E5800"/>
    <w:rsid w:val="006E5AEF"/>
    <w:rsid w:val="006E5B91"/>
    <w:rsid w:val="006E5BF2"/>
    <w:rsid w:val="006E5C48"/>
    <w:rsid w:val="006E5D79"/>
    <w:rsid w:val="006E5EAA"/>
    <w:rsid w:val="006E5FD5"/>
    <w:rsid w:val="006E5FE3"/>
    <w:rsid w:val="006E601A"/>
    <w:rsid w:val="006E6119"/>
    <w:rsid w:val="006E61CB"/>
    <w:rsid w:val="006E625F"/>
    <w:rsid w:val="006E6305"/>
    <w:rsid w:val="006E63D8"/>
    <w:rsid w:val="006E6449"/>
    <w:rsid w:val="006E65A2"/>
    <w:rsid w:val="006E65E0"/>
    <w:rsid w:val="006E6638"/>
    <w:rsid w:val="006E66B0"/>
    <w:rsid w:val="006E6786"/>
    <w:rsid w:val="006E6791"/>
    <w:rsid w:val="006E69BA"/>
    <w:rsid w:val="006E6ACB"/>
    <w:rsid w:val="006E6B96"/>
    <w:rsid w:val="006E6BE1"/>
    <w:rsid w:val="006E6D6C"/>
    <w:rsid w:val="006E6E59"/>
    <w:rsid w:val="006E6F67"/>
    <w:rsid w:val="006E6F8C"/>
    <w:rsid w:val="006E6FC5"/>
    <w:rsid w:val="006E7021"/>
    <w:rsid w:val="006E70D0"/>
    <w:rsid w:val="006E7176"/>
    <w:rsid w:val="006E728F"/>
    <w:rsid w:val="006E745D"/>
    <w:rsid w:val="006E7515"/>
    <w:rsid w:val="006E751B"/>
    <w:rsid w:val="006E75C3"/>
    <w:rsid w:val="006E7690"/>
    <w:rsid w:val="006E76BF"/>
    <w:rsid w:val="006E76CD"/>
    <w:rsid w:val="006E76E2"/>
    <w:rsid w:val="006E7703"/>
    <w:rsid w:val="006E787B"/>
    <w:rsid w:val="006E7985"/>
    <w:rsid w:val="006E79ED"/>
    <w:rsid w:val="006E7BDB"/>
    <w:rsid w:val="006F0047"/>
    <w:rsid w:val="006F006D"/>
    <w:rsid w:val="006F0088"/>
    <w:rsid w:val="006F0091"/>
    <w:rsid w:val="006F010B"/>
    <w:rsid w:val="006F015C"/>
    <w:rsid w:val="006F01A7"/>
    <w:rsid w:val="006F0331"/>
    <w:rsid w:val="006F0335"/>
    <w:rsid w:val="006F044A"/>
    <w:rsid w:val="006F0479"/>
    <w:rsid w:val="006F0575"/>
    <w:rsid w:val="006F0626"/>
    <w:rsid w:val="006F0628"/>
    <w:rsid w:val="006F093F"/>
    <w:rsid w:val="006F099C"/>
    <w:rsid w:val="006F0B31"/>
    <w:rsid w:val="006F0B5B"/>
    <w:rsid w:val="006F0BA6"/>
    <w:rsid w:val="006F0BFF"/>
    <w:rsid w:val="006F0C52"/>
    <w:rsid w:val="006F0D4E"/>
    <w:rsid w:val="006F0E3D"/>
    <w:rsid w:val="006F0EB4"/>
    <w:rsid w:val="006F0F5C"/>
    <w:rsid w:val="006F0F80"/>
    <w:rsid w:val="006F0FCD"/>
    <w:rsid w:val="006F0FD7"/>
    <w:rsid w:val="006F1027"/>
    <w:rsid w:val="006F10BD"/>
    <w:rsid w:val="006F12E2"/>
    <w:rsid w:val="006F1389"/>
    <w:rsid w:val="006F1415"/>
    <w:rsid w:val="006F15B9"/>
    <w:rsid w:val="006F1626"/>
    <w:rsid w:val="006F17E7"/>
    <w:rsid w:val="006F193C"/>
    <w:rsid w:val="006F1979"/>
    <w:rsid w:val="006F1A05"/>
    <w:rsid w:val="006F1A2B"/>
    <w:rsid w:val="006F1A2F"/>
    <w:rsid w:val="006F1BF6"/>
    <w:rsid w:val="006F1C49"/>
    <w:rsid w:val="006F1C4A"/>
    <w:rsid w:val="006F1C65"/>
    <w:rsid w:val="006F1F94"/>
    <w:rsid w:val="006F20FA"/>
    <w:rsid w:val="006F2127"/>
    <w:rsid w:val="006F21FC"/>
    <w:rsid w:val="006F222C"/>
    <w:rsid w:val="006F23A9"/>
    <w:rsid w:val="006F23F8"/>
    <w:rsid w:val="006F2445"/>
    <w:rsid w:val="006F2448"/>
    <w:rsid w:val="006F2491"/>
    <w:rsid w:val="006F24E5"/>
    <w:rsid w:val="006F270C"/>
    <w:rsid w:val="006F27E2"/>
    <w:rsid w:val="006F2814"/>
    <w:rsid w:val="006F285F"/>
    <w:rsid w:val="006F290E"/>
    <w:rsid w:val="006F299D"/>
    <w:rsid w:val="006F2A67"/>
    <w:rsid w:val="006F2B7B"/>
    <w:rsid w:val="006F2BFB"/>
    <w:rsid w:val="006F2CCC"/>
    <w:rsid w:val="006F2D3F"/>
    <w:rsid w:val="006F2D9D"/>
    <w:rsid w:val="006F2EBE"/>
    <w:rsid w:val="006F2F6C"/>
    <w:rsid w:val="006F303B"/>
    <w:rsid w:val="006F30F5"/>
    <w:rsid w:val="006F3134"/>
    <w:rsid w:val="006F3138"/>
    <w:rsid w:val="006F3382"/>
    <w:rsid w:val="006F33EE"/>
    <w:rsid w:val="006F34EB"/>
    <w:rsid w:val="006F359C"/>
    <w:rsid w:val="006F3733"/>
    <w:rsid w:val="006F3766"/>
    <w:rsid w:val="006F39BA"/>
    <w:rsid w:val="006F3ABB"/>
    <w:rsid w:val="006F3AFB"/>
    <w:rsid w:val="006F3B5C"/>
    <w:rsid w:val="006F3C26"/>
    <w:rsid w:val="006F3C75"/>
    <w:rsid w:val="006F3CF0"/>
    <w:rsid w:val="006F3DD7"/>
    <w:rsid w:val="006F3EEA"/>
    <w:rsid w:val="006F3F85"/>
    <w:rsid w:val="006F41B3"/>
    <w:rsid w:val="006F4270"/>
    <w:rsid w:val="006F4303"/>
    <w:rsid w:val="006F438A"/>
    <w:rsid w:val="006F43D9"/>
    <w:rsid w:val="006F450D"/>
    <w:rsid w:val="006F452F"/>
    <w:rsid w:val="006F457A"/>
    <w:rsid w:val="006F4582"/>
    <w:rsid w:val="006F4597"/>
    <w:rsid w:val="006F4636"/>
    <w:rsid w:val="006F46B0"/>
    <w:rsid w:val="006F47FD"/>
    <w:rsid w:val="006F49B8"/>
    <w:rsid w:val="006F49BA"/>
    <w:rsid w:val="006F4C20"/>
    <w:rsid w:val="006F4C4B"/>
    <w:rsid w:val="006F4C9C"/>
    <w:rsid w:val="006F4C9D"/>
    <w:rsid w:val="006F4EE9"/>
    <w:rsid w:val="006F4EFB"/>
    <w:rsid w:val="006F4F34"/>
    <w:rsid w:val="006F4FB3"/>
    <w:rsid w:val="006F4FF0"/>
    <w:rsid w:val="006F501C"/>
    <w:rsid w:val="006F5210"/>
    <w:rsid w:val="006F524E"/>
    <w:rsid w:val="006F5296"/>
    <w:rsid w:val="006F5376"/>
    <w:rsid w:val="006F53AA"/>
    <w:rsid w:val="006F53ED"/>
    <w:rsid w:val="006F546B"/>
    <w:rsid w:val="006F5517"/>
    <w:rsid w:val="006F55D9"/>
    <w:rsid w:val="006F5649"/>
    <w:rsid w:val="006F5720"/>
    <w:rsid w:val="006F57EC"/>
    <w:rsid w:val="006F58EC"/>
    <w:rsid w:val="006F58FC"/>
    <w:rsid w:val="006F599E"/>
    <w:rsid w:val="006F59A7"/>
    <w:rsid w:val="006F59A9"/>
    <w:rsid w:val="006F59DA"/>
    <w:rsid w:val="006F5AC7"/>
    <w:rsid w:val="006F5AF8"/>
    <w:rsid w:val="006F5B88"/>
    <w:rsid w:val="006F5C1F"/>
    <w:rsid w:val="006F5D5F"/>
    <w:rsid w:val="006F5F35"/>
    <w:rsid w:val="006F5F97"/>
    <w:rsid w:val="006F60E0"/>
    <w:rsid w:val="006F6156"/>
    <w:rsid w:val="006F625F"/>
    <w:rsid w:val="006F62CD"/>
    <w:rsid w:val="006F6404"/>
    <w:rsid w:val="006F640B"/>
    <w:rsid w:val="006F648F"/>
    <w:rsid w:val="006F654D"/>
    <w:rsid w:val="006F6708"/>
    <w:rsid w:val="006F67B3"/>
    <w:rsid w:val="006F68F1"/>
    <w:rsid w:val="006F692D"/>
    <w:rsid w:val="006F69C1"/>
    <w:rsid w:val="006F6ADC"/>
    <w:rsid w:val="006F6B26"/>
    <w:rsid w:val="006F6C75"/>
    <w:rsid w:val="006F6C8C"/>
    <w:rsid w:val="006F6CBD"/>
    <w:rsid w:val="006F6DB2"/>
    <w:rsid w:val="006F6E06"/>
    <w:rsid w:val="006F7087"/>
    <w:rsid w:val="006F70EB"/>
    <w:rsid w:val="006F712F"/>
    <w:rsid w:val="006F71E2"/>
    <w:rsid w:val="006F7211"/>
    <w:rsid w:val="006F72BA"/>
    <w:rsid w:val="006F73E8"/>
    <w:rsid w:val="006F7445"/>
    <w:rsid w:val="006F75AA"/>
    <w:rsid w:val="006F75F7"/>
    <w:rsid w:val="006F75FD"/>
    <w:rsid w:val="006F789D"/>
    <w:rsid w:val="006F7A0B"/>
    <w:rsid w:val="006F7CA5"/>
    <w:rsid w:val="006F7CE3"/>
    <w:rsid w:val="006F7D02"/>
    <w:rsid w:val="006F7E4A"/>
    <w:rsid w:val="006F7EA3"/>
    <w:rsid w:val="006F7FA3"/>
    <w:rsid w:val="007001A3"/>
    <w:rsid w:val="007001DB"/>
    <w:rsid w:val="00700253"/>
    <w:rsid w:val="007002DE"/>
    <w:rsid w:val="0070042A"/>
    <w:rsid w:val="007006D4"/>
    <w:rsid w:val="00700702"/>
    <w:rsid w:val="00700732"/>
    <w:rsid w:val="00700790"/>
    <w:rsid w:val="00700992"/>
    <w:rsid w:val="007009AB"/>
    <w:rsid w:val="00700A1F"/>
    <w:rsid w:val="00700A50"/>
    <w:rsid w:val="00700A63"/>
    <w:rsid w:val="00700B5F"/>
    <w:rsid w:val="00700BD8"/>
    <w:rsid w:val="00700BE0"/>
    <w:rsid w:val="00700C80"/>
    <w:rsid w:val="00700D68"/>
    <w:rsid w:val="00700DB6"/>
    <w:rsid w:val="00700E64"/>
    <w:rsid w:val="00700E78"/>
    <w:rsid w:val="00700EA4"/>
    <w:rsid w:val="00700EC9"/>
    <w:rsid w:val="00700FAC"/>
    <w:rsid w:val="00701050"/>
    <w:rsid w:val="0070110F"/>
    <w:rsid w:val="00701382"/>
    <w:rsid w:val="0070146B"/>
    <w:rsid w:val="00701474"/>
    <w:rsid w:val="007014C1"/>
    <w:rsid w:val="007014CE"/>
    <w:rsid w:val="00701532"/>
    <w:rsid w:val="00701554"/>
    <w:rsid w:val="00701573"/>
    <w:rsid w:val="00701574"/>
    <w:rsid w:val="007017CB"/>
    <w:rsid w:val="007017F1"/>
    <w:rsid w:val="0070189C"/>
    <w:rsid w:val="007018AD"/>
    <w:rsid w:val="0070192F"/>
    <w:rsid w:val="00701A08"/>
    <w:rsid w:val="00701B9F"/>
    <w:rsid w:val="00701BCA"/>
    <w:rsid w:val="00701C08"/>
    <w:rsid w:val="00701C71"/>
    <w:rsid w:val="00701D56"/>
    <w:rsid w:val="00701D68"/>
    <w:rsid w:val="00701D7A"/>
    <w:rsid w:val="00701D82"/>
    <w:rsid w:val="00701E13"/>
    <w:rsid w:val="00701E56"/>
    <w:rsid w:val="00701E5A"/>
    <w:rsid w:val="00701F24"/>
    <w:rsid w:val="0070204F"/>
    <w:rsid w:val="007020A3"/>
    <w:rsid w:val="00702114"/>
    <w:rsid w:val="0070218C"/>
    <w:rsid w:val="007021F1"/>
    <w:rsid w:val="0070244C"/>
    <w:rsid w:val="007024E5"/>
    <w:rsid w:val="00702508"/>
    <w:rsid w:val="0070267B"/>
    <w:rsid w:val="00702707"/>
    <w:rsid w:val="007027D1"/>
    <w:rsid w:val="007027D4"/>
    <w:rsid w:val="007027FD"/>
    <w:rsid w:val="0070284A"/>
    <w:rsid w:val="00702851"/>
    <w:rsid w:val="00702875"/>
    <w:rsid w:val="00702B17"/>
    <w:rsid w:val="00702B90"/>
    <w:rsid w:val="00702C27"/>
    <w:rsid w:val="00702C9F"/>
    <w:rsid w:val="00702CDA"/>
    <w:rsid w:val="00702DD0"/>
    <w:rsid w:val="00702DE0"/>
    <w:rsid w:val="00702F58"/>
    <w:rsid w:val="00702FCD"/>
    <w:rsid w:val="00703044"/>
    <w:rsid w:val="00703215"/>
    <w:rsid w:val="0070323E"/>
    <w:rsid w:val="0070329C"/>
    <w:rsid w:val="007032D2"/>
    <w:rsid w:val="007032F1"/>
    <w:rsid w:val="007033BB"/>
    <w:rsid w:val="0070344A"/>
    <w:rsid w:val="007034CB"/>
    <w:rsid w:val="0070367F"/>
    <w:rsid w:val="007036FA"/>
    <w:rsid w:val="0070391A"/>
    <w:rsid w:val="00703934"/>
    <w:rsid w:val="00703A83"/>
    <w:rsid w:val="00703AB2"/>
    <w:rsid w:val="00703AD6"/>
    <w:rsid w:val="00703B06"/>
    <w:rsid w:val="00703DE3"/>
    <w:rsid w:val="00703DF4"/>
    <w:rsid w:val="00703E20"/>
    <w:rsid w:val="00703EB4"/>
    <w:rsid w:val="00703EFE"/>
    <w:rsid w:val="00704196"/>
    <w:rsid w:val="007041B3"/>
    <w:rsid w:val="00704245"/>
    <w:rsid w:val="007042C4"/>
    <w:rsid w:val="007042CB"/>
    <w:rsid w:val="00704433"/>
    <w:rsid w:val="007044AD"/>
    <w:rsid w:val="007044BF"/>
    <w:rsid w:val="0070466A"/>
    <w:rsid w:val="00704672"/>
    <w:rsid w:val="00704718"/>
    <w:rsid w:val="00704723"/>
    <w:rsid w:val="00704795"/>
    <w:rsid w:val="007047FF"/>
    <w:rsid w:val="00704AFF"/>
    <w:rsid w:val="00704C11"/>
    <w:rsid w:val="00704C1C"/>
    <w:rsid w:val="00704C35"/>
    <w:rsid w:val="00704C6A"/>
    <w:rsid w:val="00704C7B"/>
    <w:rsid w:val="00704CAF"/>
    <w:rsid w:val="00704CC9"/>
    <w:rsid w:val="00704EC9"/>
    <w:rsid w:val="00704F73"/>
    <w:rsid w:val="00705010"/>
    <w:rsid w:val="00705112"/>
    <w:rsid w:val="00705127"/>
    <w:rsid w:val="007051CC"/>
    <w:rsid w:val="00705216"/>
    <w:rsid w:val="00705249"/>
    <w:rsid w:val="007052AF"/>
    <w:rsid w:val="007052C4"/>
    <w:rsid w:val="007052EE"/>
    <w:rsid w:val="007053E1"/>
    <w:rsid w:val="00705415"/>
    <w:rsid w:val="007055D5"/>
    <w:rsid w:val="00705603"/>
    <w:rsid w:val="00705829"/>
    <w:rsid w:val="007059DF"/>
    <w:rsid w:val="007059F8"/>
    <w:rsid w:val="00705AC9"/>
    <w:rsid w:val="00705AF8"/>
    <w:rsid w:val="00705B5A"/>
    <w:rsid w:val="00705BB9"/>
    <w:rsid w:val="00705BFE"/>
    <w:rsid w:val="00705D83"/>
    <w:rsid w:val="00705DF2"/>
    <w:rsid w:val="00705E27"/>
    <w:rsid w:val="00705E71"/>
    <w:rsid w:val="00705EA3"/>
    <w:rsid w:val="00705EF6"/>
    <w:rsid w:val="00706082"/>
    <w:rsid w:val="007060F0"/>
    <w:rsid w:val="0070619A"/>
    <w:rsid w:val="007061AF"/>
    <w:rsid w:val="007061FC"/>
    <w:rsid w:val="0070626D"/>
    <w:rsid w:val="00706288"/>
    <w:rsid w:val="00706340"/>
    <w:rsid w:val="00706359"/>
    <w:rsid w:val="007063E0"/>
    <w:rsid w:val="007064FA"/>
    <w:rsid w:val="0070653A"/>
    <w:rsid w:val="0070658D"/>
    <w:rsid w:val="007066AD"/>
    <w:rsid w:val="00706735"/>
    <w:rsid w:val="0070683A"/>
    <w:rsid w:val="00706A53"/>
    <w:rsid w:val="00706A58"/>
    <w:rsid w:val="00706AC0"/>
    <w:rsid w:val="00706B5D"/>
    <w:rsid w:val="00706BED"/>
    <w:rsid w:val="00706C59"/>
    <w:rsid w:val="00706C81"/>
    <w:rsid w:val="00706D04"/>
    <w:rsid w:val="00706D37"/>
    <w:rsid w:val="00706DD2"/>
    <w:rsid w:val="00706DE9"/>
    <w:rsid w:val="00706E5F"/>
    <w:rsid w:val="00706F12"/>
    <w:rsid w:val="00706F78"/>
    <w:rsid w:val="00707097"/>
    <w:rsid w:val="007071A8"/>
    <w:rsid w:val="007071AD"/>
    <w:rsid w:val="00707266"/>
    <w:rsid w:val="007072A4"/>
    <w:rsid w:val="007072EE"/>
    <w:rsid w:val="0070739B"/>
    <w:rsid w:val="007073CF"/>
    <w:rsid w:val="00707514"/>
    <w:rsid w:val="007075C4"/>
    <w:rsid w:val="007077C3"/>
    <w:rsid w:val="007078A8"/>
    <w:rsid w:val="0070794A"/>
    <w:rsid w:val="00707A0E"/>
    <w:rsid w:val="00707A22"/>
    <w:rsid w:val="00707AB4"/>
    <w:rsid w:val="00707B57"/>
    <w:rsid w:val="00707B93"/>
    <w:rsid w:val="00707C2D"/>
    <w:rsid w:val="00707CE2"/>
    <w:rsid w:val="00707E1B"/>
    <w:rsid w:val="00707E64"/>
    <w:rsid w:val="00710029"/>
    <w:rsid w:val="0071009D"/>
    <w:rsid w:val="007100CD"/>
    <w:rsid w:val="007101F7"/>
    <w:rsid w:val="00710303"/>
    <w:rsid w:val="0071038C"/>
    <w:rsid w:val="00710520"/>
    <w:rsid w:val="0071052D"/>
    <w:rsid w:val="00710564"/>
    <w:rsid w:val="00710677"/>
    <w:rsid w:val="00710739"/>
    <w:rsid w:val="007108AD"/>
    <w:rsid w:val="00710928"/>
    <w:rsid w:val="00710A6C"/>
    <w:rsid w:val="00710B9C"/>
    <w:rsid w:val="00710C7F"/>
    <w:rsid w:val="00710E00"/>
    <w:rsid w:val="00710E99"/>
    <w:rsid w:val="00710EE5"/>
    <w:rsid w:val="00710FD2"/>
    <w:rsid w:val="00711009"/>
    <w:rsid w:val="0071107C"/>
    <w:rsid w:val="007111CF"/>
    <w:rsid w:val="00711368"/>
    <w:rsid w:val="00711370"/>
    <w:rsid w:val="0071140C"/>
    <w:rsid w:val="007114AA"/>
    <w:rsid w:val="007114C1"/>
    <w:rsid w:val="00711579"/>
    <w:rsid w:val="007115A6"/>
    <w:rsid w:val="0071162C"/>
    <w:rsid w:val="007116DD"/>
    <w:rsid w:val="0071171A"/>
    <w:rsid w:val="0071176D"/>
    <w:rsid w:val="00711795"/>
    <w:rsid w:val="00711833"/>
    <w:rsid w:val="00711923"/>
    <w:rsid w:val="007119A3"/>
    <w:rsid w:val="007119FC"/>
    <w:rsid w:val="00711A68"/>
    <w:rsid w:val="00711A73"/>
    <w:rsid w:val="00711AC4"/>
    <w:rsid w:val="00711CC1"/>
    <w:rsid w:val="00712140"/>
    <w:rsid w:val="00712145"/>
    <w:rsid w:val="0071222C"/>
    <w:rsid w:val="00712330"/>
    <w:rsid w:val="00712334"/>
    <w:rsid w:val="00712339"/>
    <w:rsid w:val="007123AB"/>
    <w:rsid w:val="007123E2"/>
    <w:rsid w:val="0071249E"/>
    <w:rsid w:val="00712548"/>
    <w:rsid w:val="007125DB"/>
    <w:rsid w:val="007125E7"/>
    <w:rsid w:val="007126DB"/>
    <w:rsid w:val="00712873"/>
    <w:rsid w:val="0071291C"/>
    <w:rsid w:val="0071291D"/>
    <w:rsid w:val="00712A60"/>
    <w:rsid w:val="00712A72"/>
    <w:rsid w:val="00712A9C"/>
    <w:rsid w:val="00712AF2"/>
    <w:rsid w:val="00712B50"/>
    <w:rsid w:val="00712C18"/>
    <w:rsid w:val="00712C7C"/>
    <w:rsid w:val="00712E1E"/>
    <w:rsid w:val="00712E5E"/>
    <w:rsid w:val="00712EE9"/>
    <w:rsid w:val="00712F41"/>
    <w:rsid w:val="00712FA2"/>
    <w:rsid w:val="0071302B"/>
    <w:rsid w:val="0071303A"/>
    <w:rsid w:val="007130A1"/>
    <w:rsid w:val="0071312C"/>
    <w:rsid w:val="00713175"/>
    <w:rsid w:val="0071329F"/>
    <w:rsid w:val="007132EB"/>
    <w:rsid w:val="0071349F"/>
    <w:rsid w:val="00713549"/>
    <w:rsid w:val="00713607"/>
    <w:rsid w:val="00713616"/>
    <w:rsid w:val="007136AF"/>
    <w:rsid w:val="007137BD"/>
    <w:rsid w:val="00713882"/>
    <w:rsid w:val="00713AB8"/>
    <w:rsid w:val="00713BBD"/>
    <w:rsid w:val="00713BDE"/>
    <w:rsid w:val="00713CEF"/>
    <w:rsid w:val="00713D37"/>
    <w:rsid w:val="00713D9F"/>
    <w:rsid w:val="00713E05"/>
    <w:rsid w:val="00713E7B"/>
    <w:rsid w:val="00713EEA"/>
    <w:rsid w:val="00713F26"/>
    <w:rsid w:val="00713FFB"/>
    <w:rsid w:val="0071402F"/>
    <w:rsid w:val="0071404E"/>
    <w:rsid w:val="00714173"/>
    <w:rsid w:val="007141D1"/>
    <w:rsid w:val="007144C9"/>
    <w:rsid w:val="00714574"/>
    <w:rsid w:val="007145E6"/>
    <w:rsid w:val="0071466E"/>
    <w:rsid w:val="0071488E"/>
    <w:rsid w:val="007148E8"/>
    <w:rsid w:val="0071490C"/>
    <w:rsid w:val="0071494A"/>
    <w:rsid w:val="007149A4"/>
    <w:rsid w:val="00714A0B"/>
    <w:rsid w:val="00714A2E"/>
    <w:rsid w:val="00714A73"/>
    <w:rsid w:val="00714B01"/>
    <w:rsid w:val="00714CA4"/>
    <w:rsid w:val="00714D00"/>
    <w:rsid w:val="00714D46"/>
    <w:rsid w:val="00714D8E"/>
    <w:rsid w:val="00714E61"/>
    <w:rsid w:val="00714F2D"/>
    <w:rsid w:val="0071508B"/>
    <w:rsid w:val="007150BE"/>
    <w:rsid w:val="007150EA"/>
    <w:rsid w:val="007151AE"/>
    <w:rsid w:val="007151E3"/>
    <w:rsid w:val="007152C3"/>
    <w:rsid w:val="00715316"/>
    <w:rsid w:val="007153FD"/>
    <w:rsid w:val="007154BE"/>
    <w:rsid w:val="007156B7"/>
    <w:rsid w:val="00715769"/>
    <w:rsid w:val="007157A9"/>
    <w:rsid w:val="007157DF"/>
    <w:rsid w:val="00715814"/>
    <w:rsid w:val="00715877"/>
    <w:rsid w:val="007158DF"/>
    <w:rsid w:val="00715940"/>
    <w:rsid w:val="00715997"/>
    <w:rsid w:val="0071599F"/>
    <w:rsid w:val="007159BA"/>
    <w:rsid w:val="007159F1"/>
    <w:rsid w:val="00715BDA"/>
    <w:rsid w:val="00715CC7"/>
    <w:rsid w:val="00715D03"/>
    <w:rsid w:val="00715EE1"/>
    <w:rsid w:val="00716036"/>
    <w:rsid w:val="007160F7"/>
    <w:rsid w:val="00716281"/>
    <w:rsid w:val="0071631F"/>
    <w:rsid w:val="0071633A"/>
    <w:rsid w:val="00716664"/>
    <w:rsid w:val="0071667A"/>
    <w:rsid w:val="007166DC"/>
    <w:rsid w:val="007166FE"/>
    <w:rsid w:val="00716793"/>
    <w:rsid w:val="007168C2"/>
    <w:rsid w:val="0071694B"/>
    <w:rsid w:val="00716A34"/>
    <w:rsid w:val="00716B51"/>
    <w:rsid w:val="00716B95"/>
    <w:rsid w:val="00716C0F"/>
    <w:rsid w:val="00716D2F"/>
    <w:rsid w:val="00716F98"/>
    <w:rsid w:val="00716FD4"/>
    <w:rsid w:val="00716FD6"/>
    <w:rsid w:val="0071714C"/>
    <w:rsid w:val="0071715A"/>
    <w:rsid w:val="007171CC"/>
    <w:rsid w:val="007171FD"/>
    <w:rsid w:val="007172E7"/>
    <w:rsid w:val="007173F7"/>
    <w:rsid w:val="007174B6"/>
    <w:rsid w:val="007174DC"/>
    <w:rsid w:val="007174E8"/>
    <w:rsid w:val="00717534"/>
    <w:rsid w:val="00717664"/>
    <w:rsid w:val="00717A3B"/>
    <w:rsid w:val="00717C1F"/>
    <w:rsid w:val="00717D37"/>
    <w:rsid w:val="00717D5A"/>
    <w:rsid w:val="00717DCE"/>
    <w:rsid w:val="00717EB4"/>
    <w:rsid w:val="00717EC2"/>
    <w:rsid w:val="00717FAB"/>
    <w:rsid w:val="00717FC7"/>
    <w:rsid w:val="00717FD2"/>
    <w:rsid w:val="00720089"/>
    <w:rsid w:val="007200E0"/>
    <w:rsid w:val="0072018F"/>
    <w:rsid w:val="0072028B"/>
    <w:rsid w:val="0072043D"/>
    <w:rsid w:val="0072048F"/>
    <w:rsid w:val="00720516"/>
    <w:rsid w:val="0072051D"/>
    <w:rsid w:val="0072052A"/>
    <w:rsid w:val="007205E9"/>
    <w:rsid w:val="007206BB"/>
    <w:rsid w:val="007206E7"/>
    <w:rsid w:val="0072071C"/>
    <w:rsid w:val="00720938"/>
    <w:rsid w:val="00720BC0"/>
    <w:rsid w:val="00720C04"/>
    <w:rsid w:val="00720C24"/>
    <w:rsid w:val="00720C79"/>
    <w:rsid w:val="00720C9E"/>
    <w:rsid w:val="00720D64"/>
    <w:rsid w:val="00720DD2"/>
    <w:rsid w:val="00720DEE"/>
    <w:rsid w:val="00720E1F"/>
    <w:rsid w:val="00720E4A"/>
    <w:rsid w:val="00720E54"/>
    <w:rsid w:val="00720E9C"/>
    <w:rsid w:val="007211A7"/>
    <w:rsid w:val="00721208"/>
    <w:rsid w:val="00721258"/>
    <w:rsid w:val="00721301"/>
    <w:rsid w:val="00721722"/>
    <w:rsid w:val="00721AD8"/>
    <w:rsid w:val="00721BD5"/>
    <w:rsid w:val="00721D62"/>
    <w:rsid w:val="00721DDC"/>
    <w:rsid w:val="00721E41"/>
    <w:rsid w:val="00721EBE"/>
    <w:rsid w:val="00721EBF"/>
    <w:rsid w:val="00721F93"/>
    <w:rsid w:val="00721FDB"/>
    <w:rsid w:val="007220A7"/>
    <w:rsid w:val="007220DC"/>
    <w:rsid w:val="00722123"/>
    <w:rsid w:val="0072217E"/>
    <w:rsid w:val="007221D5"/>
    <w:rsid w:val="0072220E"/>
    <w:rsid w:val="007222B3"/>
    <w:rsid w:val="007223DF"/>
    <w:rsid w:val="00722431"/>
    <w:rsid w:val="0072245B"/>
    <w:rsid w:val="0072248F"/>
    <w:rsid w:val="0072251D"/>
    <w:rsid w:val="007225CA"/>
    <w:rsid w:val="007227E2"/>
    <w:rsid w:val="00722893"/>
    <w:rsid w:val="0072291C"/>
    <w:rsid w:val="00722926"/>
    <w:rsid w:val="0072297D"/>
    <w:rsid w:val="00722A3D"/>
    <w:rsid w:val="00722A81"/>
    <w:rsid w:val="00722AA7"/>
    <w:rsid w:val="00722AC4"/>
    <w:rsid w:val="00722B51"/>
    <w:rsid w:val="00722C69"/>
    <w:rsid w:val="00722CBC"/>
    <w:rsid w:val="00722D8D"/>
    <w:rsid w:val="00722E2D"/>
    <w:rsid w:val="0072304C"/>
    <w:rsid w:val="0072318D"/>
    <w:rsid w:val="0072322A"/>
    <w:rsid w:val="00723250"/>
    <w:rsid w:val="0072328B"/>
    <w:rsid w:val="007232D5"/>
    <w:rsid w:val="0072335C"/>
    <w:rsid w:val="007233A8"/>
    <w:rsid w:val="00723494"/>
    <w:rsid w:val="007234C1"/>
    <w:rsid w:val="0072376D"/>
    <w:rsid w:val="00723824"/>
    <w:rsid w:val="00723AA5"/>
    <w:rsid w:val="00723B22"/>
    <w:rsid w:val="00723BB8"/>
    <w:rsid w:val="00723C21"/>
    <w:rsid w:val="00723C25"/>
    <w:rsid w:val="00723E52"/>
    <w:rsid w:val="00723E7D"/>
    <w:rsid w:val="00723E8B"/>
    <w:rsid w:val="0072410F"/>
    <w:rsid w:val="0072418A"/>
    <w:rsid w:val="007241C7"/>
    <w:rsid w:val="00724224"/>
    <w:rsid w:val="007242AB"/>
    <w:rsid w:val="00724382"/>
    <w:rsid w:val="007243FD"/>
    <w:rsid w:val="007244D9"/>
    <w:rsid w:val="007245A7"/>
    <w:rsid w:val="00724663"/>
    <w:rsid w:val="007246DC"/>
    <w:rsid w:val="007247F5"/>
    <w:rsid w:val="00724936"/>
    <w:rsid w:val="00724971"/>
    <w:rsid w:val="007249BB"/>
    <w:rsid w:val="00724C39"/>
    <w:rsid w:val="00724C77"/>
    <w:rsid w:val="00724D83"/>
    <w:rsid w:val="00724EAA"/>
    <w:rsid w:val="0072503C"/>
    <w:rsid w:val="00725053"/>
    <w:rsid w:val="0072518D"/>
    <w:rsid w:val="0072520A"/>
    <w:rsid w:val="007252BD"/>
    <w:rsid w:val="00725510"/>
    <w:rsid w:val="00725520"/>
    <w:rsid w:val="0072554F"/>
    <w:rsid w:val="007255B3"/>
    <w:rsid w:val="007255D9"/>
    <w:rsid w:val="00725601"/>
    <w:rsid w:val="007259B5"/>
    <w:rsid w:val="007259CB"/>
    <w:rsid w:val="00725AB3"/>
    <w:rsid w:val="00725B18"/>
    <w:rsid w:val="00725BB6"/>
    <w:rsid w:val="00725BC6"/>
    <w:rsid w:val="00725DF7"/>
    <w:rsid w:val="00725EC1"/>
    <w:rsid w:val="00725F55"/>
    <w:rsid w:val="00725F6E"/>
    <w:rsid w:val="00725F81"/>
    <w:rsid w:val="007260B9"/>
    <w:rsid w:val="007262DF"/>
    <w:rsid w:val="00726328"/>
    <w:rsid w:val="007263A4"/>
    <w:rsid w:val="007263E4"/>
    <w:rsid w:val="0072643A"/>
    <w:rsid w:val="0072652D"/>
    <w:rsid w:val="0072655B"/>
    <w:rsid w:val="007265B5"/>
    <w:rsid w:val="007265C2"/>
    <w:rsid w:val="0072661F"/>
    <w:rsid w:val="00726630"/>
    <w:rsid w:val="007266A2"/>
    <w:rsid w:val="007267DD"/>
    <w:rsid w:val="007268C8"/>
    <w:rsid w:val="00726910"/>
    <w:rsid w:val="0072697A"/>
    <w:rsid w:val="00726B63"/>
    <w:rsid w:val="00726BD8"/>
    <w:rsid w:val="00726BDE"/>
    <w:rsid w:val="00726C2A"/>
    <w:rsid w:val="00726D56"/>
    <w:rsid w:val="00726EB9"/>
    <w:rsid w:val="00726F8E"/>
    <w:rsid w:val="00726FDC"/>
    <w:rsid w:val="00727037"/>
    <w:rsid w:val="00727147"/>
    <w:rsid w:val="007272AA"/>
    <w:rsid w:val="00727372"/>
    <w:rsid w:val="007273E4"/>
    <w:rsid w:val="00727404"/>
    <w:rsid w:val="007274C1"/>
    <w:rsid w:val="00727515"/>
    <w:rsid w:val="00727549"/>
    <w:rsid w:val="0072754D"/>
    <w:rsid w:val="0072770C"/>
    <w:rsid w:val="007277F8"/>
    <w:rsid w:val="00727831"/>
    <w:rsid w:val="00727AC4"/>
    <w:rsid w:val="00727B62"/>
    <w:rsid w:val="00727CC4"/>
    <w:rsid w:val="00727DE5"/>
    <w:rsid w:val="00727ED8"/>
    <w:rsid w:val="00727F70"/>
    <w:rsid w:val="00727F90"/>
    <w:rsid w:val="00730010"/>
    <w:rsid w:val="00730062"/>
    <w:rsid w:val="00730109"/>
    <w:rsid w:val="0073016C"/>
    <w:rsid w:val="0073020E"/>
    <w:rsid w:val="0073027D"/>
    <w:rsid w:val="007302A3"/>
    <w:rsid w:val="007302B8"/>
    <w:rsid w:val="007302D1"/>
    <w:rsid w:val="007303C0"/>
    <w:rsid w:val="007304F0"/>
    <w:rsid w:val="0073075A"/>
    <w:rsid w:val="00730A60"/>
    <w:rsid w:val="00730A80"/>
    <w:rsid w:val="00730ABD"/>
    <w:rsid w:val="00730BA5"/>
    <w:rsid w:val="00730C63"/>
    <w:rsid w:val="00730CBF"/>
    <w:rsid w:val="00730D27"/>
    <w:rsid w:val="00730DAC"/>
    <w:rsid w:val="00730E1D"/>
    <w:rsid w:val="00730F4E"/>
    <w:rsid w:val="00731165"/>
    <w:rsid w:val="00731168"/>
    <w:rsid w:val="0073127C"/>
    <w:rsid w:val="007312A8"/>
    <w:rsid w:val="007312E2"/>
    <w:rsid w:val="00731460"/>
    <w:rsid w:val="007316BB"/>
    <w:rsid w:val="007316D1"/>
    <w:rsid w:val="007316E4"/>
    <w:rsid w:val="00731705"/>
    <w:rsid w:val="0073178A"/>
    <w:rsid w:val="00731793"/>
    <w:rsid w:val="0073187C"/>
    <w:rsid w:val="007318DB"/>
    <w:rsid w:val="00731982"/>
    <w:rsid w:val="007319A2"/>
    <w:rsid w:val="007319DA"/>
    <w:rsid w:val="007319F0"/>
    <w:rsid w:val="00731A89"/>
    <w:rsid w:val="00731AAC"/>
    <w:rsid w:val="00731ADC"/>
    <w:rsid w:val="00731C02"/>
    <w:rsid w:val="00731CE9"/>
    <w:rsid w:val="00731EBA"/>
    <w:rsid w:val="00731F08"/>
    <w:rsid w:val="00731FE3"/>
    <w:rsid w:val="00732053"/>
    <w:rsid w:val="0073210C"/>
    <w:rsid w:val="00732128"/>
    <w:rsid w:val="00732186"/>
    <w:rsid w:val="00732217"/>
    <w:rsid w:val="00732581"/>
    <w:rsid w:val="007326D6"/>
    <w:rsid w:val="007327AA"/>
    <w:rsid w:val="007327BB"/>
    <w:rsid w:val="00732836"/>
    <w:rsid w:val="00732963"/>
    <w:rsid w:val="00732B80"/>
    <w:rsid w:val="00732BE8"/>
    <w:rsid w:val="00732BF5"/>
    <w:rsid w:val="00732CDB"/>
    <w:rsid w:val="00732D1F"/>
    <w:rsid w:val="00732ED0"/>
    <w:rsid w:val="007330D6"/>
    <w:rsid w:val="00733123"/>
    <w:rsid w:val="00733161"/>
    <w:rsid w:val="007332FE"/>
    <w:rsid w:val="0073332C"/>
    <w:rsid w:val="0073336D"/>
    <w:rsid w:val="0073337B"/>
    <w:rsid w:val="00733512"/>
    <w:rsid w:val="00733540"/>
    <w:rsid w:val="0073360C"/>
    <w:rsid w:val="00733645"/>
    <w:rsid w:val="007336D9"/>
    <w:rsid w:val="007338A7"/>
    <w:rsid w:val="0073391E"/>
    <w:rsid w:val="00733ABC"/>
    <w:rsid w:val="00733AD3"/>
    <w:rsid w:val="00733AD6"/>
    <w:rsid w:val="00733B4A"/>
    <w:rsid w:val="00733CF8"/>
    <w:rsid w:val="00733DE8"/>
    <w:rsid w:val="00733ECA"/>
    <w:rsid w:val="00733F60"/>
    <w:rsid w:val="00733FD8"/>
    <w:rsid w:val="00733FF4"/>
    <w:rsid w:val="007340FE"/>
    <w:rsid w:val="0073415A"/>
    <w:rsid w:val="007343F2"/>
    <w:rsid w:val="007344B6"/>
    <w:rsid w:val="007344BA"/>
    <w:rsid w:val="007344F7"/>
    <w:rsid w:val="0073451C"/>
    <w:rsid w:val="00734586"/>
    <w:rsid w:val="007345F4"/>
    <w:rsid w:val="00734611"/>
    <w:rsid w:val="00734678"/>
    <w:rsid w:val="007346CA"/>
    <w:rsid w:val="00734731"/>
    <w:rsid w:val="00734754"/>
    <w:rsid w:val="00734773"/>
    <w:rsid w:val="007347B2"/>
    <w:rsid w:val="007347BF"/>
    <w:rsid w:val="007347D4"/>
    <w:rsid w:val="00734A0F"/>
    <w:rsid w:val="00734AE8"/>
    <w:rsid w:val="00734B8E"/>
    <w:rsid w:val="00734C13"/>
    <w:rsid w:val="00734C5B"/>
    <w:rsid w:val="00734DD0"/>
    <w:rsid w:val="00734F8C"/>
    <w:rsid w:val="00734FB7"/>
    <w:rsid w:val="007350CD"/>
    <w:rsid w:val="0073515F"/>
    <w:rsid w:val="00735235"/>
    <w:rsid w:val="00735262"/>
    <w:rsid w:val="0073531E"/>
    <w:rsid w:val="007353C7"/>
    <w:rsid w:val="007354A3"/>
    <w:rsid w:val="00735544"/>
    <w:rsid w:val="007355FD"/>
    <w:rsid w:val="00735671"/>
    <w:rsid w:val="0073567A"/>
    <w:rsid w:val="00735747"/>
    <w:rsid w:val="00735981"/>
    <w:rsid w:val="00735AB7"/>
    <w:rsid w:val="00735C20"/>
    <w:rsid w:val="00735CE0"/>
    <w:rsid w:val="00735CE2"/>
    <w:rsid w:val="00735F53"/>
    <w:rsid w:val="00735F68"/>
    <w:rsid w:val="00735FB6"/>
    <w:rsid w:val="00735FE9"/>
    <w:rsid w:val="0073606B"/>
    <w:rsid w:val="00736095"/>
    <w:rsid w:val="00736157"/>
    <w:rsid w:val="0073615E"/>
    <w:rsid w:val="0073616A"/>
    <w:rsid w:val="0073618A"/>
    <w:rsid w:val="0073624B"/>
    <w:rsid w:val="00736269"/>
    <w:rsid w:val="007362D4"/>
    <w:rsid w:val="007362DC"/>
    <w:rsid w:val="007363BD"/>
    <w:rsid w:val="007364A0"/>
    <w:rsid w:val="007364ED"/>
    <w:rsid w:val="00736512"/>
    <w:rsid w:val="00736573"/>
    <w:rsid w:val="007365FE"/>
    <w:rsid w:val="0073661E"/>
    <w:rsid w:val="00736644"/>
    <w:rsid w:val="007367F4"/>
    <w:rsid w:val="00736804"/>
    <w:rsid w:val="00736889"/>
    <w:rsid w:val="00736A12"/>
    <w:rsid w:val="00736B54"/>
    <w:rsid w:val="00736BF5"/>
    <w:rsid w:val="00736CDB"/>
    <w:rsid w:val="00736D4D"/>
    <w:rsid w:val="00736D6C"/>
    <w:rsid w:val="00736E37"/>
    <w:rsid w:val="00736F60"/>
    <w:rsid w:val="00737044"/>
    <w:rsid w:val="007370B1"/>
    <w:rsid w:val="0073715D"/>
    <w:rsid w:val="00737298"/>
    <w:rsid w:val="007373E9"/>
    <w:rsid w:val="00737474"/>
    <w:rsid w:val="00737522"/>
    <w:rsid w:val="0073756E"/>
    <w:rsid w:val="00737575"/>
    <w:rsid w:val="007375F2"/>
    <w:rsid w:val="007376BE"/>
    <w:rsid w:val="00737715"/>
    <w:rsid w:val="007377EC"/>
    <w:rsid w:val="00737805"/>
    <w:rsid w:val="00737BEA"/>
    <w:rsid w:val="00737CA1"/>
    <w:rsid w:val="00737D40"/>
    <w:rsid w:val="00737E75"/>
    <w:rsid w:val="00737ED2"/>
    <w:rsid w:val="00737F10"/>
    <w:rsid w:val="00737FE0"/>
    <w:rsid w:val="0074009B"/>
    <w:rsid w:val="00740180"/>
    <w:rsid w:val="00740342"/>
    <w:rsid w:val="007404D5"/>
    <w:rsid w:val="0074055F"/>
    <w:rsid w:val="0074062A"/>
    <w:rsid w:val="007406E6"/>
    <w:rsid w:val="0074084A"/>
    <w:rsid w:val="007408F3"/>
    <w:rsid w:val="00740972"/>
    <w:rsid w:val="00740A17"/>
    <w:rsid w:val="00740B33"/>
    <w:rsid w:val="00740B40"/>
    <w:rsid w:val="00740B6C"/>
    <w:rsid w:val="00740BDD"/>
    <w:rsid w:val="00740DE2"/>
    <w:rsid w:val="00740E12"/>
    <w:rsid w:val="00740FE3"/>
    <w:rsid w:val="0074103C"/>
    <w:rsid w:val="00741230"/>
    <w:rsid w:val="007412DC"/>
    <w:rsid w:val="00741413"/>
    <w:rsid w:val="00741421"/>
    <w:rsid w:val="00741441"/>
    <w:rsid w:val="00741498"/>
    <w:rsid w:val="00741514"/>
    <w:rsid w:val="0074164D"/>
    <w:rsid w:val="007416BF"/>
    <w:rsid w:val="007417ED"/>
    <w:rsid w:val="0074183B"/>
    <w:rsid w:val="00741849"/>
    <w:rsid w:val="00741923"/>
    <w:rsid w:val="00741BDB"/>
    <w:rsid w:val="00741E08"/>
    <w:rsid w:val="00741E1A"/>
    <w:rsid w:val="007421B8"/>
    <w:rsid w:val="00742247"/>
    <w:rsid w:val="00742306"/>
    <w:rsid w:val="00742529"/>
    <w:rsid w:val="0074262F"/>
    <w:rsid w:val="007426EF"/>
    <w:rsid w:val="00742701"/>
    <w:rsid w:val="00742746"/>
    <w:rsid w:val="00742765"/>
    <w:rsid w:val="007427B8"/>
    <w:rsid w:val="00742912"/>
    <w:rsid w:val="00742917"/>
    <w:rsid w:val="0074292D"/>
    <w:rsid w:val="00742B57"/>
    <w:rsid w:val="00742BA7"/>
    <w:rsid w:val="00742D2D"/>
    <w:rsid w:val="00742DD6"/>
    <w:rsid w:val="00742F15"/>
    <w:rsid w:val="00742F5E"/>
    <w:rsid w:val="00742F71"/>
    <w:rsid w:val="00742F80"/>
    <w:rsid w:val="00742FF5"/>
    <w:rsid w:val="00743030"/>
    <w:rsid w:val="00743119"/>
    <w:rsid w:val="007431AB"/>
    <w:rsid w:val="00743265"/>
    <w:rsid w:val="00743282"/>
    <w:rsid w:val="00743381"/>
    <w:rsid w:val="007433BB"/>
    <w:rsid w:val="0074357E"/>
    <w:rsid w:val="00743588"/>
    <w:rsid w:val="00743628"/>
    <w:rsid w:val="00743901"/>
    <w:rsid w:val="0074397B"/>
    <w:rsid w:val="00743A0D"/>
    <w:rsid w:val="00743BB6"/>
    <w:rsid w:val="00743C55"/>
    <w:rsid w:val="00743C7A"/>
    <w:rsid w:val="00743DC4"/>
    <w:rsid w:val="00743F6A"/>
    <w:rsid w:val="00743F90"/>
    <w:rsid w:val="00744077"/>
    <w:rsid w:val="007441B0"/>
    <w:rsid w:val="007441FD"/>
    <w:rsid w:val="00744288"/>
    <w:rsid w:val="0074434C"/>
    <w:rsid w:val="007443B1"/>
    <w:rsid w:val="00744409"/>
    <w:rsid w:val="0074470C"/>
    <w:rsid w:val="0074471B"/>
    <w:rsid w:val="0074478C"/>
    <w:rsid w:val="00744824"/>
    <w:rsid w:val="00744854"/>
    <w:rsid w:val="00744A0D"/>
    <w:rsid w:val="00744A6C"/>
    <w:rsid w:val="00744AA3"/>
    <w:rsid w:val="00744B78"/>
    <w:rsid w:val="00744BBF"/>
    <w:rsid w:val="00744C1D"/>
    <w:rsid w:val="00744ED2"/>
    <w:rsid w:val="00744EE6"/>
    <w:rsid w:val="00744F82"/>
    <w:rsid w:val="00744FD0"/>
    <w:rsid w:val="00744FD9"/>
    <w:rsid w:val="00745098"/>
    <w:rsid w:val="00745300"/>
    <w:rsid w:val="007453C9"/>
    <w:rsid w:val="0074559D"/>
    <w:rsid w:val="00745695"/>
    <w:rsid w:val="00745723"/>
    <w:rsid w:val="00745838"/>
    <w:rsid w:val="007458A4"/>
    <w:rsid w:val="00745951"/>
    <w:rsid w:val="007459FF"/>
    <w:rsid w:val="00745AAB"/>
    <w:rsid w:val="00745B9C"/>
    <w:rsid w:val="00745DBE"/>
    <w:rsid w:val="00745DF7"/>
    <w:rsid w:val="00745E21"/>
    <w:rsid w:val="0074604C"/>
    <w:rsid w:val="007460EA"/>
    <w:rsid w:val="00746302"/>
    <w:rsid w:val="00746312"/>
    <w:rsid w:val="00746472"/>
    <w:rsid w:val="00746657"/>
    <w:rsid w:val="00746937"/>
    <w:rsid w:val="00746A91"/>
    <w:rsid w:val="00746AF2"/>
    <w:rsid w:val="00746C00"/>
    <w:rsid w:val="00746C6D"/>
    <w:rsid w:val="00746C93"/>
    <w:rsid w:val="00746CB4"/>
    <w:rsid w:val="00746D7C"/>
    <w:rsid w:val="00746EC3"/>
    <w:rsid w:val="00746ED1"/>
    <w:rsid w:val="007470D0"/>
    <w:rsid w:val="00747121"/>
    <w:rsid w:val="00747184"/>
    <w:rsid w:val="007471B6"/>
    <w:rsid w:val="00747203"/>
    <w:rsid w:val="007473B1"/>
    <w:rsid w:val="00747468"/>
    <w:rsid w:val="00747526"/>
    <w:rsid w:val="0074755E"/>
    <w:rsid w:val="0074762D"/>
    <w:rsid w:val="007479BC"/>
    <w:rsid w:val="00747B36"/>
    <w:rsid w:val="00747B57"/>
    <w:rsid w:val="00747B86"/>
    <w:rsid w:val="00747BB4"/>
    <w:rsid w:val="00747C2B"/>
    <w:rsid w:val="00747C66"/>
    <w:rsid w:val="00747CBA"/>
    <w:rsid w:val="00747E35"/>
    <w:rsid w:val="00747E94"/>
    <w:rsid w:val="00747EA9"/>
    <w:rsid w:val="00747EBD"/>
    <w:rsid w:val="00750076"/>
    <w:rsid w:val="007502DC"/>
    <w:rsid w:val="0075031E"/>
    <w:rsid w:val="0075038E"/>
    <w:rsid w:val="00750498"/>
    <w:rsid w:val="007504CD"/>
    <w:rsid w:val="007506F4"/>
    <w:rsid w:val="0075072B"/>
    <w:rsid w:val="00750737"/>
    <w:rsid w:val="00750816"/>
    <w:rsid w:val="00750907"/>
    <w:rsid w:val="0075093E"/>
    <w:rsid w:val="00750B0D"/>
    <w:rsid w:val="00750B7D"/>
    <w:rsid w:val="00750D67"/>
    <w:rsid w:val="00750FE9"/>
    <w:rsid w:val="0075101A"/>
    <w:rsid w:val="007510C1"/>
    <w:rsid w:val="00751200"/>
    <w:rsid w:val="0075129B"/>
    <w:rsid w:val="007512D6"/>
    <w:rsid w:val="007513AD"/>
    <w:rsid w:val="007515FB"/>
    <w:rsid w:val="007516BC"/>
    <w:rsid w:val="007516D9"/>
    <w:rsid w:val="00751741"/>
    <w:rsid w:val="00751791"/>
    <w:rsid w:val="007517C9"/>
    <w:rsid w:val="00751823"/>
    <w:rsid w:val="007518A9"/>
    <w:rsid w:val="007519D9"/>
    <w:rsid w:val="007519F5"/>
    <w:rsid w:val="00751A46"/>
    <w:rsid w:val="00751BF1"/>
    <w:rsid w:val="00751C2B"/>
    <w:rsid w:val="00751CE9"/>
    <w:rsid w:val="00751DA2"/>
    <w:rsid w:val="00751DEF"/>
    <w:rsid w:val="00751E96"/>
    <w:rsid w:val="00751EC5"/>
    <w:rsid w:val="00751F34"/>
    <w:rsid w:val="00752041"/>
    <w:rsid w:val="00752056"/>
    <w:rsid w:val="007521D2"/>
    <w:rsid w:val="0075228D"/>
    <w:rsid w:val="00752396"/>
    <w:rsid w:val="007523D4"/>
    <w:rsid w:val="007524B9"/>
    <w:rsid w:val="007524DD"/>
    <w:rsid w:val="0075252B"/>
    <w:rsid w:val="0075254B"/>
    <w:rsid w:val="00752601"/>
    <w:rsid w:val="0075262B"/>
    <w:rsid w:val="0075265C"/>
    <w:rsid w:val="007526BC"/>
    <w:rsid w:val="007526EB"/>
    <w:rsid w:val="007527DD"/>
    <w:rsid w:val="0075280A"/>
    <w:rsid w:val="0075284A"/>
    <w:rsid w:val="0075293A"/>
    <w:rsid w:val="00752941"/>
    <w:rsid w:val="00752C7B"/>
    <w:rsid w:val="00752CDC"/>
    <w:rsid w:val="00752D6B"/>
    <w:rsid w:val="00752EFA"/>
    <w:rsid w:val="00752F6E"/>
    <w:rsid w:val="00752F6F"/>
    <w:rsid w:val="00752FDD"/>
    <w:rsid w:val="007530FA"/>
    <w:rsid w:val="00753193"/>
    <w:rsid w:val="007531B9"/>
    <w:rsid w:val="007531E5"/>
    <w:rsid w:val="00753268"/>
    <w:rsid w:val="0075332D"/>
    <w:rsid w:val="0075333B"/>
    <w:rsid w:val="00753404"/>
    <w:rsid w:val="0075344A"/>
    <w:rsid w:val="0075347E"/>
    <w:rsid w:val="007534F4"/>
    <w:rsid w:val="00753702"/>
    <w:rsid w:val="0075376D"/>
    <w:rsid w:val="007537CD"/>
    <w:rsid w:val="0075389D"/>
    <w:rsid w:val="007538C8"/>
    <w:rsid w:val="00753B6A"/>
    <w:rsid w:val="00753C0C"/>
    <w:rsid w:val="00753CC6"/>
    <w:rsid w:val="00753D16"/>
    <w:rsid w:val="00753D69"/>
    <w:rsid w:val="00753DDC"/>
    <w:rsid w:val="00753E52"/>
    <w:rsid w:val="00753ED8"/>
    <w:rsid w:val="00753EE5"/>
    <w:rsid w:val="00754014"/>
    <w:rsid w:val="00754103"/>
    <w:rsid w:val="00754137"/>
    <w:rsid w:val="007541C2"/>
    <w:rsid w:val="007541CD"/>
    <w:rsid w:val="007541D0"/>
    <w:rsid w:val="007542BE"/>
    <w:rsid w:val="007543CD"/>
    <w:rsid w:val="00754559"/>
    <w:rsid w:val="00754573"/>
    <w:rsid w:val="0075459A"/>
    <w:rsid w:val="007545C5"/>
    <w:rsid w:val="00754837"/>
    <w:rsid w:val="007548C7"/>
    <w:rsid w:val="007549D1"/>
    <w:rsid w:val="00754B4B"/>
    <w:rsid w:val="00754B64"/>
    <w:rsid w:val="00754C4A"/>
    <w:rsid w:val="00754E8E"/>
    <w:rsid w:val="00754ECC"/>
    <w:rsid w:val="00754F16"/>
    <w:rsid w:val="00754F6A"/>
    <w:rsid w:val="0075500F"/>
    <w:rsid w:val="007550D0"/>
    <w:rsid w:val="00755236"/>
    <w:rsid w:val="00755265"/>
    <w:rsid w:val="007553AB"/>
    <w:rsid w:val="007553AF"/>
    <w:rsid w:val="00755506"/>
    <w:rsid w:val="0075558B"/>
    <w:rsid w:val="0075558C"/>
    <w:rsid w:val="007555CC"/>
    <w:rsid w:val="0075573F"/>
    <w:rsid w:val="007558C2"/>
    <w:rsid w:val="00755A89"/>
    <w:rsid w:val="00755AFB"/>
    <w:rsid w:val="00755AFE"/>
    <w:rsid w:val="00755B60"/>
    <w:rsid w:val="00755C20"/>
    <w:rsid w:val="00755C37"/>
    <w:rsid w:val="00755C3E"/>
    <w:rsid w:val="00755D08"/>
    <w:rsid w:val="00755D17"/>
    <w:rsid w:val="00755DE0"/>
    <w:rsid w:val="00755E37"/>
    <w:rsid w:val="00755F4C"/>
    <w:rsid w:val="007560F2"/>
    <w:rsid w:val="00756116"/>
    <w:rsid w:val="00756446"/>
    <w:rsid w:val="0075649A"/>
    <w:rsid w:val="00756539"/>
    <w:rsid w:val="007566A1"/>
    <w:rsid w:val="007567F6"/>
    <w:rsid w:val="0075688A"/>
    <w:rsid w:val="007568AD"/>
    <w:rsid w:val="007568FB"/>
    <w:rsid w:val="00756918"/>
    <w:rsid w:val="00756B9C"/>
    <w:rsid w:val="00756C80"/>
    <w:rsid w:val="00756CDD"/>
    <w:rsid w:val="00756F88"/>
    <w:rsid w:val="00756FD3"/>
    <w:rsid w:val="007570AA"/>
    <w:rsid w:val="0075715F"/>
    <w:rsid w:val="00757335"/>
    <w:rsid w:val="007576DA"/>
    <w:rsid w:val="00757744"/>
    <w:rsid w:val="007577D3"/>
    <w:rsid w:val="007578BF"/>
    <w:rsid w:val="00757990"/>
    <w:rsid w:val="00757BD1"/>
    <w:rsid w:val="00757C21"/>
    <w:rsid w:val="00757C44"/>
    <w:rsid w:val="00757C9F"/>
    <w:rsid w:val="00757DB8"/>
    <w:rsid w:val="00757F6A"/>
    <w:rsid w:val="00757FFB"/>
    <w:rsid w:val="00760023"/>
    <w:rsid w:val="00760049"/>
    <w:rsid w:val="007600E2"/>
    <w:rsid w:val="007600FB"/>
    <w:rsid w:val="007602EA"/>
    <w:rsid w:val="00760568"/>
    <w:rsid w:val="00760571"/>
    <w:rsid w:val="007605F1"/>
    <w:rsid w:val="007607AD"/>
    <w:rsid w:val="007607D5"/>
    <w:rsid w:val="00760A8A"/>
    <w:rsid w:val="00760BE4"/>
    <w:rsid w:val="00760BEB"/>
    <w:rsid w:val="00760C12"/>
    <w:rsid w:val="00760CA5"/>
    <w:rsid w:val="00760CFF"/>
    <w:rsid w:val="00760DAD"/>
    <w:rsid w:val="00760EA7"/>
    <w:rsid w:val="00760F2E"/>
    <w:rsid w:val="00761051"/>
    <w:rsid w:val="0076106C"/>
    <w:rsid w:val="007610CF"/>
    <w:rsid w:val="007613A6"/>
    <w:rsid w:val="00761511"/>
    <w:rsid w:val="0076151A"/>
    <w:rsid w:val="00761554"/>
    <w:rsid w:val="00761633"/>
    <w:rsid w:val="007616E1"/>
    <w:rsid w:val="00761700"/>
    <w:rsid w:val="007618DB"/>
    <w:rsid w:val="00761CCE"/>
    <w:rsid w:val="00761CE8"/>
    <w:rsid w:val="00761CEB"/>
    <w:rsid w:val="00761D45"/>
    <w:rsid w:val="00761E32"/>
    <w:rsid w:val="00761EE1"/>
    <w:rsid w:val="00761F0A"/>
    <w:rsid w:val="00761F63"/>
    <w:rsid w:val="007621C2"/>
    <w:rsid w:val="007621D9"/>
    <w:rsid w:val="0076224C"/>
    <w:rsid w:val="00762306"/>
    <w:rsid w:val="007624F1"/>
    <w:rsid w:val="007625BB"/>
    <w:rsid w:val="007625BF"/>
    <w:rsid w:val="007626D4"/>
    <w:rsid w:val="0076273B"/>
    <w:rsid w:val="007628C4"/>
    <w:rsid w:val="007629C7"/>
    <w:rsid w:val="007629DE"/>
    <w:rsid w:val="00762A0C"/>
    <w:rsid w:val="00762B7E"/>
    <w:rsid w:val="00762DB4"/>
    <w:rsid w:val="00762DE3"/>
    <w:rsid w:val="00762E69"/>
    <w:rsid w:val="00762F59"/>
    <w:rsid w:val="00762F5F"/>
    <w:rsid w:val="00762FC2"/>
    <w:rsid w:val="00762FF3"/>
    <w:rsid w:val="007630B6"/>
    <w:rsid w:val="0076315D"/>
    <w:rsid w:val="0076318A"/>
    <w:rsid w:val="007631CB"/>
    <w:rsid w:val="007631D1"/>
    <w:rsid w:val="0076329E"/>
    <w:rsid w:val="007632D4"/>
    <w:rsid w:val="007635DD"/>
    <w:rsid w:val="007635FD"/>
    <w:rsid w:val="0076382D"/>
    <w:rsid w:val="0076393A"/>
    <w:rsid w:val="0076399A"/>
    <w:rsid w:val="00763AF9"/>
    <w:rsid w:val="00763B54"/>
    <w:rsid w:val="00763B70"/>
    <w:rsid w:val="00763BFF"/>
    <w:rsid w:val="00763C91"/>
    <w:rsid w:val="00763CB9"/>
    <w:rsid w:val="00763CC1"/>
    <w:rsid w:val="00763DA4"/>
    <w:rsid w:val="00763DDB"/>
    <w:rsid w:val="00763EFE"/>
    <w:rsid w:val="00763F4A"/>
    <w:rsid w:val="00763F85"/>
    <w:rsid w:val="00763FF8"/>
    <w:rsid w:val="007641F1"/>
    <w:rsid w:val="00764200"/>
    <w:rsid w:val="00764259"/>
    <w:rsid w:val="00764290"/>
    <w:rsid w:val="0076441B"/>
    <w:rsid w:val="00764473"/>
    <w:rsid w:val="007645CC"/>
    <w:rsid w:val="00764644"/>
    <w:rsid w:val="00764680"/>
    <w:rsid w:val="00764713"/>
    <w:rsid w:val="0076471D"/>
    <w:rsid w:val="0076477A"/>
    <w:rsid w:val="00764791"/>
    <w:rsid w:val="007648E8"/>
    <w:rsid w:val="007649A7"/>
    <w:rsid w:val="007649C5"/>
    <w:rsid w:val="007649CD"/>
    <w:rsid w:val="00764A0C"/>
    <w:rsid w:val="00764ACA"/>
    <w:rsid w:val="00764B36"/>
    <w:rsid w:val="00764C88"/>
    <w:rsid w:val="00764CDD"/>
    <w:rsid w:val="00764E6A"/>
    <w:rsid w:val="00764EA4"/>
    <w:rsid w:val="00764FEB"/>
    <w:rsid w:val="007650B9"/>
    <w:rsid w:val="007651FF"/>
    <w:rsid w:val="00765236"/>
    <w:rsid w:val="00765241"/>
    <w:rsid w:val="00765380"/>
    <w:rsid w:val="007653B6"/>
    <w:rsid w:val="00765457"/>
    <w:rsid w:val="007655A0"/>
    <w:rsid w:val="007655B2"/>
    <w:rsid w:val="007656C9"/>
    <w:rsid w:val="007656FF"/>
    <w:rsid w:val="007658B2"/>
    <w:rsid w:val="007658DC"/>
    <w:rsid w:val="0076594E"/>
    <w:rsid w:val="00765956"/>
    <w:rsid w:val="00765A39"/>
    <w:rsid w:val="00765A7E"/>
    <w:rsid w:val="00765C55"/>
    <w:rsid w:val="00765D50"/>
    <w:rsid w:val="00765D7F"/>
    <w:rsid w:val="00765EC7"/>
    <w:rsid w:val="00765F20"/>
    <w:rsid w:val="00765F83"/>
    <w:rsid w:val="007660A5"/>
    <w:rsid w:val="007661E7"/>
    <w:rsid w:val="00766227"/>
    <w:rsid w:val="00766286"/>
    <w:rsid w:val="00766291"/>
    <w:rsid w:val="00766463"/>
    <w:rsid w:val="007664DA"/>
    <w:rsid w:val="007666C2"/>
    <w:rsid w:val="00766707"/>
    <w:rsid w:val="007667C8"/>
    <w:rsid w:val="007667D9"/>
    <w:rsid w:val="007667F4"/>
    <w:rsid w:val="00766911"/>
    <w:rsid w:val="00766A01"/>
    <w:rsid w:val="00766A14"/>
    <w:rsid w:val="00766ABA"/>
    <w:rsid w:val="00766ABB"/>
    <w:rsid w:val="00766B48"/>
    <w:rsid w:val="00766B75"/>
    <w:rsid w:val="00766BB1"/>
    <w:rsid w:val="00766BBD"/>
    <w:rsid w:val="00766D6F"/>
    <w:rsid w:val="00766DA5"/>
    <w:rsid w:val="00766DAE"/>
    <w:rsid w:val="00766E72"/>
    <w:rsid w:val="00766ECD"/>
    <w:rsid w:val="00766F47"/>
    <w:rsid w:val="00766F5C"/>
    <w:rsid w:val="007671CE"/>
    <w:rsid w:val="007671EB"/>
    <w:rsid w:val="0076721A"/>
    <w:rsid w:val="00767342"/>
    <w:rsid w:val="0076739A"/>
    <w:rsid w:val="00767498"/>
    <w:rsid w:val="007674C7"/>
    <w:rsid w:val="00767539"/>
    <w:rsid w:val="00767670"/>
    <w:rsid w:val="00767695"/>
    <w:rsid w:val="007676CD"/>
    <w:rsid w:val="007677D0"/>
    <w:rsid w:val="00767808"/>
    <w:rsid w:val="00767827"/>
    <w:rsid w:val="00767839"/>
    <w:rsid w:val="0076784A"/>
    <w:rsid w:val="00767A26"/>
    <w:rsid w:val="00767AF4"/>
    <w:rsid w:val="00767B05"/>
    <w:rsid w:val="00767B5B"/>
    <w:rsid w:val="00767BA6"/>
    <w:rsid w:val="00767BB8"/>
    <w:rsid w:val="00767C17"/>
    <w:rsid w:val="00767C4A"/>
    <w:rsid w:val="00767D0E"/>
    <w:rsid w:val="00767D3E"/>
    <w:rsid w:val="00767D77"/>
    <w:rsid w:val="00767E11"/>
    <w:rsid w:val="00767E80"/>
    <w:rsid w:val="00767FFD"/>
    <w:rsid w:val="00770053"/>
    <w:rsid w:val="00770421"/>
    <w:rsid w:val="00770469"/>
    <w:rsid w:val="007704BD"/>
    <w:rsid w:val="00770579"/>
    <w:rsid w:val="0077062A"/>
    <w:rsid w:val="00770762"/>
    <w:rsid w:val="00770833"/>
    <w:rsid w:val="00770856"/>
    <w:rsid w:val="00770B79"/>
    <w:rsid w:val="00770CFA"/>
    <w:rsid w:val="00770DB8"/>
    <w:rsid w:val="00770F03"/>
    <w:rsid w:val="00770FF4"/>
    <w:rsid w:val="00771000"/>
    <w:rsid w:val="007710A8"/>
    <w:rsid w:val="007710C4"/>
    <w:rsid w:val="007711D8"/>
    <w:rsid w:val="00771261"/>
    <w:rsid w:val="007712E5"/>
    <w:rsid w:val="00771451"/>
    <w:rsid w:val="007714AD"/>
    <w:rsid w:val="0077158F"/>
    <w:rsid w:val="00771720"/>
    <w:rsid w:val="0077172D"/>
    <w:rsid w:val="00771779"/>
    <w:rsid w:val="007718BB"/>
    <w:rsid w:val="00771942"/>
    <w:rsid w:val="00771B40"/>
    <w:rsid w:val="00771BC9"/>
    <w:rsid w:val="00771D70"/>
    <w:rsid w:val="00771F84"/>
    <w:rsid w:val="00771FA2"/>
    <w:rsid w:val="007720F1"/>
    <w:rsid w:val="0077210A"/>
    <w:rsid w:val="00772118"/>
    <w:rsid w:val="0077215F"/>
    <w:rsid w:val="007722E1"/>
    <w:rsid w:val="00772314"/>
    <w:rsid w:val="00772341"/>
    <w:rsid w:val="00772390"/>
    <w:rsid w:val="007723D0"/>
    <w:rsid w:val="00772447"/>
    <w:rsid w:val="00772493"/>
    <w:rsid w:val="007724D7"/>
    <w:rsid w:val="007725CB"/>
    <w:rsid w:val="007726FD"/>
    <w:rsid w:val="00772958"/>
    <w:rsid w:val="00772A86"/>
    <w:rsid w:val="00772AD3"/>
    <w:rsid w:val="00772C3F"/>
    <w:rsid w:val="00772CD9"/>
    <w:rsid w:val="00772DC9"/>
    <w:rsid w:val="00772F62"/>
    <w:rsid w:val="0077307A"/>
    <w:rsid w:val="00773088"/>
    <w:rsid w:val="00773097"/>
    <w:rsid w:val="0077321B"/>
    <w:rsid w:val="00773362"/>
    <w:rsid w:val="00773386"/>
    <w:rsid w:val="007733DE"/>
    <w:rsid w:val="0077342F"/>
    <w:rsid w:val="0077348A"/>
    <w:rsid w:val="007734EF"/>
    <w:rsid w:val="00773572"/>
    <w:rsid w:val="00773646"/>
    <w:rsid w:val="00773650"/>
    <w:rsid w:val="007736FA"/>
    <w:rsid w:val="0077390F"/>
    <w:rsid w:val="007739C1"/>
    <w:rsid w:val="007739CB"/>
    <w:rsid w:val="007739D8"/>
    <w:rsid w:val="00773A7E"/>
    <w:rsid w:val="00773AAF"/>
    <w:rsid w:val="00773B4D"/>
    <w:rsid w:val="00773BA0"/>
    <w:rsid w:val="00773BE0"/>
    <w:rsid w:val="00773CCF"/>
    <w:rsid w:val="00773F2C"/>
    <w:rsid w:val="00773FF7"/>
    <w:rsid w:val="00774037"/>
    <w:rsid w:val="0077410D"/>
    <w:rsid w:val="007742A3"/>
    <w:rsid w:val="007742B7"/>
    <w:rsid w:val="007742C0"/>
    <w:rsid w:val="0077436C"/>
    <w:rsid w:val="007743B8"/>
    <w:rsid w:val="007744CF"/>
    <w:rsid w:val="00774562"/>
    <w:rsid w:val="00774584"/>
    <w:rsid w:val="00774614"/>
    <w:rsid w:val="0077469E"/>
    <w:rsid w:val="007746A2"/>
    <w:rsid w:val="0077477C"/>
    <w:rsid w:val="00774908"/>
    <w:rsid w:val="00774A1E"/>
    <w:rsid w:val="00774BD7"/>
    <w:rsid w:val="00774DFD"/>
    <w:rsid w:val="00774E6E"/>
    <w:rsid w:val="00774EC0"/>
    <w:rsid w:val="00774ED1"/>
    <w:rsid w:val="00774EF6"/>
    <w:rsid w:val="00774FA3"/>
    <w:rsid w:val="00774FB9"/>
    <w:rsid w:val="00774FD9"/>
    <w:rsid w:val="00775014"/>
    <w:rsid w:val="0077503A"/>
    <w:rsid w:val="007750F7"/>
    <w:rsid w:val="00775139"/>
    <w:rsid w:val="007753D6"/>
    <w:rsid w:val="007753D9"/>
    <w:rsid w:val="0077542E"/>
    <w:rsid w:val="00775482"/>
    <w:rsid w:val="00775485"/>
    <w:rsid w:val="007754E9"/>
    <w:rsid w:val="00775536"/>
    <w:rsid w:val="0077568B"/>
    <w:rsid w:val="00775760"/>
    <w:rsid w:val="0077576A"/>
    <w:rsid w:val="0077588A"/>
    <w:rsid w:val="007759EC"/>
    <w:rsid w:val="00775DC5"/>
    <w:rsid w:val="00775E77"/>
    <w:rsid w:val="00775F6C"/>
    <w:rsid w:val="00775FD3"/>
    <w:rsid w:val="00776317"/>
    <w:rsid w:val="00776608"/>
    <w:rsid w:val="0077669E"/>
    <w:rsid w:val="007767B1"/>
    <w:rsid w:val="007767BB"/>
    <w:rsid w:val="0077683F"/>
    <w:rsid w:val="00776899"/>
    <w:rsid w:val="007768C0"/>
    <w:rsid w:val="00776912"/>
    <w:rsid w:val="007769E2"/>
    <w:rsid w:val="00776AD3"/>
    <w:rsid w:val="00776B04"/>
    <w:rsid w:val="00776B39"/>
    <w:rsid w:val="00776B5E"/>
    <w:rsid w:val="00776C19"/>
    <w:rsid w:val="00776C5C"/>
    <w:rsid w:val="00776D6E"/>
    <w:rsid w:val="00776D75"/>
    <w:rsid w:val="00776DA9"/>
    <w:rsid w:val="00776DCE"/>
    <w:rsid w:val="00776E2C"/>
    <w:rsid w:val="00776E57"/>
    <w:rsid w:val="00776EE7"/>
    <w:rsid w:val="00776F46"/>
    <w:rsid w:val="00777041"/>
    <w:rsid w:val="0077704A"/>
    <w:rsid w:val="00777083"/>
    <w:rsid w:val="007770DD"/>
    <w:rsid w:val="00777105"/>
    <w:rsid w:val="00777175"/>
    <w:rsid w:val="007771AD"/>
    <w:rsid w:val="00777281"/>
    <w:rsid w:val="0077740B"/>
    <w:rsid w:val="00777440"/>
    <w:rsid w:val="0077748E"/>
    <w:rsid w:val="0077751A"/>
    <w:rsid w:val="0077751D"/>
    <w:rsid w:val="0077753B"/>
    <w:rsid w:val="0077766A"/>
    <w:rsid w:val="007776DA"/>
    <w:rsid w:val="007777C8"/>
    <w:rsid w:val="007777C9"/>
    <w:rsid w:val="007777EF"/>
    <w:rsid w:val="00777A90"/>
    <w:rsid w:val="00777B20"/>
    <w:rsid w:val="00777B29"/>
    <w:rsid w:val="00777B6D"/>
    <w:rsid w:val="00777C3B"/>
    <w:rsid w:val="00777D8C"/>
    <w:rsid w:val="00777DFE"/>
    <w:rsid w:val="00777EC0"/>
    <w:rsid w:val="00777EC6"/>
    <w:rsid w:val="00777EDB"/>
    <w:rsid w:val="00777F73"/>
    <w:rsid w:val="00780054"/>
    <w:rsid w:val="0078007B"/>
    <w:rsid w:val="007800C2"/>
    <w:rsid w:val="00780276"/>
    <w:rsid w:val="007802F1"/>
    <w:rsid w:val="00780584"/>
    <w:rsid w:val="007805D0"/>
    <w:rsid w:val="007806EE"/>
    <w:rsid w:val="00780839"/>
    <w:rsid w:val="00780874"/>
    <w:rsid w:val="0078091D"/>
    <w:rsid w:val="007809BE"/>
    <w:rsid w:val="00780A26"/>
    <w:rsid w:val="00780B7E"/>
    <w:rsid w:val="00780C2D"/>
    <w:rsid w:val="00780E67"/>
    <w:rsid w:val="00780EE3"/>
    <w:rsid w:val="00780F0A"/>
    <w:rsid w:val="007810EF"/>
    <w:rsid w:val="0078126F"/>
    <w:rsid w:val="00781307"/>
    <w:rsid w:val="00781353"/>
    <w:rsid w:val="00781393"/>
    <w:rsid w:val="007813BD"/>
    <w:rsid w:val="00781522"/>
    <w:rsid w:val="00781550"/>
    <w:rsid w:val="007816C1"/>
    <w:rsid w:val="007817E5"/>
    <w:rsid w:val="0078181D"/>
    <w:rsid w:val="0078188D"/>
    <w:rsid w:val="00781A95"/>
    <w:rsid w:val="00781CAA"/>
    <w:rsid w:val="00781D83"/>
    <w:rsid w:val="00781DE9"/>
    <w:rsid w:val="00782006"/>
    <w:rsid w:val="00782230"/>
    <w:rsid w:val="0078234E"/>
    <w:rsid w:val="0078240C"/>
    <w:rsid w:val="00782458"/>
    <w:rsid w:val="007824D3"/>
    <w:rsid w:val="00782795"/>
    <w:rsid w:val="007827EE"/>
    <w:rsid w:val="00782843"/>
    <w:rsid w:val="007829F6"/>
    <w:rsid w:val="00782A07"/>
    <w:rsid w:val="00782A13"/>
    <w:rsid w:val="00782B8A"/>
    <w:rsid w:val="00782C33"/>
    <w:rsid w:val="00782C85"/>
    <w:rsid w:val="00782D24"/>
    <w:rsid w:val="00782DE3"/>
    <w:rsid w:val="00782E33"/>
    <w:rsid w:val="00782F14"/>
    <w:rsid w:val="00782FDF"/>
    <w:rsid w:val="0078300E"/>
    <w:rsid w:val="0078303E"/>
    <w:rsid w:val="00783059"/>
    <w:rsid w:val="007830B5"/>
    <w:rsid w:val="007830E8"/>
    <w:rsid w:val="00783107"/>
    <w:rsid w:val="00783117"/>
    <w:rsid w:val="00783142"/>
    <w:rsid w:val="0078324D"/>
    <w:rsid w:val="00783290"/>
    <w:rsid w:val="007832B1"/>
    <w:rsid w:val="007832E7"/>
    <w:rsid w:val="00783320"/>
    <w:rsid w:val="00783727"/>
    <w:rsid w:val="007837B9"/>
    <w:rsid w:val="00783814"/>
    <w:rsid w:val="0078381D"/>
    <w:rsid w:val="007838F3"/>
    <w:rsid w:val="00783977"/>
    <w:rsid w:val="007839B9"/>
    <w:rsid w:val="00783A23"/>
    <w:rsid w:val="00783C7B"/>
    <w:rsid w:val="00783EFC"/>
    <w:rsid w:val="00783F90"/>
    <w:rsid w:val="0078400F"/>
    <w:rsid w:val="007841D3"/>
    <w:rsid w:val="00784203"/>
    <w:rsid w:val="00784222"/>
    <w:rsid w:val="00784388"/>
    <w:rsid w:val="0078456F"/>
    <w:rsid w:val="007845A6"/>
    <w:rsid w:val="007845B4"/>
    <w:rsid w:val="007845C2"/>
    <w:rsid w:val="00784613"/>
    <w:rsid w:val="0078461A"/>
    <w:rsid w:val="00784802"/>
    <w:rsid w:val="0078486A"/>
    <w:rsid w:val="007849AB"/>
    <w:rsid w:val="007849BF"/>
    <w:rsid w:val="00784A56"/>
    <w:rsid w:val="00784AD7"/>
    <w:rsid w:val="00784C07"/>
    <w:rsid w:val="00784DAA"/>
    <w:rsid w:val="00784DD9"/>
    <w:rsid w:val="00784FA0"/>
    <w:rsid w:val="007851C7"/>
    <w:rsid w:val="00785244"/>
    <w:rsid w:val="007852C4"/>
    <w:rsid w:val="007852D3"/>
    <w:rsid w:val="0078537B"/>
    <w:rsid w:val="00785417"/>
    <w:rsid w:val="00785464"/>
    <w:rsid w:val="0078547C"/>
    <w:rsid w:val="0078565B"/>
    <w:rsid w:val="007856D2"/>
    <w:rsid w:val="0078571C"/>
    <w:rsid w:val="00785865"/>
    <w:rsid w:val="00785A00"/>
    <w:rsid w:val="00785A16"/>
    <w:rsid w:val="00785AAB"/>
    <w:rsid w:val="00785AD2"/>
    <w:rsid w:val="00785B09"/>
    <w:rsid w:val="00785B28"/>
    <w:rsid w:val="00785B9D"/>
    <w:rsid w:val="00785BB7"/>
    <w:rsid w:val="00785BD7"/>
    <w:rsid w:val="00785C58"/>
    <w:rsid w:val="00785E04"/>
    <w:rsid w:val="00785F65"/>
    <w:rsid w:val="00786055"/>
    <w:rsid w:val="00786074"/>
    <w:rsid w:val="00786195"/>
    <w:rsid w:val="00786228"/>
    <w:rsid w:val="007862AB"/>
    <w:rsid w:val="007862B1"/>
    <w:rsid w:val="007862BC"/>
    <w:rsid w:val="007863FF"/>
    <w:rsid w:val="0078665B"/>
    <w:rsid w:val="007866D3"/>
    <w:rsid w:val="00786827"/>
    <w:rsid w:val="0078689F"/>
    <w:rsid w:val="007868BB"/>
    <w:rsid w:val="007869F6"/>
    <w:rsid w:val="00786A13"/>
    <w:rsid w:val="00786B5C"/>
    <w:rsid w:val="00786B5F"/>
    <w:rsid w:val="00786C7E"/>
    <w:rsid w:val="00786CC7"/>
    <w:rsid w:val="00786CE1"/>
    <w:rsid w:val="00786D1D"/>
    <w:rsid w:val="00786E9C"/>
    <w:rsid w:val="00786F2B"/>
    <w:rsid w:val="00786FA0"/>
    <w:rsid w:val="007870B7"/>
    <w:rsid w:val="007871D1"/>
    <w:rsid w:val="00787301"/>
    <w:rsid w:val="0078738D"/>
    <w:rsid w:val="007873AD"/>
    <w:rsid w:val="0078748C"/>
    <w:rsid w:val="00787527"/>
    <w:rsid w:val="007875B0"/>
    <w:rsid w:val="007876C2"/>
    <w:rsid w:val="00787702"/>
    <w:rsid w:val="00787704"/>
    <w:rsid w:val="00787713"/>
    <w:rsid w:val="00787855"/>
    <w:rsid w:val="00787886"/>
    <w:rsid w:val="00787898"/>
    <w:rsid w:val="007878DB"/>
    <w:rsid w:val="00787939"/>
    <w:rsid w:val="0078795E"/>
    <w:rsid w:val="007879B9"/>
    <w:rsid w:val="007879C5"/>
    <w:rsid w:val="007879F8"/>
    <w:rsid w:val="00787AB1"/>
    <w:rsid w:val="00787CC6"/>
    <w:rsid w:val="00787DC1"/>
    <w:rsid w:val="00787EBE"/>
    <w:rsid w:val="00787F7D"/>
    <w:rsid w:val="007900A7"/>
    <w:rsid w:val="00790106"/>
    <w:rsid w:val="00790108"/>
    <w:rsid w:val="00790135"/>
    <w:rsid w:val="00790139"/>
    <w:rsid w:val="0079018C"/>
    <w:rsid w:val="00790388"/>
    <w:rsid w:val="007905A8"/>
    <w:rsid w:val="00790660"/>
    <w:rsid w:val="0079075E"/>
    <w:rsid w:val="00790ADC"/>
    <w:rsid w:val="00790AE3"/>
    <w:rsid w:val="00790B0D"/>
    <w:rsid w:val="00790BA2"/>
    <w:rsid w:val="00790BDA"/>
    <w:rsid w:val="00790C18"/>
    <w:rsid w:val="00790C51"/>
    <w:rsid w:val="00790C88"/>
    <w:rsid w:val="00790E2A"/>
    <w:rsid w:val="00790FD1"/>
    <w:rsid w:val="00791025"/>
    <w:rsid w:val="00791189"/>
    <w:rsid w:val="00791343"/>
    <w:rsid w:val="0079134C"/>
    <w:rsid w:val="0079136F"/>
    <w:rsid w:val="00791399"/>
    <w:rsid w:val="00791468"/>
    <w:rsid w:val="0079159E"/>
    <w:rsid w:val="007915F6"/>
    <w:rsid w:val="00791683"/>
    <w:rsid w:val="0079171D"/>
    <w:rsid w:val="00791768"/>
    <w:rsid w:val="00791791"/>
    <w:rsid w:val="007917A6"/>
    <w:rsid w:val="007917C3"/>
    <w:rsid w:val="00791AFC"/>
    <w:rsid w:val="00791B23"/>
    <w:rsid w:val="00791CF2"/>
    <w:rsid w:val="00791D99"/>
    <w:rsid w:val="00791E98"/>
    <w:rsid w:val="00791F32"/>
    <w:rsid w:val="00791FBB"/>
    <w:rsid w:val="00792147"/>
    <w:rsid w:val="00792190"/>
    <w:rsid w:val="00792203"/>
    <w:rsid w:val="00792434"/>
    <w:rsid w:val="00792521"/>
    <w:rsid w:val="00792537"/>
    <w:rsid w:val="00792622"/>
    <w:rsid w:val="00792657"/>
    <w:rsid w:val="00792795"/>
    <w:rsid w:val="00792A4A"/>
    <w:rsid w:val="00792A51"/>
    <w:rsid w:val="00792B29"/>
    <w:rsid w:val="00792B79"/>
    <w:rsid w:val="00792B8E"/>
    <w:rsid w:val="00792C41"/>
    <w:rsid w:val="00792E8E"/>
    <w:rsid w:val="00792E9B"/>
    <w:rsid w:val="00792ED4"/>
    <w:rsid w:val="00792FF3"/>
    <w:rsid w:val="0079304B"/>
    <w:rsid w:val="0079305E"/>
    <w:rsid w:val="007930CD"/>
    <w:rsid w:val="007930E5"/>
    <w:rsid w:val="00793286"/>
    <w:rsid w:val="007932BC"/>
    <w:rsid w:val="00793303"/>
    <w:rsid w:val="00793403"/>
    <w:rsid w:val="007934FF"/>
    <w:rsid w:val="0079351E"/>
    <w:rsid w:val="00793540"/>
    <w:rsid w:val="007936CC"/>
    <w:rsid w:val="00793928"/>
    <w:rsid w:val="00793A20"/>
    <w:rsid w:val="00793A41"/>
    <w:rsid w:val="00793F4C"/>
    <w:rsid w:val="00794036"/>
    <w:rsid w:val="0079408B"/>
    <w:rsid w:val="0079410D"/>
    <w:rsid w:val="00794287"/>
    <w:rsid w:val="00794298"/>
    <w:rsid w:val="00794403"/>
    <w:rsid w:val="0079441F"/>
    <w:rsid w:val="007945FF"/>
    <w:rsid w:val="00794672"/>
    <w:rsid w:val="00794875"/>
    <w:rsid w:val="0079492C"/>
    <w:rsid w:val="00794A2B"/>
    <w:rsid w:val="00794A6E"/>
    <w:rsid w:val="00794B47"/>
    <w:rsid w:val="00794C09"/>
    <w:rsid w:val="00794C78"/>
    <w:rsid w:val="00794DE9"/>
    <w:rsid w:val="00794DF6"/>
    <w:rsid w:val="00794EB9"/>
    <w:rsid w:val="00794F1B"/>
    <w:rsid w:val="00794FA4"/>
    <w:rsid w:val="00794FB8"/>
    <w:rsid w:val="00794FDB"/>
    <w:rsid w:val="00794FFB"/>
    <w:rsid w:val="0079518B"/>
    <w:rsid w:val="007951F3"/>
    <w:rsid w:val="00795257"/>
    <w:rsid w:val="00795438"/>
    <w:rsid w:val="00795488"/>
    <w:rsid w:val="007954D3"/>
    <w:rsid w:val="007956E8"/>
    <w:rsid w:val="0079578E"/>
    <w:rsid w:val="007957A2"/>
    <w:rsid w:val="00795A06"/>
    <w:rsid w:val="00795A35"/>
    <w:rsid w:val="00795AA6"/>
    <w:rsid w:val="00795B8C"/>
    <w:rsid w:val="00795C66"/>
    <w:rsid w:val="00795DA1"/>
    <w:rsid w:val="00795DA7"/>
    <w:rsid w:val="00795E45"/>
    <w:rsid w:val="00796092"/>
    <w:rsid w:val="00796097"/>
    <w:rsid w:val="007960D4"/>
    <w:rsid w:val="00796212"/>
    <w:rsid w:val="00796289"/>
    <w:rsid w:val="007962CF"/>
    <w:rsid w:val="00796317"/>
    <w:rsid w:val="007963C1"/>
    <w:rsid w:val="007963CF"/>
    <w:rsid w:val="007964A0"/>
    <w:rsid w:val="007965B7"/>
    <w:rsid w:val="00796785"/>
    <w:rsid w:val="007967A9"/>
    <w:rsid w:val="00796808"/>
    <w:rsid w:val="00796871"/>
    <w:rsid w:val="00796923"/>
    <w:rsid w:val="007969E9"/>
    <w:rsid w:val="00796A53"/>
    <w:rsid w:val="00796BD8"/>
    <w:rsid w:val="00796C21"/>
    <w:rsid w:val="00796D48"/>
    <w:rsid w:val="00796ECC"/>
    <w:rsid w:val="00796F5E"/>
    <w:rsid w:val="00796F61"/>
    <w:rsid w:val="00796F9B"/>
    <w:rsid w:val="00797030"/>
    <w:rsid w:val="00797055"/>
    <w:rsid w:val="00797165"/>
    <w:rsid w:val="0079725F"/>
    <w:rsid w:val="0079734C"/>
    <w:rsid w:val="0079752D"/>
    <w:rsid w:val="00797651"/>
    <w:rsid w:val="00797666"/>
    <w:rsid w:val="00797717"/>
    <w:rsid w:val="00797739"/>
    <w:rsid w:val="007977B0"/>
    <w:rsid w:val="007977B1"/>
    <w:rsid w:val="007979DB"/>
    <w:rsid w:val="00797A4A"/>
    <w:rsid w:val="00797C5C"/>
    <w:rsid w:val="007A001C"/>
    <w:rsid w:val="007A00C0"/>
    <w:rsid w:val="007A025F"/>
    <w:rsid w:val="007A029F"/>
    <w:rsid w:val="007A02C9"/>
    <w:rsid w:val="007A02CE"/>
    <w:rsid w:val="007A0322"/>
    <w:rsid w:val="007A0449"/>
    <w:rsid w:val="007A04AD"/>
    <w:rsid w:val="007A05C5"/>
    <w:rsid w:val="007A0619"/>
    <w:rsid w:val="007A0647"/>
    <w:rsid w:val="007A066F"/>
    <w:rsid w:val="007A0688"/>
    <w:rsid w:val="007A0813"/>
    <w:rsid w:val="007A08CA"/>
    <w:rsid w:val="007A08E4"/>
    <w:rsid w:val="007A093E"/>
    <w:rsid w:val="007A0AA8"/>
    <w:rsid w:val="007A0CA2"/>
    <w:rsid w:val="007A0D0D"/>
    <w:rsid w:val="007A0DD0"/>
    <w:rsid w:val="007A0E1C"/>
    <w:rsid w:val="007A0E53"/>
    <w:rsid w:val="007A0E68"/>
    <w:rsid w:val="007A0E82"/>
    <w:rsid w:val="007A0EF3"/>
    <w:rsid w:val="007A0F1E"/>
    <w:rsid w:val="007A1100"/>
    <w:rsid w:val="007A11CA"/>
    <w:rsid w:val="007A131F"/>
    <w:rsid w:val="007A1407"/>
    <w:rsid w:val="007A1488"/>
    <w:rsid w:val="007A16E8"/>
    <w:rsid w:val="007A1872"/>
    <w:rsid w:val="007A19A8"/>
    <w:rsid w:val="007A1A0B"/>
    <w:rsid w:val="007A1D3C"/>
    <w:rsid w:val="007A1D9F"/>
    <w:rsid w:val="007A1E56"/>
    <w:rsid w:val="007A2070"/>
    <w:rsid w:val="007A20B3"/>
    <w:rsid w:val="007A21D0"/>
    <w:rsid w:val="007A21FE"/>
    <w:rsid w:val="007A22D5"/>
    <w:rsid w:val="007A24D4"/>
    <w:rsid w:val="007A2577"/>
    <w:rsid w:val="007A265B"/>
    <w:rsid w:val="007A269E"/>
    <w:rsid w:val="007A26F6"/>
    <w:rsid w:val="007A27C6"/>
    <w:rsid w:val="007A2946"/>
    <w:rsid w:val="007A2967"/>
    <w:rsid w:val="007A2A3C"/>
    <w:rsid w:val="007A2B51"/>
    <w:rsid w:val="007A2B55"/>
    <w:rsid w:val="007A2C90"/>
    <w:rsid w:val="007A2CC6"/>
    <w:rsid w:val="007A3285"/>
    <w:rsid w:val="007A330F"/>
    <w:rsid w:val="007A3360"/>
    <w:rsid w:val="007A336F"/>
    <w:rsid w:val="007A3402"/>
    <w:rsid w:val="007A344A"/>
    <w:rsid w:val="007A3473"/>
    <w:rsid w:val="007A34A1"/>
    <w:rsid w:val="007A34CF"/>
    <w:rsid w:val="007A34E1"/>
    <w:rsid w:val="007A358C"/>
    <w:rsid w:val="007A35F3"/>
    <w:rsid w:val="007A3666"/>
    <w:rsid w:val="007A36EB"/>
    <w:rsid w:val="007A37E8"/>
    <w:rsid w:val="007A3912"/>
    <w:rsid w:val="007A3923"/>
    <w:rsid w:val="007A3A7E"/>
    <w:rsid w:val="007A3A8F"/>
    <w:rsid w:val="007A3BE1"/>
    <w:rsid w:val="007A3BEA"/>
    <w:rsid w:val="007A3DBF"/>
    <w:rsid w:val="007A3E90"/>
    <w:rsid w:val="007A3F03"/>
    <w:rsid w:val="007A3F8B"/>
    <w:rsid w:val="007A4051"/>
    <w:rsid w:val="007A41CE"/>
    <w:rsid w:val="007A4291"/>
    <w:rsid w:val="007A42AE"/>
    <w:rsid w:val="007A437D"/>
    <w:rsid w:val="007A438D"/>
    <w:rsid w:val="007A43F0"/>
    <w:rsid w:val="007A4524"/>
    <w:rsid w:val="007A4599"/>
    <w:rsid w:val="007A45A9"/>
    <w:rsid w:val="007A46C3"/>
    <w:rsid w:val="007A46DD"/>
    <w:rsid w:val="007A46F5"/>
    <w:rsid w:val="007A482F"/>
    <w:rsid w:val="007A489F"/>
    <w:rsid w:val="007A4A17"/>
    <w:rsid w:val="007A4A27"/>
    <w:rsid w:val="007A4A80"/>
    <w:rsid w:val="007A4BDC"/>
    <w:rsid w:val="007A4CBE"/>
    <w:rsid w:val="007A4DDA"/>
    <w:rsid w:val="007A4E5E"/>
    <w:rsid w:val="007A4F56"/>
    <w:rsid w:val="007A4FE8"/>
    <w:rsid w:val="007A513A"/>
    <w:rsid w:val="007A520B"/>
    <w:rsid w:val="007A5266"/>
    <w:rsid w:val="007A52A4"/>
    <w:rsid w:val="007A52CD"/>
    <w:rsid w:val="007A53B5"/>
    <w:rsid w:val="007A53C2"/>
    <w:rsid w:val="007A55CE"/>
    <w:rsid w:val="007A563F"/>
    <w:rsid w:val="007A5640"/>
    <w:rsid w:val="007A569F"/>
    <w:rsid w:val="007A57B1"/>
    <w:rsid w:val="007A583D"/>
    <w:rsid w:val="007A589B"/>
    <w:rsid w:val="007A58D5"/>
    <w:rsid w:val="007A598A"/>
    <w:rsid w:val="007A5B22"/>
    <w:rsid w:val="007A5B98"/>
    <w:rsid w:val="007A5C0B"/>
    <w:rsid w:val="007A5CD9"/>
    <w:rsid w:val="007A5DD2"/>
    <w:rsid w:val="007A5E1E"/>
    <w:rsid w:val="007A5FEE"/>
    <w:rsid w:val="007A604B"/>
    <w:rsid w:val="007A6134"/>
    <w:rsid w:val="007A614B"/>
    <w:rsid w:val="007A6178"/>
    <w:rsid w:val="007A630A"/>
    <w:rsid w:val="007A63F6"/>
    <w:rsid w:val="007A6672"/>
    <w:rsid w:val="007A6678"/>
    <w:rsid w:val="007A68E7"/>
    <w:rsid w:val="007A6A90"/>
    <w:rsid w:val="007A6B20"/>
    <w:rsid w:val="007A6B7E"/>
    <w:rsid w:val="007A6BE7"/>
    <w:rsid w:val="007A6C3E"/>
    <w:rsid w:val="007A6CB6"/>
    <w:rsid w:val="007A6D13"/>
    <w:rsid w:val="007A6E68"/>
    <w:rsid w:val="007A6EE1"/>
    <w:rsid w:val="007A6FDA"/>
    <w:rsid w:val="007A6FDC"/>
    <w:rsid w:val="007A6FF2"/>
    <w:rsid w:val="007A7049"/>
    <w:rsid w:val="007A7148"/>
    <w:rsid w:val="007A7188"/>
    <w:rsid w:val="007A71CD"/>
    <w:rsid w:val="007A71FC"/>
    <w:rsid w:val="007A72EF"/>
    <w:rsid w:val="007A750B"/>
    <w:rsid w:val="007A7692"/>
    <w:rsid w:val="007A7729"/>
    <w:rsid w:val="007A775E"/>
    <w:rsid w:val="007A778D"/>
    <w:rsid w:val="007A78B9"/>
    <w:rsid w:val="007A78D6"/>
    <w:rsid w:val="007A7960"/>
    <w:rsid w:val="007A7B08"/>
    <w:rsid w:val="007A7B16"/>
    <w:rsid w:val="007A7CFB"/>
    <w:rsid w:val="007A7D85"/>
    <w:rsid w:val="007A7EF2"/>
    <w:rsid w:val="007A7EF3"/>
    <w:rsid w:val="007A7F77"/>
    <w:rsid w:val="007A7FC6"/>
    <w:rsid w:val="007B00C4"/>
    <w:rsid w:val="007B00D3"/>
    <w:rsid w:val="007B012E"/>
    <w:rsid w:val="007B0181"/>
    <w:rsid w:val="007B021C"/>
    <w:rsid w:val="007B0288"/>
    <w:rsid w:val="007B0364"/>
    <w:rsid w:val="007B038E"/>
    <w:rsid w:val="007B03AF"/>
    <w:rsid w:val="007B047C"/>
    <w:rsid w:val="007B0529"/>
    <w:rsid w:val="007B0556"/>
    <w:rsid w:val="007B0559"/>
    <w:rsid w:val="007B05C4"/>
    <w:rsid w:val="007B05E8"/>
    <w:rsid w:val="007B0676"/>
    <w:rsid w:val="007B07E5"/>
    <w:rsid w:val="007B07EE"/>
    <w:rsid w:val="007B080E"/>
    <w:rsid w:val="007B082A"/>
    <w:rsid w:val="007B085A"/>
    <w:rsid w:val="007B08E8"/>
    <w:rsid w:val="007B0AB9"/>
    <w:rsid w:val="007B0AF9"/>
    <w:rsid w:val="007B0BB0"/>
    <w:rsid w:val="007B0DD8"/>
    <w:rsid w:val="007B0E57"/>
    <w:rsid w:val="007B0E9F"/>
    <w:rsid w:val="007B0EAD"/>
    <w:rsid w:val="007B1052"/>
    <w:rsid w:val="007B10B4"/>
    <w:rsid w:val="007B1134"/>
    <w:rsid w:val="007B12D2"/>
    <w:rsid w:val="007B13E2"/>
    <w:rsid w:val="007B16A8"/>
    <w:rsid w:val="007B16CF"/>
    <w:rsid w:val="007B188A"/>
    <w:rsid w:val="007B1B02"/>
    <w:rsid w:val="007B1E01"/>
    <w:rsid w:val="007B1EDE"/>
    <w:rsid w:val="007B208E"/>
    <w:rsid w:val="007B20AF"/>
    <w:rsid w:val="007B2276"/>
    <w:rsid w:val="007B232A"/>
    <w:rsid w:val="007B2485"/>
    <w:rsid w:val="007B257D"/>
    <w:rsid w:val="007B2593"/>
    <w:rsid w:val="007B269C"/>
    <w:rsid w:val="007B26C3"/>
    <w:rsid w:val="007B27FE"/>
    <w:rsid w:val="007B2933"/>
    <w:rsid w:val="007B29E4"/>
    <w:rsid w:val="007B2A84"/>
    <w:rsid w:val="007B2BC1"/>
    <w:rsid w:val="007B2C3A"/>
    <w:rsid w:val="007B2D90"/>
    <w:rsid w:val="007B2E98"/>
    <w:rsid w:val="007B2FBC"/>
    <w:rsid w:val="007B30A4"/>
    <w:rsid w:val="007B3248"/>
    <w:rsid w:val="007B3297"/>
    <w:rsid w:val="007B32EA"/>
    <w:rsid w:val="007B3419"/>
    <w:rsid w:val="007B3431"/>
    <w:rsid w:val="007B35EA"/>
    <w:rsid w:val="007B36B2"/>
    <w:rsid w:val="007B399C"/>
    <w:rsid w:val="007B39EA"/>
    <w:rsid w:val="007B3B7D"/>
    <w:rsid w:val="007B3BDE"/>
    <w:rsid w:val="007B3C19"/>
    <w:rsid w:val="007B3CCB"/>
    <w:rsid w:val="007B3D1C"/>
    <w:rsid w:val="007B3DC3"/>
    <w:rsid w:val="007B423E"/>
    <w:rsid w:val="007B429B"/>
    <w:rsid w:val="007B4333"/>
    <w:rsid w:val="007B4352"/>
    <w:rsid w:val="007B4384"/>
    <w:rsid w:val="007B4548"/>
    <w:rsid w:val="007B45EC"/>
    <w:rsid w:val="007B4613"/>
    <w:rsid w:val="007B4758"/>
    <w:rsid w:val="007B47CA"/>
    <w:rsid w:val="007B484E"/>
    <w:rsid w:val="007B48B8"/>
    <w:rsid w:val="007B4A59"/>
    <w:rsid w:val="007B4B61"/>
    <w:rsid w:val="007B4B83"/>
    <w:rsid w:val="007B4C1F"/>
    <w:rsid w:val="007B4D71"/>
    <w:rsid w:val="007B4EF0"/>
    <w:rsid w:val="007B4F2F"/>
    <w:rsid w:val="007B507B"/>
    <w:rsid w:val="007B50E6"/>
    <w:rsid w:val="007B50FA"/>
    <w:rsid w:val="007B52EC"/>
    <w:rsid w:val="007B5347"/>
    <w:rsid w:val="007B5479"/>
    <w:rsid w:val="007B5597"/>
    <w:rsid w:val="007B564D"/>
    <w:rsid w:val="007B56A0"/>
    <w:rsid w:val="007B56B7"/>
    <w:rsid w:val="007B5902"/>
    <w:rsid w:val="007B59B3"/>
    <w:rsid w:val="007B5A80"/>
    <w:rsid w:val="007B5AE4"/>
    <w:rsid w:val="007B5B0A"/>
    <w:rsid w:val="007B5BE0"/>
    <w:rsid w:val="007B5BE6"/>
    <w:rsid w:val="007B5C93"/>
    <w:rsid w:val="007B5D65"/>
    <w:rsid w:val="007B5D92"/>
    <w:rsid w:val="007B5F70"/>
    <w:rsid w:val="007B5FF0"/>
    <w:rsid w:val="007B605F"/>
    <w:rsid w:val="007B60E1"/>
    <w:rsid w:val="007B60ED"/>
    <w:rsid w:val="007B614D"/>
    <w:rsid w:val="007B621B"/>
    <w:rsid w:val="007B6277"/>
    <w:rsid w:val="007B62DF"/>
    <w:rsid w:val="007B6424"/>
    <w:rsid w:val="007B6497"/>
    <w:rsid w:val="007B64C2"/>
    <w:rsid w:val="007B64D7"/>
    <w:rsid w:val="007B67E0"/>
    <w:rsid w:val="007B681B"/>
    <w:rsid w:val="007B686B"/>
    <w:rsid w:val="007B6974"/>
    <w:rsid w:val="007B6A07"/>
    <w:rsid w:val="007B6A2A"/>
    <w:rsid w:val="007B6A6E"/>
    <w:rsid w:val="007B6A90"/>
    <w:rsid w:val="007B6AE7"/>
    <w:rsid w:val="007B6BA6"/>
    <w:rsid w:val="007B6CDE"/>
    <w:rsid w:val="007B6CFD"/>
    <w:rsid w:val="007B6D0E"/>
    <w:rsid w:val="007B6EA5"/>
    <w:rsid w:val="007B6EB7"/>
    <w:rsid w:val="007B6F86"/>
    <w:rsid w:val="007B6FA2"/>
    <w:rsid w:val="007B6FE6"/>
    <w:rsid w:val="007B70AA"/>
    <w:rsid w:val="007B70AB"/>
    <w:rsid w:val="007B7365"/>
    <w:rsid w:val="007B739F"/>
    <w:rsid w:val="007B7563"/>
    <w:rsid w:val="007B7642"/>
    <w:rsid w:val="007B767B"/>
    <w:rsid w:val="007B769C"/>
    <w:rsid w:val="007B77C3"/>
    <w:rsid w:val="007B78BD"/>
    <w:rsid w:val="007B792D"/>
    <w:rsid w:val="007B79DA"/>
    <w:rsid w:val="007B7B1E"/>
    <w:rsid w:val="007B7B51"/>
    <w:rsid w:val="007B7C0C"/>
    <w:rsid w:val="007B7C45"/>
    <w:rsid w:val="007B7CB8"/>
    <w:rsid w:val="007B7D08"/>
    <w:rsid w:val="007B7DC3"/>
    <w:rsid w:val="007B7EA9"/>
    <w:rsid w:val="007B7F1C"/>
    <w:rsid w:val="007B7F3C"/>
    <w:rsid w:val="007B7FBD"/>
    <w:rsid w:val="007C0024"/>
    <w:rsid w:val="007C0211"/>
    <w:rsid w:val="007C0238"/>
    <w:rsid w:val="007C031B"/>
    <w:rsid w:val="007C03D6"/>
    <w:rsid w:val="007C0513"/>
    <w:rsid w:val="007C067F"/>
    <w:rsid w:val="007C07B9"/>
    <w:rsid w:val="007C07E5"/>
    <w:rsid w:val="007C07FB"/>
    <w:rsid w:val="007C0818"/>
    <w:rsid w:val="007C097F"/>
    <w:rsid w:val="007C09D0"/>
    <w:rsid w:val="007C0A05"/>
    <w:rsid w:val="007C0D3E"/>
    <w:rsid w:val="007C0E1D"/>
    <w:rsid w:val="007C0F5B"/>
    <w:rsid w:val="007C0F75"/>
    <w:rsid w:val="007C0FF2"/>
    <w:rsid w:val="007C1052"/>
    <w:rsid w:val="007C1068"/>
    <w:rsid w:val="007C119C"/>
    <w:rsid w:val="007C1243"/>
    <w:rsid w:val="007C1268"/>
    <w:rsid w:val="007C1290"/>
    <w:rsid w:val="007C12CD"/>
    <w:rsid w:val="007C1338"/>
    <w:rsid w:val="007C14C3"/>
    <w:rsid w:val="007C151C"/>
    <w:rsid w:val="007C1541"/>
    <w:rsid w:val="007C160E"/>
    <w:rsid w:val="007C16BF"/>
    <w:rsid w:val="007C17BA"/>
    <w:rsid w:val="007C1835"/>
    <w:rsid w:val="007C1AA6"/>
    <w:rsid w:val="007C1D04"/>
    <w:rsid w:val="007C1D2A"/>
    <w:rsid w:val="007C1D7B"/>
    <w:rsid w:val="007C1E80"/>
    <w:rsid w:val="007C1F72"/>
    <w:rsid w:val="007C1F7A"/>
    <w:rsid w:val="007C2004"/>
    <w:rsid w:val="007C22F9"/>
    <w:rsid w:val="007C2345"/>
    <w:rsid w:val="007C236E"/>
    <w:rsid w:val="007C2395"/>
    <w:rsid w:val="007C24FC"/>
    <w:rsid w:val="007C2651"/>
    <w:rsid w:val="007C2667"/>
    <w:rsid w:val="007C2890"/>
    <w:rsid w:val="007C298D"/>
    <w:rsid w:val="007C2A85"/>
    <w:rsid w:val="007C2AE3"/>
    <w:rsid w:val="007C2B31"/>
    <w:rsid w:val="007C2BC1"/>
    <w:rsid w:val="007C2BE6"/>
    <w:rsid w:val="007C2CEB"/>
    <w:rsid w:val="007C2ED6"/>
    <w:rsid w:val="007C2F60"/>
    <w:rsid w:val="007C2FEF"/>
    <w:rsid w:val="007C3023"/>
    <w:rsid w:val="007C31EC"/>
    <w:rsid w:val="007C34A3"/>
    <w:rsid w:val="007C356A"/>
    <w:rsid w:val="007C3743"/>
    <w:rsid w:val="007C3914"/>
    <w:rsid w:val="007C3985"/>
    <w:rsid w:val="007C39D3"/>
    <w:rsid w:val="007C3B9E"/>
    <w:rsid w:val="007C3C44"/>
    <w:rsid w:val="007C3DEA"/>
    <w:rsid w:val="007C3EAB"/>
    <w:rsid w:val="007C41FF"/>
    <w:rsid w:val="007C4313"/>
    <w:rsid w:val="007C4332"/>
    <w:rsid w:val="007C4451"/>
    <w:rsid w:val="007C445C"/>
    <w:rsid w:val="007C44E8"/>
    <w:rsid w:val="007C454D"/>
    <w:rsid w:val="007C4602"/>
    <w:rsid w:val="007C4731"/>
    <w:rsid w:val="007C47D4"/>
    <w:rsid w:val="007C47D8"/>
    <w:rsid w:val="007C48B2"/>
    <w:rsid w:val="007C48CF"/>
    <w:rsid w:val="007C4903"/>
    <w:rsid w:val="007C4A28"/>
    <w:rsid w:val="007C4A66"/>
    <w:rsid w:val="007C4B53"/>
    <w:rsid w:val="007C4BF3"/>
    <w:rsid w:val="007C4C28"/>
    <w:rsid w:val="007C4CFF"/>
    <w:rsid w:val="007C4D92"/>
    <w:rsid w:val="007C4ECF"/>
    <w:rsid w:val="007C4F32"/>
    <w:rsid w:val="007C4FA6"/>
    <w:rsid w:val="007C5164"/>
    <w:rsid w:val="007C5348"/>
    <w:rsid w:val="007C5382"/>
    <w:rsid w:val="007C53B8"/>
    <w:rsid w:val="007C555F"/>
    <w:rsid w:val="007C570C"/>
    <w:rsid w:val="007C57A8"/>
    <w:rsid w:val="007C5881"/>
    <w:rsid w:val="007C58ED"/>
    <w:rsid w:val="007C5913"/>
    <w:rsid w:val="007C594A"/>
    <w:rsid w:val="007C59E3"/>
    <w:rsid w:val="007C5C35"/>
    <w:rsid w:val="007C5D65"/>
    <w:rsid w:val="007C5E5B"/>
    <w:rsid w:val="007C5F1B"/>
    <w:rsid w:val="007C60A7"/>
    <w:rsid w:val="007C61E9"/>
    <w:rsid w:val="007C6252"/>
    <w:rsid w:val="007C630F"/>
    <w:rsid w:val="007C631D"/>
    <w:rsid w:val="007C6375"/>
    <w:rsid w:val="007C6447"/>
    <w:rsid w:val="007C64AA"/>
    <w:rsid w:val="007C64E6"/>
    <w:rsid w:val="007C651C"/>
    <w:rsid w:val="007C65E6"/>
    <w:rsid w:val="007C6662"/>
    <w:rsid w:val="007C66C9"/>
    <w:rsid w:val="007C670B"/>
    <w:rsid w:val="007C67C2"/>
    <w:rsid w:val="007C68B4"/>
    <w:rsid w:val="007C69F1"/>
    <w:rsid w:val="007C6A4C"/>
    <w:rsid w:val="007C6A8F"/>
    <w:rsid w:val="007C6AC2"/>
    <w:rsid w:val="007C6BE4"/>
    <w:rsid w:val="007C6C45"/>
    <w:rsid w:val="007C6C63"/>
    <w:rsid w:val="007C6D08"/>
    <w:rsid w:val="007C6D8B"/>
    <w:rsid w:val="007C6DBB"/>
    <w:rsid w:val="007C6DFB"/>
    <w:rsid w:val="007C6E10"/>
    <w:rsid w:val="007C6E5A"/>
    <w:rsid w:val="007C6EE7"/>
    <w:rsid w:val="007C7059"/>
    <w:rsid w:val="007C7087"/>
    <w:rsid w:val="007C712B"/>
    <w:rsid w:val="007C717A"/>
    <w:rsid w:val="007C72B5"/>
    <w:rsid w:val="007C7413"/>
    <w:rsid w:val="007C7592"/>
    <w:rsid w:val="007C761E"/>
    <w:rsid w:val="007C76FB"/>
    <w:rsid w:val="007C776C"/>
    <w:rsid w:val="007C77F9"/>
    <w:rsid w:val="007C793E"/>
    <w:rsid w:val="007C7A7B"/>
    <w:rsid w:val="007C7ABF"/>
    <w:rsid w:val="007C7ADB"/>
    <w:rsid w:val="007C7BA4"/>
    <w:rsid w:val="007C7C14"/>
    <w:rsid w:val="007C7C21"/>
    <w:rsid w:val="007C7DF8"/>
    <w:rsid w:val="007C7E29"/>
    <w:rsid w:val="007C7E74"/>
    <w:rsid w:val="007C7F2D"/>
    <w:rsid w:val="007D00E4"/>
    <w:rsid w:val="007D018B"/>
    <w:rsid w:val="007D020F"/>
    <w:rsid w:val="007D0340"/>
    <w:rsid w:val="007D0370"/>
    <w:rsid w:val="007D03D9"/>
    <w:rsid w:val="007D03F0"/>
    <w:rsid w:val="007D0489"/>
    <w:rsid w:val="007D0492"/>
    <w:rsid w:val="007D0522"/>
    <w:rsid w:val="007D0542"/>
    <w:rsid w:val="007D055D"/>
    <w:rsid w:val="007D05EF"/>
    <w:rsid w:val="007D079C"/>
    <w:rsid w:val="007D081C"/>
    <w:rsid w:val="007D088E"/>
    <w:rsid w:val="007D08AC"/>
    <w:rsid w:val="007D09D2"/>
    <w:rsid w:val="007D0A36"/>
    <w:rsid w:val="007D0AAA"/>
    <w:rsid w:val="007D0CB8"/>
    <w:rsid w:val="007D0DA5"/>
    <w:rsid w:val="007D0DF5"/>
    <w:rsid w:val="007D0E3D"/>
    <w:rsid w:val="007D0F33"/>
    <w:rsid w:val="007D0F40"/>
    <w:rsid w:val="007D103E"/>
    <w:rsid w:val="007D110F"/>
    <w:rsid w:val="007D113B"/>
    <w:rsid w:val="007D11F6"/>
    <w:rsid w:val="007D1325"/>
    <w:rsid w:val="007D1342"/>
    <w:rsid w:val="007D1365"/>
    <w:rsid w:val="007D1373"/>
    <w:rsid w:val="007D15A9"/>
    <w:rsid w:val="007D161A"/>
    <w:rsid w:val="007D163D"/>
    <w:rsid w:val="007D1699"/>
    <w:rsid w:val="007D16BB"/>
    <w:rsid w:val="007D1737"/>
    <w:rsid w:val="007D178A"/>
    <w:rsid w:val="007D178D"/>
    <w:rsid w:val="007D1815"/>
    <w:rsid w:val="007D18D2"/>
    <w:rsid w:val="007D1B1A"/>
    <w:rsid w:val="007D1C7C"/>
    <w:rsid w:val="007D1E06"/>
    <w:rsid w:val="007D2195"/>
    <w:rsid w:val="007D2248"/>
    <w:rsid w:val="007D23BD"/>
    <w:rsid w:val="007D23F2"/>
    <w:rsid w:val="007D2742"/>
    <w:rsid w:val="007D277C"/>
    <w:rsid w:val="007D2837"/>
    <w:rsid w:val="007D28EB"/>
    <w:rsid w:val="007D29E4"/>
    <w:rsid w:val="007D2DE7"/>
    <w:rsid w:val="007D2DF3"/>
    <w:rsid w:val="007D2E05"/>
    <w:rsid w:val="007D2E73"/>
    <w:rsid w:val="007D2EC6"/>
    <w:rsid w:val="007D2F1E"/>
    <w:rsid w:val="007D3032"/>
    <w:rsid w:val="007D304C"/>
    <w:rsid w:val="007D3102"/>
    <w:rsid w:val="007D3272"/>
    <w:rsid w:val="007D32B1"/>
    <w:rsid w:val="007D34AD"/>
    <w:rsid w:val="007D35B7"/>
    <w:rsid w:val="007D35BC"/>
    <w:rsid w:val="007D36CC"/>
    <w:rsid w:val="007D36FC"/>
    <w:rsid w:val="007D3705"/>
    <w:rsid w:val="007D3867"/>
    <w:rsid w:val="007D3869"/>
    <w:rsid w:val="007D399E"/>
    <w:rsid w:val="007D39BC"/>
    <w:rsid w:val="007D39E5"/>
    <w:rsid w:val="007D3B37"/>
    <w:rsid w:val="007D3B67"/>
    <w:rsid w:val="007D3BCB"/>
    <w:rsid w:val="007D3C81"/>
    <w:rsid w:val="007D3C92"/>
    <w:rsid w:val="007D3CB3"/>
    <w:rsid w:val="007D3CD6"/>
    <w:rsid w:val="007D3D93"/>
    <w:rsid w:val="007D3EB0"/>
    <w:rsid w:val="007D3EE5"/>
    <w:rsid w:val="007D3F3A"/>
    <w:rsid w:val="007D3FF8"/>
    <w:rsid w:val="007D4151"/>
    <w:rsid w:val="007D4195"/>
    <w:rsid w:val="007D4297"/>
    <w:rsid w:val="007D42F9"/>
    <w:rsid w:val="007D435A"/>
    <w:rsid w:val="007D4484"/>
    <w:rsid w:val="007D45C3"/>
    <w:rsid w:val="007D460E"/>
    <w:rsid w:val="007D4801"/>
    <w:rsid w:val="007D482C"/>
    <w:rsid w:val="007D486D"/>
    <w:rsid w:val="007D4907"/>
    <w:rsid w:val="007D4BE1"/>
    <w:rsid w:val="007D4C0E"/>
    <w:rsid w:val="007D4C25"/>
    <w:rsid w:val="007D4C66"/>
    <w:rsid w:val="007D4CE1"/>
    <w:rsid w:val="007D4D6F"/>
    <w:rsid w:val="007D4DFC"/>
    <w:rsid w:val="007D4F16"/>
    <w:rsid w:val="007D4FFA"/>
    <w:rsid w:val="007D502A"/>
    <w:rsid w:val="007D5041"/>
    <w:rsid w:val="007D5049"/>
    <w:rsid w:val="007D5094"/>
    <w:rsid w:val="007D509F"/>
    <w:rsid w:val="007D50A7"/>
    <w:rsid w:val="007D50BA"/>
    <w:rsid w:val="007D5107"/>
    <w:rsid w:val="007D51A8"/>
    <w:rsid w:val="007D55C5"/>
    <w:rsid w:val="007D575E"/>
    <w:rsid w:val="007D5921"/>
    <w:rsid w:val="007D5994"/>
    <w:rsid w:val="007D59DC"/>
    <w:rsid w:val="007D5A86"/>
    <w:rsid w:val="007D5BCC"/>
    <w:rsid w:val="007D5EAC"/>
    <w:rsid w:val="007D60B7"/>
    <w:rsid w:val="007D61E3"/>
    <w:rsid w:val="007D6237"/>
    <w:rsid w:val="007D631E"/>
    <w:rsid w:val="007D63D9"/>
    <w:rsid w:val="007D65C0"/>
    <w:rsid w:val="007D6721"/>
    <w:rsid w:val="007D6830"/>
    <w:rsid w:val="007D6914"/>
    <w:rsid w:val="007D6945"/>
    <w:rsid w:val="007D69E3"/>
    <w:rsid w:val="007D6A55"/>
    <w:rsid w:val="007D6AC5"/>
    <w:rsid w:val="007D6AC8"/>
    <w:rsid w:val="007D6B0E"/>
    <w:rsid w:val="007D6B54"/>
    <w:rsid w:val="007D6C8E"/>
    <w:rsid w:val="007D6D64"/>
    <w:rsid w:val="007D6ECE"/>
    <w:rsid w:val="007D6ED1"/>
    <w:rsid w:val="007D6FA7"/>
    <w:rsid w:val="007D703C"/>
    <w:rsid w:val="007D705F"/>
    <w:rsid w:val="007D759B"/>
    <w:rsid w:val="007D784B"/>
    <w:rsid w:val="007D7853"/>
    <w:rsid w:val="007D7896"/>
    <w:rsid w:val="007D78BC"/>
    <w:rsid w:val="007D7932"/>
    <w:rsid w:val="007D7AE4"/>
    <w:rsid w:val="007D7C14"/>
    <w:rsid w:val="007D7CA1"/>
    <w:rsid w:val="007D7D08"/>
    <w:rsid w:val="007E0019"/>
    <w:rsid w:val="007E011C"/>
    <w:rsid w:val="007E0213"/>
    <w:rsid w:val="007E0263"/>
    <w:rsid w:val="007E02BA"/>
    <w:rsid w:val="007E0456"/>
    <w:rsid w:val="007E04A3"/>
    <w:rsid w:val="007E04C5"/>
    <w:rsid w:val="007E0683"/>
    <w:rsid w:val="007E09EE"/>
    <w:rsid w:val="007E0A5D"/>
    <w:rsid w:val="007E0A81"/>
    <w:rsid w:val="007E0AAE"/>
    <w:rsid w:val="007E0C12"/>
    <w:rsid w:val="007E0CA5"/>
    <w:rsid w:val="007E0D7D"/>
    <w:rsid w:val="007E0DD2"/>
    <w:rsid w:val="007E0DE1"/>
    <w:rsid w:val="007E0E23"/>
    <w:rsid w:val="007E0E7B"/>
    <w:rsid w:val="007E0FFA"/>
    <w:rsid w:val="007E1140"/>
    <w:rsid w:val="007E1249"/>
    <w:rsid w:val="007E129C"/>
    <w:rsid w:val="007E133B"/>
    <w:rsid w:val="007E134D"/>
    <w:rsid w:val="007E13BA"/>
    <w:rsid w:val="007E14B2"/>
    <w:rsid w:val="007E14DD"/>
    <w:rsid w:val="007E15BF"/>
    <w:rsid w:val="007E1660"/>
    <w:rsid w:val="007E170A"/>
    <w:rsid w:val="007E1742"/>
    <w:rsid w:val="007E17A1"/>
    <w:rsid w:val="007E1810"/>
    <w:rsid w:val="007E181B"/>
    <w:rsid w:val="007E1856"/>
    <w:rsid w:val="007E1A1A"/>
    <w:rsid w:val="007E1AF0"/>
    <w:rsid w:val="007E1B57"/>
    <w:rsid w:val="007E1C55"/>
    <w:rsid w:val="007E1CD0"/>
    <w:rsid w:val="007E1CD3"/>
    <w:rsid w:val="007E1FA6"/>
    <w:rsid w:val="007E1FB3"/>
    <w:rsid w:val="007E2078"/>
    <w:rsid w:val="007E22C3"/>
    <w:rsid w:val="007E22D3"/>
    <w:rsid w:val="007E236D"/>
    <w:rsid w:val="007E23CA"/>
    <w:rsid w:val="007E24DA"/>
    <w:rsid w:val="007E254E"/>
    <w:rsid w:val="007E255F"/>
    <w:rsid w:val="007E2593"/>
    <w:rsid w:val="007E2854"/>
    <w:rsid w:val="007E29B6"/>
    <w:rsid w:val="007E2A13"/>
    <w:rsid w:val="007E2A44"/>
    <w:rsid w:val="007E2A90"/>
    <w:rsid w:val="007E2D45"/>
    <w:rsid w:val="007E2DDF"/>
    <w:rsid w:val="007E2EA4"/>
    <w:rsid w:val="007E3143"/>
    <w:rsid w:val="007E328A"/>
    <w:rsid w:val="007E32A9"/>
    <w:rsid w:val="007E3452"/>
    <w:rsid w:val="007E3732"/>
    <w:rsid w:val="007E3806"/>
    <w:rsid w:val="007E38FB"/>
    <w:rsid w:val="007E39DE"/>
    <w:rsid w:val="007E3A22"/>
    <w:rsid w:val="007E3B42"/>
    <w:rsid w:val="007E3CCA"/>
    <w:rsid w:val="007E3CDB"/>
    <w:rsid w:val="007E3DB7"/>
    <w:rsid w:val="007E3E4A"/>
    <w:rsid w:val="007E3FA7"/>
    <w:rsid w:val="007E4090"/>
    <w:rsid w:val="007E428A"/>
    <w:rsid w:val="007E43BE"/>
    <w:rsid w:val="007E43EA"/>
    <w:rsid w:val="007E4435"/>
    <w:rsid w:val="007E44FF"/>
    <w:rsid w:val="007E460A"/>
    <w:rsid w:val="007E4733"/>
    <w:rsid w:val="007E47AC"/>
    <w:rsid w:val="007E49D2"/>
    <w:rsid w:val="007E49DE"/>
    <w:rsid w:val="007E4A3D"/>
    <w:rsid w:val="007E4B53"/>
    <w:rsid w:val="007E4BBF"/>
    <w:rsid w:val="007E4E2D"/>
    <w:rsid w:val="007E4E75"/>
    <w:rsid w:val="007E4E90"/>
    <w:rsid w:val="007E4F01"/>
    <w:rsid w:val="007E4F45"/>
    <w:rsid w:val="007E4F4C"/>
    <w:rsid w:val="007E4FB0"/>
    <w:rsid w:val="007E509D"/>
    <w:rsid w:val="007E5154"/>
    <w:rsid w:val="007E5171"/>
    <w:rsid w:val="007E51D2"/>
    <w:rsid w:val="007E524E"/>
    <w:rsid w:val="007E5300"/>
    <w:rsid w:val="007E552B"/>
    <w:rsid w:val="007E55B5"/>
    <w:rsid w:val="007E55DF"/>
    <w:rsid w:val="007E5717"/>
    <w:rsid w:val="007E57DB"/>
    <w:rsid w:val="007E5822"/>
    <w:rsid w:val="007E59F4"/>
    <w:rsid w:val="007E5A2F"/>
    <w:rsid w:val="007E5A47"/>
    <w:rsid w:val="007E5A56"/>
    <w:rsid w:val="007E5AD5"/>
    <w:rsid w:val="007E5B8E"/>
    <w:rsid w:val="007E5C39"/>
    <w:rsid w:val="007E61C2"/>
    <w:rsid w:val="007E61CD"/>
    <w:rsid w:val="007E62E2"/>
    <w:rsid w:val="007E63D3"/>
    <w:rsid w:val="007E6471"/>
    <w:rsid w:val="007E64F1"/>
    <w:rsid w:val="007E6563"/>
    <w:rsid w:val="007E65F7"/>
    <w:rsid w:val="007E66E6"/>
    <w:rsid w:val="007E66EC"/>
    <w:rsid w:val="007E6703"/>
    <w:rsid w:val="007E6728"/>
    <w:rsid w:val="007E67B8"/>
    <w:rsid w:val="007E67E6"/>
    <w:rsid w:val="007E6A17"/>
    <w:rsid w:val="007E6AE9"/>
    <w:rsid w:val="007E6BAE"/>
    <w:rsid w:val="007E6CBC"/>
    <w:rsid w:val="007E6ED4"/>
    <w:rsid w:val="007E6EF6"/>
    <w:rsid w:val="007E6FB5"/>
    <w:rsid w:val="007E6FF2"/>
    <w:rsid w:val="007E70ED"/>
    <w:rsid w:val="007E721F"/>
    <w:rsid w:val="007E722E"/>
    <w:rsid w:val="007E7344"/>
    <w:rsid w:val="007E75FF"/>
    <w:rsid w:val="007E774E"/>
    <w:rsid w:val="007E77FC"/>
    <w:rsid w:val="007E7870"/>
    <w:rsid w:val="007E7915"/>
    <w:rsid w:val="007E7948"/>
    <w:rsid w:val="007E7BBA"/>
    <w:rsid w:val="007E7E50"/>
    <w:rsid w:val="007E7EB9"/>
    <w:rsid w:val="007E7EDF"/>
    <w:rsid w:val="007E7F6B"/>
    <w:rsid w:val="007E7F6C"/>
    <w:rsid w:val="007F0086"/>
    <w:rsid w:val="007F00D8"/>
    <w:rsid w:val="007F0153"/>
    <w:rsid w:val="007F0242"/>
    <w:rsid w:val="007F029E"/>
    <w:rsid w:val="007F036A"/>
    <w:rsid w:val="007F04B7"/>
    <w:rsid w:val="007F0547"/>
    <w:rsid w:val="007F0674"/>
    <w:rsid w:val="007F06D5"/>
    <w:rsid w:val="007F0831"/>
    <w:rsid w:val="007F08A2"/>
    <w:rsid w:val="007F08C8"/>
    <w:rsid w:val="007F09AC"/>
    <w:rsid w:val="007F0A1D"/>
    <w:rsid w:val="007F0ACA"/>
    <w:rsid w:val="007F0B42"/>
    <w:rsid w:val="007F0BA0"/>
    <w:rsid w:val="007F0C51"/>
    <w:rsid w:val="007F0D85"/>
    <w:rsid w:val="007F0DD7"/>
    <w:rsid w:val="007F0DDD"/>
    <w:rsid w:val="007F0DEE"/>
    <w:rsid w:val="007F1243"/>
    <w:rsid w:val="007F137E"/>
    <w:rsid w:val="007F13DF"/>
    <w:rsid w:val="007F156A"/>
    <w:rsid w:val="007F1586"/>
    <w:rsid w:val="007F161F"/>
    <w:rsid w:val="007F180F"/>
    <w:rsid w:val="007F1814"/>
    <w:rsid w:val="007F187D"/>
    <w:rsid w:val="007F1A33"/>
    <w:rsid w:val="007F1ABA"/>
    <w:rsid w:val="007F1AC9"/>
    <w:rsid w:val="007F1B61"/>
    <w:rsid w:val="007F1BFF"/>
    <w:rsid w:val="007F1DED"/>
    <w:rsid w:val="007F1F36"/>
    <w:rsid w:val="007F2020"/>
    <w:rsid w:val="007F2159"/>
    <w:rsid w:val="007F21A6"/>
    <w:rsid w:val="007F2296"/>
    <w:rsid w:val="007F22D7"/>
    <w:rsid w:val="007F232D"/>
    <w:rsid w:val="007F24E2"/>
    <w:rsid w:val="007F2502"/>
    <w:rsid w:val="007F25FA"/>
    <w:rsid w:val="007F2672"/>
    <w:rsid w:val="007F2726"/>
    <w:rsid w:val="007F288A"/>
    <w:rsid w:val="007F2AEB"/>
    <w:rsid w:val="007F2B04"/>
    <w:rsid w:val="007F2BC2"/>
    <w:rsid w:val="007F2C11"/>
    <w:rsid w:val="007F2C41"/>
    <w:rsid w:val="007F2CD4"/>
    <w:rsid w:val="007F2DB5"/>
    <w:rsid w:val="007F2ED6"/>
    <w:rsid w:val="007F306D"/>
    <w:rsid w:val="007F30A5"/>
    <w:rsid w:val="007F32B5"/>
    <w:rsid w:val="007F32DA"/>
    <w:rsid w:val="007F3453"/>
    <w:rsid w:val="007F3475"/>
    <w:rsid w:val="007F350B"/>
    <w:rsid w:val="007F353D"/>
    <w:rsid w:val="007F35BE"/>
    <w:rsid w:val="007F35D6"/>
    <w:rsid w:val="007F3621"/>
    <w:rsid w:val="007F369A"/>
    <w:rsid w:val="007F374E"/>
    <w:rsid w:val="007F377C"/>
    <w:rsid w:val="007F3898"/>
    <w:rsid w:val="007F38A5"/>
    <w:rsid w:val="007F394B"/>
    <w:rsid w:val="007F3A1A"/>
    <w:rsid w:val="007F3BDE"/>
    <w:rsid w:val="007F3C10"/>
    <w:rsid w:val="007F3C66"/>
    <w:rsid w:val="007F3CD6"/>
    <w:rsid w:val="007F3DBE"/>
    <w:rsid w:val="007F4177"/>
    <w:rsid w:val="007F4201"/>
    <w:rsid w:val="007F4203"/>
    <w:rsid w:val="007F42DD"/>
    <w:rsid w:val="007F4382"/>
    <w:rsid w:val="007F448A"/>
    <w:rsid w:val="007F4500"/>
    <w:rsid w:val="007F4538"/>
    <w:rsid w:val="007F472E"/>
    <w:rsid w:val="007F4766"/>
    <w:rsid w:val="007F492C"/>
    <w:rsid w:val="007F49B0"/>
    <w:rsid w:val="007F4BA5"/>
    <w:rsid w:val="007F4CA1"/>
    <w:rsid w:val="007F4D9E"/>
    <w:rsid w:val="007F4DDE"/>
    <w:rsid w:val="007F4DF1"/>
    <w:rsid w:val="007F4E19"/>
    <w:rsid w:val="007F4E2B"/>
    <w:rsid w:val="007F4FA3"/>
    <w:rsid w:val="007F5110"/>
    <w:rsid w:val="007F511B"/>
    <w:rsid w:val="007F5145"/>
    <w:rsid w:val="007F516F"/>
    <w:rsid w:val="007F52A2"/>
    <w:rsid w:val="007F556C"/>
    <w:rsid w:val="007F5649"/>
    <w:rsid w:val="007F564A"/>
    <w:rsid w:val="007F56A5"/>
    <w:rsid w:val="007F56BD"/>
    <w:rsid w:val="007F586C"/>
    <w:rsid w:val="007F588C"/>
    <w:rsid w:val="007F5A45"/>
    <w:rsid w:val="007F5D23"/>
    <w:rsid w:val="007F5D68"/>
    <w:rsid w:val="007F5DDB"/>
    <w:rsid w:val="007F5F0D"/>
    <w:rsid w:val="007F5F6F"/>
    <w:rsid w:val="007F611F"/>
    <w:rsid w:val="007F612E"/>
    <w:rsid w:val="007F624B"/>
    <w:rsid w:val="007F63B6"/>
    <w:rsid w:val="007F6450"/>
    <w:rsid w:val="007F646C"/>
    <w:rsid w:val="007F647F"/>
    <w:rsid w:val="007F6526"/>
    <w:rsid w:val="007F656E"/>
    <w:rsid w:val="007F663A"/>
    <w:rsid w:val="007F665F"/>
    <w:rsid w:val="007F66EE"/>
    <w:rsid w:val="007F671F"/>
    <w:rsid w:val="007F6828"/>
    <w:rsid w:val="007F689D"/>
    <w:rsid w:val="007F68F5"/>
    <w:rsid w:val="007F6907"/>
    <w:rsid w:val="007F6B31"/>
    <w:rsid w:val="007F6BFC"/>
    <w:rsid w:val="007F6D33"/>
    <w:rsid w:val="007F6D51"/>
    <w:rsid w:val="007F6D6B"/>
    <w:rsid w:val="007F6DE5"/>
    <w:rsid w:val="007F6DFD"/>
    <w:rsid w:val="007F6E68"/>
    <w:rsid w:val="007F6EDF"/>
    <w:rsid w:val="007F6F35"/>
    <w:rsid w:val="007F6FAE"/>
    <w:rsid w:val="007F7030"/>
    <w:rsid w:val="007F7090"/>
    <w:rsid w:val="007F715D"/>
    <w:rsid w:val="007F7173"/>
    <w:rsid w:val="007F71C6"/>
    <w:rsid w:val="007F7238"/>
    <w:rsid w:val="007F7248"/>
    <w:rsid w:val="007F726D"/>
    <w:rsid w:val="007F7313"/>
    <w:rsid w:val="007F73F0"/>
    <w:rsid w:val="007F74AB"/>
    <w:rsid w:val="007F7552"/>
    <w:rsid w:val="007F7578"/>
    <w:rsid w:val="007F75CB"/>
    <w:rsid w:val="007F7651"/>
    <w:rsid w:val="007F76FF"/>
    <w:rsid w:val="007F781E"/>
    <w:rsid w:val="007F7836"/>
    <w:rsid w:val="007F783B"/>
    <w:rsid w:val="007F783E"/>
    <w:rsid w:val="007F79BE"/>
    <w:rsid w:val="007F7B90"/>
    <w:rsid w:val="007F7BE9"/>
    <w:rsid w:val="007F7BF7"/>
    <w:rsid w:val="007F7D16"/>
    <w:rsid w:val="007F7D9B"/>
    <w:rsid w:val="007F7E30"/>
    <w:rsid w:val="008000A5"/>
    <w:rsid w:val="008001B1"/>
    <w:rsid w:val="008001D0"/>
    <w:rsid w:val="00800226"/>
    <w:rsid w:val="0080040E"/>
    <w:rsid w:val="008005BE"/>
    <w:rsid w:val="008006D5"/>
    <w:rsid w:val="0080070B"/>
    <w:rsid w:val="00800748"/>
    <w:rsid w:val="00800893"/>
    <w:rsid w:val="008008B6"/>
    <w:rsid w:val="00800962"/>
    <w:rsid w:val="008009F0"/>
    <w:rsid w:val="00800A51"/>
    <w:rsid w:val="00800B2A"/>
    <w:rsid w:val="00800B47"/>
    <w:rsid w:val="00800B9C"/>
    <w:rsid w:val="00800BB1"/>
    <w:rsid w:val="00800CCB"/>
    <w:rsid w:val="00800CDA"/>
    <w:rsid w:val="00800D4D"/>
    <w:rsid w:val="00800DC2"/>
    <w:rsid w:val="00800E2A"/>
    <w:rsid w:val="00800E56"/>
    <w:rsid w:val="00800E83"/>
    <w:rsid w:val="00800ED8"/>
    <w:rsid w:val="00800F4D"/>
    <w:rsid w:val="00800F84"/>
    <w:rsid w:val="00800FE8"/>
    <w:rsid w:val="0080103C"/>
    <w:rsid w:val="008010A7"/>
    <w:rsid w:val="00801137"/>
    <w:rsid w:val="0080113F"/>
    <w:rsid w:val="008011F4"/>
    <w:rsid w:val="008011FE"/>
    <w:rsid w:val="00801217"/>
    <w:rsid w:val="00801239"/>
    <w:rsid w:val="0080144E"/>
    <w:rsid w:val="00801581"/>
    <w:rsid w:val="008016C1"/>
    <w:rsid w:val="008017A1"/>
    <w:rsid w:val="00801803"/>
    <w:rsid w:val="0080186D"/>
    <w:rsid w:val="008018C6"/>
    <w:rsid w:val="008018FA"/>
    <w:rsid w:val="00801968"/>
    <w:rsid w:val="008019BB"/>
    <w:rsid w:val="00801AE4"/>
    <w:rsid w:val="00801C1C"/>
    <w:rsid w:val="00801CCE"/>
    <w:rsid w:val="00801D81"/>
    <w:rsid w:val="00801D89"/>
    <w:rsid w:val="0080208E"/>
    <w:rsid w:val="0080212D"/>
    <w:rsid w:val="00802208"/>
    <w:rsid w:val="008024FC"/>
    <w:rsid w:val="00802557"/>
    <w:rsid w:val="00802588"/>
    <w:rsid w:val="0080258D"/>
    <w:rsid w:val="00802658"/>
    <w:rsid w:val="00802688"/>
    <w:rsid w:val="0080269F"/>
    <w:rsid w:val="0080271F"/>
    <w:rsid w:val="008027DA"/>
    <w:rsid w:val="00802A79"/>
    <w:rsid w:val="00802A9B"/>
    <w:rsid w:val="00802AAE"/>
    <w:rsid w:val="00802B34"/>
    <w:rsid w:val="00802BF7"/>
    <w:rsid w:val="00802C50"/>
    <w:rsid w:val="00802C79"/>
    <w:rsid w:val="00802C8B"/>
    <w:rsid w:val="00802CB9"/>
    <w:rsid w:val="00802D16"/>
    <w:rsid w:val="00802D26"/>
    <w:rsid w:val="00802DC9"/>
    <w:rsid w:val="00802F03"/>
    <w:rsid w:val="008030E4"/>
    <w:rsid w:val="00803156"/>
    <w:rsid w:val="008031EC"/>
    <w:rsid w:val="0080332C"/>
    <w:rsid w:val="008033AD"/>
    <w:rsid w:val="0080353E"/>
    <w:rsid w:val="0080368E"/>
    <w:rsid w:val="00803739"/>
    <w:rsid w:val="008037EC"/>
    <w:rsid w:val="0080383A"/>
    <w:rsid w:val="008038A0"/>
    <w:rsid w:val="00803940"/>
    <w:rsid w:val="008039CA"/>
    <w:rsid w:val="00803A28"/>
    <w:rsid w:val="00803A39"/>
    <w:rsid w:val="00803A99"/>
    <w:rsid w:val="00803B11"/>
    <w:rsid w:val="00803B7B"/>
    <w:rsid w:val="00803CB1"/>
    <w:rsid w:val="00803D46"/>
    <w:rsid w:val="00803D73"/>
    <w:rsid w:val="00803ED0"/>
    <w:rsid w:val="00803EFB"/>
    <w:rsid w:val="00803F5F"/>
    <w:rsid w:val="008040EC"/>
    <w:rsid w:val="0080435C"/>
    <w:rsid w:val="00804387"/>
    <w:rsid w:val="00804522"/>
    <w:rsid w:val="00804556"/>
    <w:rsid w:val="008046B5"/>
    <w:rsid w:val="008046F7"/>
    <w:rsid w:val="0080479F"/>
    <w:rsid w:val="008047AF"/>
    <w:rsid w:val="008047BE"/>
    <w:rsid w:val="00804869"/>
    <w:rsid w:val="00804AD6"/>
    <w:rsid w:val="00804CE0"/>
    <w:rsid w:val="00804D98"/>
    <w:rsid w:val="00804DB3"/>
    <w:rsid w:val="00804F2D"/>
    <w:rsid w:val="00805014"/>
    <w:rsid w:val="00805074"/>
    <w:rsid w:val="008050DB"/>
    <w:rsid w:val="008050E5"/>
    <w:rsid w:val="00805119"/>
    <w:rsid w:val="0080517B"/>
    <w:rsid w:val="00805192"/>
    <w:rsid w:val="0080524A"/>
    <w:rsid w:val="008053AB"/>
    <w:rsid w:val="00805520"/>
    <w:rsid w:val="00805558"/>
    <w:rsid w:val="008056B5"/>
    <w:rsid w:val="008057E8"/>
    <w:rsid w:val="008058D2"/>
    <w:rsid w:val="0080593F"/>
    <w:rsid w:val="008059B5"/>
    <w:rsid w:val="00805A3C"/>
    <w:rsid w:val="00805A80"/>
    <w:rsid w:val="00805B0C"/>
    <w:rsid w:val="00805B74"/>
    <w:rsid w:val="00805B9B"/>
    <w:rsid w:val="00805BB3"/>
    <w:rsid w:val="00805BC0"/>
    <w:rsid w:val="00805BF7"/>
    <w:rsid w:val="00805BFC"/>
    <w:rsid w:val="00805C18"/>
    <w:rsid w:val="00805D28"/>
    <w:rsid w:val="00805DE9"/>
    <w:rsid w:val="00805E13"/>
    <w:rsid w:val="00805E68"/>
    <w:rsid w:val="00805EFD"/>
    <w:rsid w:val="00805FB0"/>
    <w:rsid w:val="008060EF"/>
    <w:rsid w:val="00806161"/>
    <w:rsid w:val="0080624A"/>
    <w:rsid w:val="00806348"/>
    <w:rsid w:val="00806401"/>
    <w:rsid w:val="00806525"/>
    <w:rsid w:val="00806542"/>
    <w:rsid w:val="00806558"/>
    <w:rsid w:val="0080659D"/>
    <w:rsid w:val="0080661A"/>
    <w:rsid w:val="008066DC"/>
    <w:rsid w:val="0080692A"/>
    <w:rsid w:val="00806BC8"/>
    <w:rsid w:val="00806BE1"/>
    <w:rsid w:val="00806BE8"/>
    <w:rsid w:val="00806C7E"/>
    <w:rsid w:val="00806C92"/>
    <w:rsid w:val="00806D11"/>
    <w:rsid w:val="00806D5D"/>
    <w:rsid w:val="00806D64"/>
    <w:rsid w:val="00806E8F"/>
    <w:rsid w:val="00807103"/>
    <w:rsid w:val="0080715D"/>
    <w:rsid w:val="008071DA"/>
    <w:rsid w:val="008072D6"/>
    <w:rsid w:val="0080746E"/>
    <w:rsid w:val="00807482"/>
    <w:rsid w:val="00807764"/>
    <w:rsid w:val="0080780C"/>
    <w:rsid w:val="0080786A"/>
    <w:rsid w:val="0080790F"/>
    <w:rsid w:val="0080794E"/>
    <w:rsid w:val="00807B40"/>
    <w:rsid w:val="00807B69"/>
    <w:rsid w:val="00807CCC"/>
    <w:rsid w:val="00807CDC"/>
    <w:rsid w:val="00807E25"/>
    <w:rsid w:val="00807F1B"/>
    <w:rsid w:val="00807F80"/>
    <w:rsid w:val="0081003A"/>
    <w:rsid w:val="0081010B"/>
    <w:rsid w:val="00810123"/>
    <w:rsid w:val="008101B9"/>
    <w:rsid w:val="0081022D"/>
    <w:rsid w:val="0081028F"/>
    <w:rsid w:val="008102B1"/>
    <w:rsid w:val="008102F7"/>
    <w:rsid w:val="008103FB"/>
    <w:rsid w:val="00810456"/>
    <w:rsid w:val="00810575"/>
    <w:rsid w:val="00810664"/>
    <w:rsid w:val="00810672"/>
    <w:rsid w:val="008106AD"/>
    <w:rsid w:val="008106BC"/>
    <w:rsid w:val="008106F3"/>
    <w:rsid w:val="0081070E"/>
    <w:rsid w:val="00810812"/>
    <w:rsid w:val="00810872"/>
    <w:rsid w:val="00810939"/>
    <w:rsid w:val="008109D4"/>
    <w:rsid w:val="00810A60"/>
    <w:rsid w:val="00810AD1"/>
    <w:rsid w:val="00810AEB"/>
    <w:rsid w:val="00810B51"/>
    <w:rsid w:val="00810B81"/>
    <w:rsid w:val="00810C34"/>
    <w:rsid w:val="00810C6C"/>
    <w:rsid w:val="00810CD7"/>
    <w:rsid w:val="00810D44"/>
    <w:rsid w:val="00810D9A"/>
    <w:rsid w:val="00810E09"/>
    <w:rsid w:val="00810FA5"/>
    <w:rsid w:val="00810FC2"/>
    <w:rsid w:val="0081103E"/>
    <w:rsid w:val="008110A4"/>
    <w:rsid w:val="00811103"/>
    <w:rsid w:val="0081125B"/>
    <w:rsid w:val="00811297"/>
    <w:rsid w:val="00811541"/>
    <w:rsid w:val="0081165B"/>
    <w:rsid w:val="0081182B"/>
    <w:rsid w:val="00811876"/>
    <w:rsid w:val="00811937"/>
    <w:rsid w:val="008119B4"/>
    <w:rsid w:val="00811A05"/>
    <w:rsid w:val="00811A0F"/>
    <w:rsid w:val="00811A64"/>
    <w:rsid w:val="00811AB7"/>
    <w:rsid w:val="00811ACC"/>
    <w:rsid w:val="00811BE8"/>
    <w:rsid w:val="00811C1C"/>
    <w:rsid w:val="00811CD1"/>
    <w:rsid w:val="00811D6E"/>
    <w:rsid w:val="00811E47"/>
    <w:rsid w:val="00811E4E"/>
    <w:rsid w:val="00811E6E"/>
    <w:rsid w:val="00811E85"/>
    <w:rsid w:val="0081214A"/>
    <w:rsid w:val="008121AC"/>
    <w:rsid w:val="008121CE"/>
    <w:rsid w:val="00812207"/>
    <w:rsid w:val="008124EC"/>
    <w:rsid w:val="00812513"/>
    <w:rsid w:val="0081254C"/>
    <w:rsid w:val="0081254D"/>
    <w:rsid w:val="0081258E"/>
    <w:rsid w:val="0081265C"/>
    <w:rsid w:val="008126BF"/>
    <w:rsid w:val="008126D8"/>
    <w:rsid w:val="00812724"/>
    <w:rsid w:val="00812736"/>
    <w:rsid w:val="00812774"/>
    <w:rsid w:val="0081282F"/>
    <w:rsid w:val="00812831"/>
    <w:rsid w:val="008128FE"/>
    <w:rsid w:val="00812957"/>
    <w:rsid w:val="00812981"/>
    <w:rsid w:val="00812A43"/>
    <w:rsid w:val="00812AEC"/>
    <w:rsid w:val="00812B7E"/>
    <w:rsid w:val="00812C18"/>
    <w:rsid w:val="00812E82"/>
    <w:rsid w:val="00812E84"/>
    <w:rsid w:val="00812EA9"/>
    <w:rsid w:val="00813150"/>
    <w:rsid w:val="0081319A"/>
    <w:rsid w:val="008131CC"/>
    <w:rsid w:val="008132D0"/>
    <w:rsid w:val="008133F8"/>
    <w:rsid w:val="008134CB"/>
    <w:rsid w:val="00813677"/>
    <w:rsid w:val="008137A5"/>
    <w:rsid w:val="008137B0"/>
    <w:rsid w:val="008137E2"/>
    <w:rsid w:val="00813842"/>
    <w:rsid w:val="0081389D"/>
    <w:rsid w:val="008138BE"/>
    <w:rsid w:val="008139F3"/>
    <w:rsid w:val="00813A5A"/>
    <w:rsid w:val="00813A8C"/>
    <w:rsid w:val="00813B8F"/>
    <w:rsid w:val="00813C7D"/>
    <w:rsid w:val="00813E33"/>
    <w:rsid w:val="00813F07"/>
    <w:rsid w:val="00813F1D"/>
    <w:rsid w:val="00813FA1"/>
    <w:rsid w:val="00814067"/>
    <w:rsid w:val="008140F3"/>
    <w:rsid w:val="0081410D"/>
    <w:rsid w:val="00814265"/>
    <w:rsid w:val="008142AF"/>
    <w:rsid w:val="00814333"/>
    <w:rsid w:val="00814428"/>
    <w:rsid w:val="00814446"/>
    <w:rsid w:val="00814472"/>
    <w:rsid w:val="008144B2"/>
    <w:rsid w:val="0081454A"/>
    <w:rsid w:val="00814697"/>
    <w:rsid w:val="0081469D"/>
    <w:rsid w:val="008148E6"/>
    <w:rsid w:val="008149BC"/>
    <w:rsid w:val="008149D7"/>
    <w:rsid w:val="00814A14"/>
    <w:rsid w:val="00814B6C"/>
    <w:rsid w:val="00814B71"/>
    <w:rsid w:val="00814C51"/>
    <w:rsid w:val="00814C7D"/>
    <w:rsid w:val="00814CC3"/>
    <w:rsid w:val="00814D05"/>
    <w:rsid w:val="00814D2C"/>
    <w:rsid w:val="00814D64"/>
    <w:rsid w:val="00814DFD"/>
    <w:rsid w:val="00814E1F"/>
    <w:rsid w:val="00814F46"/>
    <w:rsid w:val="00814FAA"/>
    <w:rsid w:val="00815050"/>
    <w:rsid w:val="00815240"/>
    <w:rsid w:val="008152AD"/>
    <w:rsid w:val="008152C6"/>
    <w:rsid w:val="0081537A"/>
    <w:rsid w:val="00815381"/>
    <w:rsid w:val="0081546B"/>
    <w:rsid w:val="008154BD"/>
    <w:rsid w:val="008154BE"/>
    <w:rsid w:val="00815586"/>
    <w:rsid w:val="0081558C"/>
    <w:rsid w:val="008155A3"/>
    <w:rsid w:val="008155F6"/>
    <w:rsid w:val="00815645"/>
    <w:rsid w:val="00815948"/>
    <w:rsid w:val="00815A60"/>
    <w:rsid w:val="00815B5C"/>
    <w:rsid w:val="00815B88"/>
    <w:rsid w:val="00815BE8"/>
    <w:rsid w:val="00815C08"/>
    <w:rsid w:val="00815C35"/>
    <w:rsid w:val="00815C7F"/>
    <w:rsid w:val="00815D1A"/>
    <w:rsid w:val="00815F10"/>
    <w:rsid w:val="00815F40"/>
    <w:rsid w:val="00815F51"/>
    <w:rsid w:val="00815FF1"/>
    <w:rsid w:val="00816024"/>
    <w:rsid w:val="00816093"/>
    <w:rsid w:val="0081615E"/>
    <w:rsid w:val="008161B8"/>
    <w:rsid w:val="008161E2"/>
    <w:rsid w:val="0081620C"/>
    <w:rsid w:val="0081625C"/>
    <w:rsid w:val="0081628E"/>
    <w:rsid w:val="008162A3"/>
    <w:rsid w:val="008162D5"/>
    <w:rsid w:val="008163A5"/>
    <w:rsid w:val="0081670E"/>
    <w:rsid w:val="0081694F"/>
    <w:rsid w:val="00816972"/>
    <w:rsid w:val="00816AF7"/>
    <w:rsid w:val="00816BB7"/>
    <w:rsid w:val="00816BF2"/>
    <w:rsid w:val="00816C31"/>
    <w:rsid w:val="00816C34"/>
    <w:rsid w:val="00816D54"/>
    <w:rsid w:val="00816D84"/>
    <w:rsid w:val="00816DAD"/>
    <w:rsid w:val="00816DBA"/>
    <w:rsid w:val="00816E34"/>
    <w:rsid w:val="00816E5E"/>
    <w:rsid w:val="00816E65"/>
    <w:rsid w:val="008170C9"/>
    <w:rsid w:val="00817332"/>
    <w:rsid w:val="00817468"/>
    <w:rsid w:val="008175DD"/>
    <w:rsid w:val="00817606"/>
    <w:rsid w:val="00817625"/>
    <w:rsid w:val="008176D5"/>
    <w:rsid w:val="00817848"/>
    <w:rsid w:val="00817872"/>
    <w:rsid w:val="008178DE"/>
    <w:rsid w:val="00817947"/>
    <w:rsid w:val="00817B1F"/>
    <w:rsid w:val="00817D62"/>
    <w:rsid w:val="00817DDE"/>
    <w:rsid w:val="00817F19"/>
    <w:rsid w:val="00817F8E"/>
    <w:rsid w:val="00820030"/>
    <w:rsid w:val="0082003E"/>
    <w:rsid w:val="0082009C"/>
    <w:rsid w:val="008201A4"/>
    <w:rsid w:val="00820253"/>
    <w:rsid w:val="00820266"/>
    <w:rsid w:val="00820335"/>
    <w:rsid w:val="00820507"/>
    <w:rsid w:val="008205E8"/>
    <w:rsid w:val="00820647"/>
    <w:rsid w:val="00820688"/>
    <w:rsid w:val="008206B2"/>
    <w:rsid w:val="008206EB"/>
    <w:rsid w:val="008206EE"/>
    <w:rsid w:val="00820746"/>
    <w:rsid w:val="008208AD"/>
    <w:rsid w:val="008209BF"/>
    <w:rsid w:val="00820BFF"/>
    <w:rsid w:val="00820C58"/>
    <w:rsid w:val="00820C89"/>
    <w:rsid w:val="00820C8F"/>
    <w:rsid w:val="00820CDA"/>
    <w:rsid w:val="00820D0E"/>
    <w:rsid w:val="00820D56"/>
    <w:rsid w:val="00820D7E"/>
    <w:rsid w:val="00820E53"/>
    <w:rsid w:val="00820E77"/>
    <w:rsid w:val="00820F58"/>
    <w:rsid w:val="00820FD6"/>
    <w:rsid w:val="0082105F"/>
    <w:rsid w:val="00821071"/>
    <w:rsid w:val="008210D4"/>
    <w:rsid w:val="008210DB"/>
    <w:rsid w:val="00821182"/>
    <w:rsid w:val="00821192"/>
    <w:rsid w:val="00821309"/>
    <w:rsid w:val="0082130A"/>
    <w:rsid w:val="00821340"/>
    <w:rsid w:val="00821349"/>
    <w:rsid w:val="008214B0"/>
    <w:rsid w:val="00821622"/>
    <w:rsid w:val="00821880"/>
    <w:rsid w:val="008219BF"/>
    <w:rsid w:val="008219FA"/>
    <w:rsid w:val="00821A5B"/>
    <w:rsid w:val="00821B43"/>
    <w:rsid w:val="00821EC0"/>
    <w:rsid w:val="00821EE3"/>
    <w:rsid w:val="00821EFE"/>
    <w:rsid w:val="00821FFC"/>
    <w:rsid w:val="00822020"/>
    <w:rsid w:val="00822349"/>
    <w:rsid w:val="00822415"/>
    <w:rsid w:val="00822535"/>
    <w:rsid w:val="00822581"/>
    <w:rsid w:val="00822586"/>
    <w:rsid w:val="008225EB"/>
    <w:rsid w:val="008226F8"/>
    <w:rsid w:val="00822774"/>
    <w:rsid w:val="00822776"/>
    <w:rsid w:val="00822841"/>
    <w:rsid w:val="0082288B"/>
    <w:rsid w:val="008228C8"/>
    <w:rsid w:val="0082291C"/>
    <w:rsid w:val="00822945"/>
    <w:rsid w:val="008229D7"/>
    <w:rsid w:val="00822AC4"/>
    <w:rsid w:val="00822BB0"/>
    <w:rsid w:val="00822CD5"/>
    <w:rsid w:val="00822D60"/>
    <w:rsid w:val="00822E66"/>
    <w:rsid w:val="00822E80"/>
    <w:rsid w:val="00822EF9"/>
    <w:rsid w:val="00822F8D"/>
    <w:rsid w:val="00822F99"/>
    <w:rsid w:val="00823050"/>
    <w:rsid w:val="00823156"/>
    <w:rsid w:val="0082344C"/>
    <w:rsid w:val="0082364F"/>
    <w:rsid w:val="008236EA"/>
    <w:rsid w:val="00823728"/>
    <w:rsid w:val="00823824"/>
    <w:rsid w:val="00823861"/>
    <w:rsid w:val="008238E5"/>
    <w:rsid w:val="00823A21"/>
    <w:rsid w:val="00823FE8"/>
    <w:rsid w:val="00824015"/>
    <w:rsid w:val="0082439C"/>
    <w:rsid w:val="008243A3"/>
    <w:rsid w:val="00824425"/>
    <w:rsid w:val="0082442A"/>
    <w:rsid w:val="00824563"/>
    <w:rsid w:val="0082458B"/>
    <w:rsid w:val="00824610"/>
    <w:rsid w:val="008247A8"/>
    <w:rsid w:val="0082482C"/>
    <w:rsid w:val="00824864"/>
    <w:rsid w:val="00824885"/>
    <w:rsid w:val="00824939"/>
    <w:rsid w:val="00824A1A"/>
    <w:rsid w:val="00824AD7"/>
    <w:rsid w:val="00824B20"/>
    <w:rsid w:val="00824CAB"/>
    <w:rsid w:val="00824D83"/>
    <w:rsid w:val="00824DE5"/>
    <w:rsid w:val="00824DF8"/>
    <w:rsid w:val="00825180"/>
    <w:rsid w:val="0082520E"/>
    <w:rsid w:val="0082527B"/>
    <w:rsid w:val="008252E8"/>
    <w:rsid w:val="00825363"/>
    <w:rsid w:val="00825389"/>
    <w:rsid w:val="008253BB"/>
    <w:rsid w:val="008253FE"/>
    <w:rsid w:val="00825413"/>
    <w:rsid w:val="008254A7"/>
    <w:rsid w:val="008255B4"/>
    <w:rsid w:val="0082565B"/>
    <w:rsid w:val="00825801"/>
    <w:rsid w:val="0082586B"/>
    <w:rsid w:val="00825876"/>
    <w:rsid w:val="00825AAC"/>
    <w:rsid w:val="00825B02"/>
    <w:rsid w:val="00825BB6"/>
    <w:rsid w:val="00825D1C"/>
    <w:rsid w:val="00825DC9"/>
    <w:rsid w:val="00825E17"/>
    <w:rsid w:val="00825E3E"/>
    <w:rsid w:val="00825E85"/>
    <w:rsid w:val="00825F83"/>
    <w:rsid w:val="008260CF"/>
    <w:rsid w:val="008260EB"/>
    <w:rsid w:val="0082611D"/>
    <w:rsid w:val="0082634E"/>
    <w:rsid w:val="00826429"/>
    <w:rsid w:val="008266C9"/>
    <w:rsid w:val="00826764"/>
    <w:rsid w:val="00826948"/>
    <w:rsid w:val="0082697A"/>
    <w:rsid w:val="00826A4E"/>
    <w:rsid w:val="00826B4C"/>
    <w:rsid w:val="00826B6C"/>
    <w:rsid w:val="00826B92"/>
    <w:rsid w:val="00826BAB"/>
    <w:rsid w:val="00826CED"/>
    <w:rsid w:val="00826D3F"/>
    <w:rsid w:val="00826D41"/>
    <w:rsid w:val="00826D7B"/>
    <w:rsid w:val="00826D9B"/>
    <w:rsid w:val="00826DBA"/>
    <w:rsid w:val="00826E4A"/>
    <w:rsid w:val="00826E7E"/>
    <w:rsid w:val="00826F9E"/>
    <w:rsid w:val="00826FA1"/>
    <w:rsid w:val="008270C0"/>
    <w:rsid w:val="008271AB"/>
    <w:rsid w:val="0082723C"/>
    <w:rsid w:val="00827273"/>
    <w:rsid w:val="00827276"/>
    <w:rsid w:val="00827305"/>
    <w:rsid w:val="00827306"/>
    <w:rsid w:val="008274DE"/>
    <w:rsid w:val="0082753D"/>
    <w:rsid w:val="008275CC"/>
    <w:rsid w:val="008276DE"/>
    <w:rsid w:val="008276F8"/>
    <w:rsid w:val="00827750"/>
    <w:rsid w:val="00827769"/>
    <w:rsid w:val="0082777A"/>
    <w:rsid w:val="008277EF"/>
    <w:rsid w:val="00827888"/>
    <w:rsid w:val="00827D31"/>
    <w:rsid w:val="00827E38"/>
    <w:rsid w:val="00827E7F"/>
    <w:rsid w:val="00830028"/>
    <w:rsid w:val="0083002C"/>
    <w:rsid w:val="008300A5"/>
    <w:rsid w:val="008300F7"/>
    <w:rsid w:val="0083012E"/>
    <w:rsid w:val="00830173"/>
    <w:rsid w:val="00830192"/>
    <w:rsid w:val="008301A0"/>
    <w:rsid w:val="008301AB"/>
    <w:rsid w:val="00830203"/>
    <w:rsid w:val="00830255"/>
    <w:rsid w:val="00830320"/>
    <w:rsid w:val="00830387"/>
    <w:rsid w:val="00830422"/>
    <w:rsid w:val="00830623"/>
    <w:rsid w:val="00830635"/>
    <w:rsid w:val="0083069F"/>
    <w:rsid w:val="0083079F"/>
    <w:rsid w:val="008307C9"/>
    <w:rsid w:val="008307F7"/>
    <w:rsid w:val="008309E9"/>
    <w:rsid w:val="00830AE5"/>
    <w:rsid w:val="00830BAA"/>
    <w:rsid w:val="00830C1D"/>
    <w:rsid w:val="00830D09"/>
    <w:rsid w:val="00830E1A"/>
    <w:rsid w:val="00830EF8"/>
    <w:rsid w:val="00830F09"/>
    <w:rsid w:val="00830F3E"/>
    <w:rsid w:val="008310B0"/>
    <w:rsid w:val="008310E7"/>
    <w:rsid w:val="00831200"/>
    <w:rsid w:val="00831247"/>
    <w:rsid w:val="008313E7"/>
    <w:rsid w:val="008314C0"/>
    <w:rsid w:val="0083150E"/>
    <w:rsid w:val="0083152E"/>
    <w:rsid w:val="008315BC"/>
    <w:rsid w:val="0083166C"/>
    <w:rsid w:val="00831783"/>
    <w:rsid w:val="00831907"/>
    <w:rsid w:val="0083198C"/>
    <w:rsid w:val="00831A10"/>
    <w:rsid w:val="00831A20"/>
    <w:rsid w:val="00831A47"/>
    <w:rsid w:val="00831A5B"/>
    <w:rsid w:val="00831C78"/>
    <w:rsid w:val="00831CB3"/>
    <w:rsid w:val="00831D95"/>
    <w:rsid w:val="00831DC8"/>
    <w:rsid w:val="00831E33"/>
    <w:rsid w:val="00831E69"/>
    <w:rsid w:val="00831F90"/>
    <w:rsid w:val="0083203B"/>
    <w:rsid w:val="008320A4"/>
    <w:rsid w:val="0083218D"/>
    <w:rsid w:val="00832353"/>
    <w:rsid w:val="00832396"/>
    <w:rsid w:val="0083239B"/>
    <w:rsid w:val="008323EB"/>
    <w:rsid w:val="0083259C"/>
    <w:rsid w:val="008327DE"/>
    <w:rsid w:val="0083287B"/>
    <w:rsid w:val="00832888"/>
    <w:rsid w:val="00832A3B"/>
    <w:rsid w:val="00832AF3"/>
    <w:rsid w:val="00832BE7"/>
    <w:rsid w:val="00832C3C"/>
    <w:rsid w:val="00832C48"/>
    <w:rsid w:val="00832D55"/>
    <w:rsid w:val="00832D64"/>
    <w:rsid w:val="00832D77"/>
    <w:rsid w:val="00832E0E"/>
    <w:rsid w:val="00832E7A"/>
    <w:rsid w:val="00832E8B"/>
    <w:rsid w:val="0083309D"/>
    <w:rsid w:val="008330BA"/>
    <w:rsid w:val="008331D4"/>
    <w:rsid w:val="00833260"/>
    <w:rsid w:val="00833271"/>
    <w:rsid w:val="0083329E"/>
    <w:rsid w:val="008332E0"/>
    <w:rsid w:val="00833365"/>
    <w:rsid w:val="00833446"/>
    <w:rsid w:val="0083352E"/>
    <w:rsid w:val="00833554"/>
    <w:rsid w:val="008335BA"/>
    <w:rsid w:val="008335E1"/>
    <w:rsid w:val="00833619"/>
    <w:rsid w:val="0083363F"/>
    <w:rsid w:val="008336DD"/>
    <w:rsid w:val="008337A0"/>
    <w:rsid w:val="008337DF"/>
    <w:rsid w:val="008338A8"/>
    <w:rsid w:val="008338B5"/>
    <w:rsid w:val="00833994"/>
    <w:rsid w:val="008339C3"/>
    <w:rsid w:val="00833B68"/>
    <w:rsid w:val="00833B7E"/>
    <w:rsid w:val="00833B96"/>
    <w:rsid w:val="00833C02"/>
    <w:rsid w:val="00833D56"/>
    <w:rsid w:val="00833DA8"/>
    <w:rsid w:val="00833ED3"/>
    <w:rsid w:val="00833EEB"/>
    <w:rsid w:val="00833F2B"/>
    <w:rsid w:val="00833F5C"/>
    <w:rsid w:val="008340C6"/>
    <w:rsid w:val="00834275"/>
    <w:rsid w:val="008342D6"/>
    <w:rsid w:val="008342E8"/>
    <w:rsid w:val="0083437D"/>
    <w:rsid w:val="0083443B"/>
    <w:rsid w:val="00834451"/>
    <w:rsid w:val="00834524"/>
    <w:rsid w:val="008345D6"/>
    <w:rsid w:val="008347CE"/>
    <w:rsid w:val="0083485A"/>
    <w:rsid w:val="0083486D"/>
    <w:rsid w:val="0083496A"/>
    <w:rsid w:val="00834A73"/>
    <w:rsid w:val="00834AEA"/>
    <w:rsid w:val="00834B0C"/>
    <w:rsid w:val="00834B66"/>
    <w:rsid w:val="00834B7B"/>
    <w:rsid w:val="00834BAA"/>
    <w:rsid w:val="00834BF6"/>
    <w:rsid w:val="00834CDA"/>
    <w:rsid w:val="00834F75"/>
    <w:rsid w:val="00835110"/>
    <w:rsid w:val="008351AD"/>
    <w:rsid w:val="0083526E"/>
    <w:rsid w:val="008352FD"/>
    <w:rsid w:val="0083540F"/>
    <w:rsid w:val="00835495"/>
    <w:rsid w:val="00835519"/>
    <w:rsid w:val="00835808"/>
    <w:rsid w:val="00835820"/>
    <w:rsid w:val="00835931"/>
    <w:rsid w:val="00835A1E"/>
    <w:rsid w:val="00835A29"/>
    <w:rsid w:val="00835C57"/>
    <w:rsid w:val="00835E0B"/>
    <w:rsid w:val="00835EE2"/>
    <w:rsid w:val="00835FF5"/>
    <w:rsid w:val="0083611F"/>
    <w:rsid w:val="008361F0"/>
    <w:rsid w:val="00836250"/>
    <w:rsid w:val="00836378"/>
    <w:rsid w:val="008363D8"/>
    <w:rsid w:val="008363EC"/>
    <w:rsid w:val="00836407"/>
    <w:rsid w:val="008364CA"/>
    <w:rsid w:val="008365DA"/>
    <w:rsid w:val="008365DB"/>
    <w:rsid w:val="008365F0"/>
    <w:rsid w:val="008366ED"/>
    <w:rsid w:val="008367C5"/>
    <w:rsid w:val="00836834"/>
    <w:rsid w:val="0083683B"/>
    <w:rsid w:val="00836868"/>
    <w:rsid w:val="00836A1F"/>
    <w:rsid w:val="00836B8B"/>
    <w:rsid w:val="00836B9A"/>
    <w:rsid w:val="00836BC5"/>
    <w:rsid w:val="00836D38"/>
    <w:rsid w:val="00836FBC"/>
    <w:rsid w:val="00837045"/>
    <w:rsid w:val="00837111"/>
    <w:rsid w:val="00837146"/>
    <w:rsid w:val="0083716A"/>
    <w:rsid w:val="008371EB"/>
    <w:rsid w:val="00837225"/>
    <w:rsid w:val="00837275"/>
    <w:rsid w:val="008374C3"/>
    <w:rsid w:val="008374DB"/>
    <w:rsid w:val="008374EA"/>
    <w:rsid w:val="00837766"/>
    <w:rsid w:val="0083781F"/>
    <w:rsid w:val="0083786A"/>
    <w:rsid w:val="008378D6"/>
    <w:rsid w:val="0083795F"/>
    <w:rsid w:val="00837BB1"/>
    <w:rsid w:val="00837BE8"/>
    <w:rsid w:val="00837CB2"/>
    <w:rsid w:val="00837CBF"/>
    <w:rsid w:val="00837DF4"/>
    <w:rsid w:val="00837EB6"/>
    <w:rsid w:val="00837EF6"/>
    <w:rsid w:val="00837F7E"/>
    <w:rsid w:val="00837FD6"/>
    <w:rsid w:val="00840205"/>
    <w:rsid w:val="008402CD"/>
    <w:rsid w:val="0084038B"/>
    <w:rsid w:val="008403D3"/>
    <w:rsid w:val="008404B1"/>
    <w:rsid w:val="00840529"/>
    <w:rsid w:val="00840649"/>
    <w:rsid w:val="0084070C"/>
    <w:rsid w:val="0084072B"/>
    <w:rsid w:val="0084082B"/>
    <w:rsid w:val="0084086E"/>
    <w:rsid w:val="00840995"/>
    <w:rsid w:val="008409A9"/>
    <w:rsid w:val="008409D2"/>
    <w:rsid w:val="00840AA8"/>
    <w:rsid w:val="00840B99"/>
    <w:rsid w:val="00840C07"/>
    <w:rsid w:val="00840CAE"/>
    <w:rsid w:val="00840D38"/>
    <w:rsid w:val="00840FCA"/>
    <w:rsid w:val="00840FE9"/>
    <w:rsid w:val="00841101"/>
    <w:rsid w:val="008411FF"/>
    <w:rsid w:val="00841255"/>
    <w:rsid w:val="0084125A"/>
    <w:rsid w:val="0084128D"/>
    <w:rsid w:val="008412F8"/>
    <w:rsid w:val="00841475"/>
    <w:rsid w:val="00841498"/>
    <w:rsid w:val="008414B8"/>
    <w:rsid w:val="00841527"/>
    <w:rsid w:val="00841533"/>
    <w:rsid w:val="00841539"/>
    <w:rsid w:val="00841581"/>
    <w:rsid w:val="008417BF"/>
    <w:rsid w:val="0084192C"/>
    <w:rsid w:val="0084197D"/>
    <w:rsid w:val="00841A03"/>
    <w:rsid w:val="00841B3A"/>
    <w:rsid w:val="00841C6A"/>
    <w:rsid w:val="00841CAC"/>
    <w:rsid w:val="00841D0B"/>
    <w:rsid w:val="00841D39"/>
    <w:rsid w:val="00841D94"/>
    <w:rsid w:val="00841EAD"/>
    <w:rsid w:val="00841EB4"/>
    <w:rsid w:val="00841F40"/>
    <w:rsid w:val="00841F89"/>
    <w:rsid w:val="00841F95"/>
    <w:rsid w:val="00841FBC"/>
    <w:rsid w:val="00842081"/>
    <w:rsid w:val="008420BE"/>
    <w:rsid w:val="008421E3"/>
    <w:rsid w:val="008421FE"/>
    <w:rsid w:val="00842211"/>
    <w:rsid w:val="00842253"/>
    <w:rsid w:val="008422F9"/>
    <w:rsid w:val="0084231A"/>
    <w:rsid w:val="008423CA"/>
    <w:rsid w:val="008425B0"/>
    <w:rsid w:val="008425D9"/>
    <w:rsid w:val="00842606"/>
    <w:rsid w:val="0084266F"/>
    <w:rsid w:val="00842733"/>
    <w:rsid w:val="0084285C"/>
    <w:rsid w:val="008429BC"/>
    <w:rsid w:val="008429F6"/>
    <w:rsid w:val="00842A2A"/>
    <w:rsid w:val="00842A34"/>
    <w:rsid w:val="00842A37"/>
    <w:rsid w:val="00842AB8"/>
    <w:rsid w:val="00842AD2"/>
    <w:rsid w:val="00842B3E"/>
    <w:rsid w:val="00842BDE"/>
    <w:rsid w:val="00842C96"/>
    <w:rsid w:val="00842D9E"/>
    <w:rsid w:val="00842DD7"/>
    <w:rsid w:val="00842E68"/>
    <w:rsid w:val="00842F00"/>
    <w:rsid w:val="00842FC2"/>
    <w:rsid w:val="00843054"/>
    <w:rsid w:val="00843173"/>
    <w:rsid w:val="0084327C"/>
    <w:rsid w:val="008432EC"/>
    <w:rsid w:val="0084330B"/>
    <w:rsid w:val="0084331F"/>
    <w:rsid w:val="00843350"/>
    <w:rsid w:val="00843364"/>
    <w:rsid w:val="00843441"/>
    <w:rsid w:val="0084352E"/>
    <w:rsid w:val="008435EA"/>
    <w:rsid w:val="008435FD"/>
    <w:rsid w:val="00843615"/>
    <w:rsid w:val="00843667"/>
    <w:rsid w:val="00843725"/>
    <w:rsid w:val="00843819"/>
    <w:rsid w:val="0084388A"/>
    <w:rsid w:val="00843892"/>
    <w:rsid w:val="0084390E"/>
    <w:rsid w:val="00843913"/>
    <w:rsid w:val="00843914"/>
    <w:rsid w:val="00843916"/>
    <w:rsid w:val="00843928"/>
    <w:rsid w:val="00843AD1"/>
    <w:rsid w:val="00843ADB"/>
    <w:rsid w:val="00843AEE"/>
    <w:rsid w:val="00843B38"/>
    <w:rsid w:val="00843C10"/>
    <w:rsid w:val="00843C51"/>
    <w:rsid w:val="00843CC2"/>
    <w:rsid w:val="00843DD2"/>
    <w:rsid w:val="00843EDE"/>
    <w:rsid w:val="00843F38"/>
    <w:rsid w:val="00843F56"/>
    <w:rsid w:val="00844062"/>
    <w:rsid w:val="0084415F"/>
    <w:rsid w:val="008444FD"/>
    <w:rsid w:val="0084468D"/>
    <w:rsid w:val="0084469E"/>
    <w:rsid w:val="008446D3"/>
    <w:rsid w:val="0084485C"/>
    <w:rsid w:val="0084490A"/>
    <w:rsid w:val="00844944"/>
    <w:rsid w:val="00844957"/>
    <w:rsid w:val="00844969"/>
    <w:rsid w:val="00844A16"/>
    <w:rsid w:val="00844C90"/>
    <w:rsid w:val="00844CA6"/>
    <w:rsid w:val="00844E06"/>
    <w:rsid w:val="00844FF7"/>
    <w:rsid w:val="0084512B"/>
    <w:rsid w:val="0084516D"/>
    <w:rsid w:val="008452DD"/>
    <w:rsid w:val="00845451"/>
    <w:rsid w:val="008454D2"/>
    <w:rsid w:val="00845535"/>
    <w:rsid w:val="0084563D"/>
    <w:rsid w:val="0084573C"/>
    <w:rsid w:val="0084574A"/>
    <w:rsid w:val="008457AF"/>
    <w:rsid w:val="008457E2"/>
    <w:rsid w:val="00845822"/>
    <w:rsid w:val="00845887"/>
    <w:rsid w:val="008458D4"/>
    <w:rsid w:val="008459D5"/>
    <w:rsid w:val="008459F0"/>
    <w:rsid w:val="00845A12"/>
    <w:rsid w:val="00845A46"/>
    <w:rsid w:val="00845A73"/>
    <w:rsid w:val="00845BB2"/>
    <w:rsid w:val="00845D39"/>
    <w:rsid w:val="00845D93"/>
    <w:rsid w:val="00845E6E"/>
    <w:rsid w:val="008460AD"/>
    <w:rsid w:val="008462A8"/>
    <w:rsid w:val="008462BD"/>
    <w:rsid w:val="0084644E"/>
    <w:rsid w:val="008464A3"/>
    <w:rsid w:val="008464DD"/>
    <w:rsid w:val="008464E1"/>
    <w:rsid w:val="008465A6"/>
    <w:rsid w:val="008465B4"/>
    <w:rsid w:val="008466B2"/>
    <w:rsid w:val="008466E7"/>
    <w:rsid w:val="0084671B"/>
    <w:rsid w:val="008467A5"/>
    <w:rsid w:val="00846A3C"/>
    <w:rsid w:val="00846A4A"/>
    <w:rsid w:val="00846AAC"/>
    <w:rsid w:val="00846C2F"/>
    <w:rsid w:val="00846D78"/>
    <w:rsid w:val="00846DD4"/>
    <w:rsid w:val="00846E4F"/>
    <w:rsid w:val="00846F3A"/>
    <w:rsid w:val="0084708C"/>
    <w:rsid w:val="008470BA"/>
    <w:rsid w:val="0084719C"/>
    <w:rsid w:val="008471C9"/>
    <w:rsid w:val="00847281"/>
    <w:rsid w:val="008477BC"/>
    <w:rsid w:val="00847971"/>
    <w:rsid w:val="00847BEF"/>
    <w:rsid w:val="00847C6F"/>
    <w:rsid w:val="00847E3E"/>
    <w:rsid w:val="00847E4E"/>
    <w:rsid w:val="00847F88"/>
    <w:rsid w:val="00847FA4"/>
    <w:rsid w:val="00850054"/>
    <w:rsid w:val="00850136"/>
    <w:rsid w:val="00850189"/>
    <w:rsid w:val="00850225"/>
    <w:rsid w:val="00850237"/>
    <w:rsid w:val="00850318"/>
    <w:rsid w:val="0085056F"/>
    <w:rsid w:val="00850587"/>
    <w:rsid w:val="00850602"/>
    <w:rsid w:val="008506FE"/>
    <w:rsid w:val="008509F9"/>
    <w:rsid w:val="00850A64"/>
    <w:rsid w:val="00850A8F"/>
    <w:rsid w:val="00850D29"/>
    <w:rsid w:val="00850D41"/>
    <w:rsid w:val="00850D75"/>
    <w:rsid w:val="00850E84"/>
    <w:rsid w:val="00850F79"/>
    <w:rsid w:val="008510DE"/>
    <w:rsid w:val="008510FA"/>
    <w:rsid w:val="0085114E"/>
    <w:rsid w:val="00851278"/>
    <w:rsid w:val="00851290"/>
    <w:rsid w:val="00851311"/>
    <w:rsid w:val="0085139E"/>
    <w:rsid w:val="008513BE"/>
    <w:rsid w:val="008514C1"/>
    <w:rsid w:val="008514F2"/>
    <w:rsid w:val="00851505"/>
    <w:rsid w:val="00851604"/>
    <w:rsid w:val="0085166E"/>
    <w:rsid w:val="008516B4"/>
    <w:rsid w:val="00851742"/>
    <w:rsid w:val="008518B0"/>
    <w:rsid w:val="00851919"/>
    <w:rsid w:val="00851A14"/>
    <w:rsid w:val="00851A53"/>
    <w:rsid w:val="00851A83"/>
    <w:rsid w:val="00851B96"/>
    <w:rsid w:val="00851CAD"/>
    <w:rsid w:val="00851CD5"/>
    <w:rsid w:val="00851E18"/>
    <w:rsid w:val="00851EF1"/>
    <w:rsid w:val="00851FFC"/>
    <w:rsid w:val="00852163"/>
    <w:rsid w:val="008521AC"/>
    <w:rsid w:val="0085228B"/>
    <w:rsid w:val="008522CD"/>
    <w:rsid w:val="00852318"/>
    <w:rsid w:val="008524B8"/>
    <w:rsid w:val="008524BD"/>
    <w:rsid w:val="008524D9"/>
    <w:rsid w:val="008524E1"/>
    <w:rsid w:val="00852555"/>
    <w:rsid w:val="008525EA"/>
    <w:rsid w:val="00852671"/>
    <w:rsid w:val="00852679"/>
    <w:rsid w:val="00852685"/>
    <w:rsid w:val="00852704"/>
    <w:rsid w:val="00852774"/>
    <w:rsid w:val="008528E9"/>
    <w:rsid w:val="00852902"/>
    <w:rsid w:val="0085290E"/>
    <w:rsid w:val="00852A0A"/>
    <w:rsid w:val="00852A6C"/>
    <w:rsid w:val="00852B4E"/>
    <w:rsid w:val="00852CC1"/>
    <w:rsid w:val="00852EC2"/>
    <w:rsid w:val="00852FCF"/>
    <w:rsid w:val="008530D8"/>
    <w:rsid w:val="008531A5"/>
    <w:rsid w:val="0085320C"/>
    <w:rsid w:val="00853247"/>
    <w:rsid w:val="0085343F"/>
    <w:rsid w:val="008534EE"/>
    <w:rsid w:val="008535B2"/>
    <w:rsid w:val="00853678"/>
    <w:rsid w:val="00853695"/>
    <w:rsid w:val="00853734"/>
    <w:rsid w:val="00853989"/>
    <w:rsid w:val="0085398C"/>
    <w:rsid w:val="00853B56"/>
    <w:rsid w:val="00853B87"/>
    <w:rsid w:val="00853B8C"/>
    <w:rsid w:val="00853C26"/>
    <w:rsid w:val="00853C49"/>
    <w:rsid w:val="00853D9E"/>
    <w:rsid w:val="00853EC2"/>
    <w:rsid w:val="00853EC7"/>
    <w:rsid w:val="00853F04"/>
    <w:rsid w:val="00853F1D"/>
    <w:rsid w:val="00853F91"/>
    <w:rsid w:val="00853FCC"/>
    <w:rsid w:val="0085400A"/>
    <w:rsid w:val="0085404B"/>
    <w:rsid w:val="008540D6"/>
    <w:rsid w:val="008540EC"/>
    <w:rsid w:val="00854173"/>
    <w:rsid w:val="008541E8"/>
    <w:rsid w:val="0085421B"/>
    <w:rsid w:val="00854238"/>
    <w:rsid w:val="008542F4"/>
    <w:rsid w:val="008545EC"/>
    <w:rsid w:val="00854B16"/>
    <w:rsid w:val="00854B74"/>
    <w:rsid w:val="00854DF2"/>
    <w:rsid w:val="00854EF8"/>
    <w:rsid w:val="00855063"/>
    <w:rsid w:val="00855287"/>
    <w:rsid w:val="008552AF"/>
    <w:rsid w:val="008552EE"/>
    <w:rsid w:val="00855312"/>
    <w:rsid w:val="00855332"/>
    <w:rsid w:val="00855492"/>
    <w:rsid w:val="00855508"/>
    <w:rsid w:val="0085568E"/>
    <w:rsid w:val="0085571E"/>
    <w:rsid w:val="0085574F"/>
    <w:rsid w:val="0085577C"/>
    <w:rsid w:val="00855790"/>
    <w:rsid w:val="008558AE"/>
    <w:rsid w:val="0085591B"/>
    <w:rsid w:val="0085599F"/>
    <w:rsid w:val="008559D3"/>
    <w:rsid w:val="00855A48"/>
    <w:rsid w:val="00855B9B"/>
    <w:rsid w:val="00855BB4"/>
    <w:rsid w:val="00855BE2"/>
    <w:rsid w:val="00855C2A"/>
    <w:rsid w:val="00855C6D"/>
    <w:rsid w:val="00855D85"/>
    <w:rsid w:val="00855E0C"/>
    <w:rsid w:val="00855F2C"/>
    <w:rsid w:val="00855F42"/>
    <w:rsid w:val="00855FE4"/>
    <w:rsid w:val="00856005"/>
    <w:rsid w:val="0085602F"/>
    <w:rsid w:val="008560EC"/>
    <w:rsid w:val="00856255"/>
    <w:rsid w:val="00856298"/>
    <w:rsid w:val="008562E5"/>
    <w:rsid w:val="008563E1"/>
    <w:rsid w:val="0085647E"/>
    <w:rsid w:val="008564F4"/>
    <w:rsid w:val="00856599"/>
    <w:rsid w:val="00856668"/>
    <w:rsid w:val="0085673F"/>
    <w:rsid w:val="0085678C"/>
    <w:rsid w:val="00856859"/>
    <w:rsid w:val="0085697F"/>
    <w:rsid w:val="00856A72"/>
    <w:rsid w:val="00856B01"/>
    <w:rsid w:val="00856B6B"/>
    <w:rsid w:val="00856B95"/>
    <w:rsid w:val="00856BE1"/>
    <w:rsid w:val="00856CE8"/>
    <w:rsid w:val="00856D5A"/>
    <w:rsid w:val="00856D70"/>
    <w:rsid w:val="00856E60"/>
    <w:rsid w:val="00856ED4"/>
    <w:rsid w:val="00856EF0"/>
    <w:rsid w:val="00856F32"/>
    <w:rsid w:val="00856FA6"/>
    <w:rsid w:val="00856FD7"/>
    <w:rsid w:val="00856FED"/>
    <w:rsid w:val="00856FF4"/>
    <w:rsid w:val="00857003"/>
    <w:rsid w:val="0085707E"/>
    <w:rsid w:val="0085707F"/>
    <w:rsid w:val="0085708A"/>
    <w:rsid w:val="00857090"/>
    <w:rsid w:val="008570F4"/>
    <w:rsid w:val="00857140"/>
    <w:rsid w:val="008573C4"/>
    <w:rsid w:val="0085748A"/>
    <w:rsid w:val="008574B7"/>
    <w:rsid w:val="00857521"/>
    <w:rsid w:val="008575D4"/>
    <w:rsid w:val="00857606"/>
    <w:rsid w:val="00857632"/>
    <w:rsid w:val="008576DA"/>
    <w:rsid w:val="00857717"/>
    <w:rsid w:val="008577D2"/>
    <w:rsid w:val="0085781A"/>
    <w:rsid w:val="00857839"/>
    <w:rsid w:val="00857945"/>
    <w:rsid w:val="00857A25"/>
    <w:rsid w:val="00857AB2"/>
    <w:rsid w:val="00857B7E"/>
    <w:rsid w:val="00857B89"/>
    <w:rsid w:val="00857C54"/>
    <w:rsid w:val="00857CEE"/>
    <w:rsid w:val="00857D67"/>
    <w:rsid w:val="00857DC1"/>
    <w:rsid w:val="00857DE7"/>
    <w:rsid w:val="00857DF2"/>
    <w:rsid w:val="00857E8C"/>
    <w:rsid w:val="00857F90"/>
    <w:rsid w:val="0086016C"/>
    <w:rsid w:val="00860207"/>
    <w:rsid w:val="00860208"/>
    <w:rsid w:val="00860261"/>
    <w:rsid w:val="008602AE"/>
    <w:rsid w:val="00860493"/>
    <w:rsid w:val="0086053D"/>
    <w:rsid w:val="00860624"/>
    <w:rsid w:val="008607B9"/>
    <w:rsid w:val="00860905"/>
    <w:rsid w:val="00860980"/>
    <w:rsid w:val="00860A0A"/>
    <w:rsid w:val="00860AE0"/>
    <w:rsid w:val="00860B0E"/>
    <w:rsid w:val="00860B29"/>
    <w:rsid w:val="00860B41"/>
    <w:rsid w:val="00860CD4"/>
    <w:rsid w:val="00860D17"/>
    <w:rsid w:val="00860EFF"/>
    <w:rsid w:val="00860F37"/>
    <w:rsid w:val="00860F61"/>
    <w:rsid w:val="00861025"/>
    <w:rsid w:val="008610B0"/>
    <w:rsid w:val="008611AA"/>
    <w:rsid w:val="008611C8"/>
    <w:rsid w:val="00861223"/>
    <w:rsid w:val="0086138C"/>
    <w:rsid w:val="008613D4"/>
    <w:rsid w:val="008614FC"/>
    <w:rsid w:val="00861570"/>
    <w:rsid w:val="00861595"/>
    <w:rsid w:val="008616CD"/>
    <w:rsid w:val="0086170A"/>
    <w:rsid w:val="008617FC"/>
    <w:rsid w:val="00861841"/>
    <w:rsid w:val="008618C7"/>
    <w:rsid w:val="0086196D"/>
    <w:rsid w:val="008619A2"/>
    <w:rsid w:val="008619F1"/>
    <w:rsid w:val="00861A32"/>
    <w:rsid w:val="00861BB4"/>
    <w:rsid w:val="00861E69"/>
    <w:rsid w:val="00861EC7"/>
    <w:rsid w:val="00861F9F"/>
    <w:rsid w:val="00862186"/>
    <w:rsid w:val="00862274"/>
    <w:rsid w:val="008623DA"/>
    <w:rsid w:val="008623EF"/>
    <w:rsid w:val="00862412"/>
    <w:rsid w:val="008625B2"/>
    <w:rsid w:val="008625BA"/>
    <w:rsid w:val="0086263F"/>
    <w:rsid w:val="0086269A"/>
    <w:rsid w:val="008626EA"/>
    <w:rsid w:val="00862799"/>
    <w:rsid w:val="0086288C"/>
    <w:rsid w:val="0086292A"/>
    <w:rsid w:val="008629D4"/>
    <w:rsid w:val="00862A32"/>
    <w:rsid w:val="00862A36"/>
    <w:rsid w:val="00862AAA"/>
    <w:rsid w:val="00862B06"/>
    <w:rsid w:val="00862B53"/>
    <w:rsid w:val="00862CD0"/>
    <w:rsid w:val="00862CF8"/>
    <w:rsid w:val="00862D85"/>
    <w:rsid w:val="00862DA8"/>
    <w:rsid w:val="00862E5D"/>
    <w:rsid w:val="00862EE6"/>
    <w:rsid w:val="00862F41"/>
    <w:rsid w:val="00862FB6"/>
    <w:rsid w:val="00862FE9"/>
    <w:rsid w:val="008631E1"/>
    <w:rsid w:val="0086326D"/>
    <w:rsid w:val="008632DA"/>
    <w:rsid w:val="008634F4"/>
    <w:rsid w:val="00863609"/>
    <w:rsid w:val="00863770"/>
    <w:rsid w:val="00863862"/>
    <w:rsid w:val="0086395A"/>
    <w:rsid w:val="00863992"/>
    <w:rsid w:val="00863A72"/>
    <w:rsid w:val="00863A75"/>
    <w:rsid w:val="00863A84"/>
    <w:rsid w:val="00863B05"/>
    <w:rsid w:val="00863B79"/>
    <w:rsid w:val="00863BFD"/>
    <w:rsid w:val="00863E0A"/>
    <w:rsid w:val="00863EA9"/>
    <w:rsid w:val="0086402D"/>
    <w:rsid w:val="0086419A"/>
    <w:rsid w:val="00864386"/>
    <w:rsid w:val="008643C5"/>
    <w:rsid w:val="00864522"/>
    <w:rsid w:val="0086458C"/>
    <w:rsid w:val="008646A6"/>
    <w:rsid w:val="0086472C"/>
    <w:rsid w:val="008647B8"/>
    <w:rsid w:val="0086489F"/>
    <w:rsid w:val="00864968"/>
    <w:rsid w:val="008649D7"/>
    <w:rsid w:val="00864A36"/>
    <w:rsid w:val="00864A72"/>
    <w:rsid w:val="00864A83"/>
    <w:rsid w:val="00864AFF"/>
    <w:rsid w:val="00864B1C"/>
    <w:rsid w:val="00864B39"/>
    <w:rsid w:val="00864B83"/>
    <w:rsid w:val="00864C64"/>
    <w:rsid w:val="00864C8C"/>
    <w:rsid w:val="00864F9A"/>
    <w:rsid w:val="00864FA2"/>
    <w:rsid w:val="00864FDC"/>
    <w:rsid w:val="0086505E"/>
    <w:rsid w:val="00865108"/>
    <w:rsid w:val="0086512C"/>
    <w:rsid w:val="008652C5"/>
    <w:rsid w:val="00865341"/>
    <w:rsid w:val="00865460"/>
    <w:rsid w:val="00865473"/>
    <w:rsid w:val="0086549F"/>
    <w:rsid w:val="00865611"/>
    <w:rsid w:val="00865621"/>
    <w:rsid w:val="00865657"/>
    <w:rsid w:val="00865673"/>
    <w:rsid w:val="0086569C"/>
    <w:rsid w:val="008656E1"/>
    <w:rsid w:val="0086570C"/>
    <w:rsid w:val="0086588F"/>
    <w:rsid w:val="008658A1"/>
    <w:rsid w:val="008658CA"/>
    <w:rsid w:val="00865958"/>
    <w:rsid w:val="00865B22"/>
    <w:rsid w:val="00865D5D"/>
    <w:rsid w:val="00865E36"/>
    <w:rsid w:val="00865FFA"/>
    <w:rsid w:val="00866032"/>
    <w:rsid w:val="0086618B"/>
    <w:rsid w:val="008661FB"/>
    <w:rsid w:val="0086620F"/>
    <w:rsid w:val="00866225"/>
    <w:rsid w:val="008662B2"/>
    <w:rsid w:val="008662E6"/>
    <w:rsid w:val="00866350"/>
    <w:rsid w:val="00866601"/>
    <w:rsid w:val="0086669D"/>
    <w:rsid w:val="008668E3"/>
    <w:rsid w:val="00866990"/>
    <w:rsid w:val="00866BFC"/>
    <w:rsid w:val="00866D2C"/>
    <w:rsid w:val="00866D5A"/>
    <w:rsid w:val="00866E94"/>
    <w:rsid w:val="00866F99"/>
    <w:rsid w:val="00867033"/>
    <w:rsid w:val="008670F6"/>
    <w:rsid w:val="0086712C"/>
    <w:rsid w:val="00867174"/>
    <w:rsid w:val="008672BE"/>
    <w:rsid w:val="008672F2"/>
    <w:rsid w:val="00867339"/>
    <w:rsid w:val="0086742C"/>
    <w:rsid w:val="00867790"/>
    <w:rsid w:val="00867823"/>
    <w:rsid w:val="00867950"/>
    <w:rsid w:val="008679CC"/>
    <w:rsid w:val="00867A6A"/>
    <w:rsid w:val="00867AC3"/>
    <w:rsid w:val="00867B5B"/>
    <w:rsid w:val="00867BE8"/>
    <w:rsid w:val="00867D19"/>
    <w:rsid w:val="00867E1B"/>
    <w:rsid w:val="00867E3C"/>
    <w:rsid w:val="00867E7C"/>
    <w:rsid w:val="00867F21"/>
    <w:rsid w:val="00867F4D"/>
    <w:rsid w:val="00867F94"/>
    <w:rsid w:val="00867FDF"/>
    <w:rsid w:val="00870129"/>
    <w:rsid w:val="008701A7"/>
    <w:rsid w:val="008701F5"/>
    <w:rsid w:val="0087024E"/>
    <w:rsid w:val="008702BA"/>
    <w:rsid w:val="0087048A"/>
    <w:rsid w:val="0087048B"/>
    <w:rsid w:val="008704FF"/>
    <w:rsid w:val="0087051A"/>
    <w:rsid w:val="00870544"/>
    <w:rsid w:val="00870630"/>
    <w:rsid w:val="00870733"/>
    <w:rsid w:val="00870790"/>
    <w:rsid w:val="00870798"/>
    <w:rsid w:val="00870A0B"/>
    <w:rsid w:val="00870B35"/>
    <w:rsid w:val="00870B55"/>
    <w:rsid w:val="00870C41"/>
    <w:rsid w:val="00870DAA"/>
    <w:rsid w:val="00870E0A"/>
    <w:rsid w:val="00870E92"/>
    <w:rsid w:val="00870EA5"/>
    <w:rsid w:val="00870EE4"/>
    <w:rsid w:val="00870FF0"/>
    <w:rsid w:val="00871064"/>
    <w:rsid w:val="00871226"/>
    <w:rsid w:val="00871248"/>
    <w:rsid w:val="0087148D"/>
    <w:rsid w:val="008714AE"/>
    <w:rsid w:val="00871527"/>
    <w:rsid w:val="00871624"/>
    <w:rsid w:val="00871887"/>
    <w:rsid w:val="008718EB"/>
    <w:rsid w:val="00871A99"/>
    <w:rsid w:val="00871B9F"/>
    <w:rsid w:val="00871BE8"/>
    <w:rsid w:val="00871CDC"/>
    <w:rsid w:val="00871DC1"/>
    <w:rsid w:val="00871DCF"/>
    <w:rsid w:val="00871DE6"/>
    <w:rsid w:val="00871E1F"/>
    <w:rsid w:val="00871E6B"/>
    <w:rsid w:val="00871EBA"/>
    <w:rsid w:val="00872166"/>
    <w:rsid w:val="00872172"/>
    <w:rsid w:val="00872190"/>
    <w:rsid w:val="008721FC"/>
    <w:rsid w:val="00872210"/>
    <w:rsid w:val="00872228"/>
    <w:rsid w:val="00872304"/>
    <w:rsid w:val="0087247A"/>
    <w:rsid w:val="008724F7"/>
    <w:rsid w:val="008725BF"/>
    <w:rsid w:val="008725C0"/>
    <w:rsid w:val="008726E2"/>
    <w:rsid w:val="00872768"/>
    <w:rsid w:val="008727DF"/>
    <w:rsid w:val="008727E5"/>
    <w:rsid w:val="008728A5"/>
    <w:rsid w:val="00872A96"/>
    <w:rsid w:val="00872A9A"/>
    <w:rsid w:val="00872ABB"/>
    <w:rsid w:val="00872AE1"/>
    <w:rsid w:val="00872BC0"/>
    <w:rsid w:val="00872C1B"/>
    <w:rsid w:val="00872C30"/>
    <w:rsid w:val="00872D53"/>
    <w:rsid w:val="00872D54"/>
    <w:rsid w:val="00872E64"/>
    <w:rsid w:val="00872E78"/>
    <w:rsid w:val="00872E94"/>
    <w:rsid w:val="00872FD0"/>
    <w:rsid w:val="0087305F"/>
    <w:rsid w:val="008730F9"/>
    <w:rsid w:val="00873179"/>
    <w:rsid w:val="008731F0"/>
    <w:rsid w:val="00873347"/>
    <w:rsid w:val="00873456"/>
    <w:rsid w:val="008734C7"/>
    <w:rsid w:val="00873616"/>
    <w:rsid w:val="0087361E"/>
    <w:rsid w:val="00873658"/>
    <w:rsid w:val="00873699"/>
    <w:rsid w:val="0087372D"/>
    <w:rsid w:val="00873786"/>
    <w:rsid w:val="008737CB"/>
    <w:rsid w:val="00873825"/>
    <w:rsid w:val="0087383A"/>
    <w:rsid w:val="00873902"/>
    <w:rsid w:val="008739B5"/>
    <w:rsid w:val="00873AB0"/>
    <w:rsid w:val="00873B51"/>
    <w:rsid w:val="00873B56"/>
    <w:rsid w:val="00873C09"/>
    <w:rsid w:val="00873C10"/>
    <w:rsid w:val="00873C78"/>
    <w:rsid w:val="00874091"/>
    <w:rsid w:val="008740F7"/>
    <w:rsid w:val="00874131"/>
    <w:rsid w:val="00874141"/>
    <w:rsid w:val="00874147"/>
    <w:rsid w:val="00874177"/>
    <w:rsid w:val="00874206"/>
    <w:rsid w:val="0087421C"/>
    <w:rsid w:val="00874312"/>
    <w:rsid w:val="0087435D"/>
    <w:rsid w:val="008743F2"/>
    <w:rsid w:val="008743F5"/>
    <w:rsid w:val="00874450"/>
    <w:rsid w:val="00874525"/>
    <w:rsid w:val="008746A6"/>
    <w:rsid w:val="008747C4"/>
    <w:rsid w:val="00874811"/>
    <w:rsid w:val="00874995"/>
    <w:rsid w:val="00874B69"/>
    <w:rsid w:val="00874C2B"/>
    <w:rsid w:val="00874C6F"/>
    <w:rsid w:val="00874CDC"/>
    <w:rsid w:val="00874D5E"/>
    <w:rsid w:val="00874DC0"/>
    <w:rsid w:val="00874EF2"/>
    <w:rsid w:val="00874F00"/>
    <w:rsid w:val="00874F09"/>
    <w:rsid w:val="00874F49"/>
    <w:rsid w:val="0087504E"/>
    <w:rsid w:val="0087505B"/>
    <w:rsid w:val="008750EE"/>
    <w:rsid w:val="008750FA"/>
    <w:rsid w:val="00875183"/>
    <w:rsid w:val="008753AE"/>
    <w:rsid w:val="008753EE"/>
    <w:rsid w:val="00875409"/>
    <w:rsid w:val="008754AA"/>
    <w:rsid w:val="008754E2"/>
    <w:rsid w:val="008754EB"/>
    <w:rsid w:val="00875636"/>
    <w:rsid w:val="00875712"/>
    <w:rsid w:val="0087573A"/>
    <w:rsid w:val="00875868"/>
    <w:rsid w:val="00875893"/>
    <w:rsid w:val="0087594E"/>
    <w:rsid w:val="00875A6D"/>
    <w:rsid w:val="00875CBB"/>
    <w:rsid w:val="00875D52"/>
    <w:rsid w:val="00875E91"/>
    <w:rsid w:val="00875EF9"/>
    <w:rsid w:val="00875F21"/>
    <w:rsid w:val="00875F38"/>
    <w:rsid w:val="00875F90"/>
    <w:rsid w:val="0087605B"/>
    <w:rsid w:val="008760DD"/>
    <w:rsid w:val="008761F6"/>
    <w:rsid w:val="00876390"/>
    <w:rsid w:val="0087669B"/>
    <w:rsid w:val="008766DF"/>
    <w:rsid w:val="0087679D"/>
    <w:rsid w:val="008767DB"/>
    <w:rsid w:val="008767F3"/>
    <w:rsid w:val="008768D7"/>
    <w:rsid w:val="008768DF"/>
    <w:rsid w:val="00876945"/>
    <w:rsid w:val="0087696D"/>
    <w:rsid w:val="00876A36"/>
    <w:rsid w:val="00876BD6"/>
    <w:rsid w:val="00876E5A"/>
    <w:rsid w:val="00876F21"/>
    <w:rsid w:val="00876F54"/>
    <w:rsid w:val="00876F92"/>
    <w:rsid w:val="00876FAC"/>
    <w:rsid w:val="00877070"/>
    <w:rsid w:val="00877161"/>
    <w:rsid w:val="00877226"/>
    <w:rsid w:val="00877272"/>
    <w:rsid w:val="00877275"/>
    <w:rsid w:val="0087731A"/>
    <w:rsid w:val="008773FA"/>
    <w:rsid w:val="008773FF"/>
    <w:rsid w:val="00877499"/>
    <w:rsid w:val="008774FE"/>
    <w:rsid w:val="00877779"/>
    <w:rsid w:val="00877789"/>
    <w:rsid w:val="00877866"/>
    <w:rsid w:val="008778D9"/>
    <w:rsid w:val="008778FF"/>
    <w:rsid w:val="00877962"/>
    <w:rsid w:val="0087799B"/>
    <w:rsid w:val="00877A48"/>
    <w:rsid w:val="00877A55"/>
    <w:rsid w:val="00877AA4"/>
    <w:rsid w:val="00877D14"/>
    <w:rsid w:val="00877DB1"/>
    <w:rsid w:val="00877EC5"/>
    <w:rsid w:val="00877ED2"/>
    <w:rsid w:val="0088003D"/>
    <w:rsid w:val="00880266"/>
    <w:rsid w:val="008802A5"/>
    <w:rsid w:val="008803C3"/>
    <w:rsid w:val="0088049B"/>
    <w:rsid w:val="008804B1"/>
    <w:rsid w:val="008804D7"/>
    <w:rsid w:val="00880611"/>
    <w:rsid w:val="00880725"/>
    <w:rsid w:val="0088077D"/>
    <w:rsid w:val="0088078F"/>
    <w:rsid w:val="0088083C"/>
    <w:rsid w:val="00880884"/>
    <w:rsid w:val="008808B2"/>
    <w:rsid w:val="008808B5"/>
    <w:rsid w:val="00880905"/>
    <w:rsid w:val="008809CD"/>
    <w:rsid w:val="00880B83"/>
    <w:rsid w:val="00880C6B"/>
    <w:rsid w:val="00880CDE"/>
    <w:rsid w:val="00880CE6"/>
    <w:rsid w:val="00880DB3"/>
    <w:rsid w:val="00880E66"/>
    <w:rsid w:val="00880E6E"/>
    <w:rsid w:val="00880EBB"/>
    <w:rsid w:val="00881046"/>
    <w:rsid w:val="00881133"/>
    <w:rsid w:val="0088119D"/>
    <w:rsid w:val="008811B1"/>
    <w:rsid w:val="008811B3"/>
    <w:rsid w:val="008811DF"/>
    <w:rsid w:val="008812D1"/>
    <w:rsid w:val="008812F5"/>
    <w:rsid w:val="008812F9"/>
    <w:rsid w:val="008812FE"/>
    <w:rsid w:val="0088131A"/>
    <w:rsid w:val="008813EB"/>
    <w:rsid w:val="0088144E"/>
    <w:rsid w:val="00881639"/>
    <w:rsid w:val="0088163E"/>
    <w:rsid w:val="008816E2"/>
    <w:rsid w:val="008816FE"/>
    <w:rsid w:val="00881736"/>
    <w:rsid w:val="00881748"/>
    <w:rsid w:val="0088176A"/>
    <w:rsid w:val="00881877"/>
    <w:rsid w:val="008819E6"/>
    <w:rsid w:val="00881AB5"/>
    <w:rsid w:val="00881B01"/>
    <w:rsid w:val="00881C3E"/>
    <w:rsid w:val="00881D3B"/>
    <w:rsid w:val="00881E09"/>
    <w:rsid w:val="00881E0E"/>
    <w:rsid w:val="00881E7A"/>
    <w:rsid w:val="00882026"/>
    <w:rsid w:val="0088203F"/>
    <w:rsid w:val="00882175"/>
    <w:rsid w:val="0088219E"/>
    <w:rsid w:val="008821DC"/>
    <w:rsid w:val="0088244F"/>
    <w:rsid w:val="00882520"/>
    <w:rsid w:val="00882660"/>
    <w:rsid w:val="0088274D"/>
    <w:rsid w:val="008827FC"/>
    <w:rsid w:val="0088288D"/>
    <w:rsid w:val="008828B7"/>
    <w:rsid w:val="008828FC"/>
    <w:rsid w:val="00882961"/>
    <w:rsid w:val="0088299B"/>
    <w:rsid w:val="00882BB1"/>
    <w:rsid w:val="00882D50"/>
    <w:rsid w:val="00882E15"/>
    <w:rsid w:val="00882E54"/>
    <w:rsid w:val="0088325C"/>
    <w:rsid w:val="0088325F"/>
    <w:rsid w:val="00883913"/>
    <w:rsid w:val="0088396A"/>
    <w:rsid w:val="00883A37"/>
    <w:rsid w:val="00883B1C"/>
    <w:rsid w:val="00883BDF"/>
    <w:rsid w:val="00883D42"/>
    <w:rsid w:val="00883E7D"/>
    <w:rsid w:val="00883E8B"/>
    <w:rsid w:val="00883EBD"/>
    <w:rsid w:val="00883F6D"/>
    <w:rsid w:val="00883FC6"/>
    <w:rsid w:val="00884028"/>
    <w:rsid w:val="00884053"/>
    <w:rsid w:val="008840A5"/>
    <w:rsid w:val="00884324"/>
    <w:rsid w:val="00884391"/>
    <w:rsid w:val="008843E5"/>
    <w:rsid w:val="00884499"/>
    <w:rsid w:val="0088450E"/>
    <w:rsid w:val="00884660"/>
    <w:rsid w:val="0088471A"/>
    <w:rsid w:val="008847F6"/>
    <w:rsid w:val="00884854"/>
    <w:rsid w:val="00884924"/>
    <w:rsid w:val="0088494A"/>
    <w:rsid w:val="008849B8"/>
    <w:rsid w:val="00884A27"/>
    <w:rsid w:val="00884D1E"/>
    <w:rsid w:val="00884DBE"/>
    <w:rsid w:val="00884F64"/>
    <w:rsid w:val="00884F88"/>
    <w:rsid w:val="00884FAA"/>
    <w:rsid w:val="00885212"/>
    <w:rsid w:val="00885294"/>
    <w:rsid w:val="00885354"/>
    <w:rsid w:val="00885390"/>
    <w:rsid w:val="00885446"/>
    <w:rsid w:val="008854D3"/>
    <w:rsid w:val="00885519"/>
    <w:rsid w:val="00885628"/>
    <w:rsid w:val="00885632"/>
    <w:rsid w:val="008856BC"/>
    <w:rsid w:val="008857D0"/>
    <w:rsid w:val="0088582D"/>
    <w:rsid w:val="0088584F"/>
    <w:rsid w:val="00885924"/>
    <w:rsid w:val="00885974"/>
    <w:rsid w:val="008859C2"/>
    <w:rsid w:val="00885A5F"/>
    <w:rsid w:val="00885A68"/>
    <w:rsid w:val="00885C71"/>
    <w:rsid w:val="00886054"/>
    <w:rsid w:val="0088612B"/>
    <w:rsid w:val="00886142"/>
    <w:rsid w:val="008861DC"/>
    <w:rsid w:val="00886238"/>
    <w:rsid w:val="008862C5"/>
    <w:rsid w:val="008863F5"/>
    <w:rsid w:val="00886408"/>
    <w:rsid w:val="0088640C"/>
    <w:rsid w:val="008864CD"/>
    <w:rsid w:val="00886635"/>
    <w:rsid w:val="0088665B"/>
    <w:rsid w:val="00886779"/>
    <w:rsid w:val="008868DF"/>
    <w:rsid w:val="008869A6"/>
    <w:rsid w:val="00886A8F"/>
    <w:rsid w:val="00886AB3"/>
    <w:rsid w:val="00886ABB"/>
    <w:rsid w:val="00886C24"/>
    <w:rsid w:val="00886C35"/>
    <w:rsid w:val="00886E21"/>
    <w:rsid w:val="00886EDF"/>
    <w:rsid w:val="00887191"/>
    <w:rsid w:val="0088719A"/>
    <w:rsid w:val="008871B7"/>
    <w:rsid w:val="008871CB"/>
    <w:rsid w:val="008871EC"/>
    <w:rsid w:val="00887248"/>
    <w:rsid w:val="00887265"/>
    <w:rsid w:val="00887299"/>
    <w:rsid w:val="008875F3"/>
    <w:rsid w:val="0088777E"/>
    <w:rsid w:val="0088781E"/>
    <w:rsid w:val="0088782B"/>
    <w:rsid w:val="008878B4"/>
    <w:rsid w:val="008878B7"/>
    <w:rsid w:val="0088796F"/>
    <w:rsid w:val="008879F2"/>
    <w:rsid w:val="008879FF"/>
    <w:rsid w:val="00887ABE"/>
    <w:rsid w:val="00887AF6"/>
    <w:rsid w:val="00887AFC"/>
    <w:rsid w:val="00887B4D"/>
    <w:rsid w:val="00887B6D"/>
    <w:rsid w:val="00887C28"/>
    <w:rsid w:val="00887C67"/>
    <w:rsid w:val="00887CA3"/>
    <w:rsid w:val="00887D58"/>
    <w:rsid w:val="00887DB1"/>
    <w:rsid w:val="00887FED"/>
    <w:rsid w:val="00890071"/>
    <w:rsid w:val="00890125"/>
    <w:rsid w:val="0089018D"/>
    <w:rsid w:val="008901B6"/>
    <w:rsid w:val="00890283"/>
    <w:rsid w:val="008902CA"/>
    <w:rsid w:val="00890317"/>
    <w:rsid w:val="00890440"/>
    <w:rsid w:val="0089044E"/>
    <w:rsid w:val="008904A5"/>
    <w:rsid w:val="00890570"/>
    <w:rsid w:val="0089058E"/>
    <w:rsid w:val="008905AF"/>
    <w:rsid w:val="00890623"/>
    <w:rsid w:val="008906AF"/>
    <w:rsid w:val="00890774"/>
    <w:rsid w:val="0089082D"/>
    <w:rsid w:val="008909F6"/>
    <w:rsid w:val="00890B30"/>
    <w:rsid w:val="00890B7A"/>
    <w:rsid w:val="00890BB0"/>
    <w:rsid w:val="00890CCC"/>
    <w:rsid w:val="00890D2B"/>
    <w:rsid w:val="00890D8A"/>
    <w:rsid w:val="00890EDB"/>
    <w:rsid w:val="00890EF3"/>
    <w:rsid w:val="00890FBE"/>
    <w:rsid w:val="00890FE1"/>
    <w:rsid w:val="00891046"/>
    <w:rsid w:val="00891387"/>
    <w:rsid w:val="0089139A"/>
    <w:rsid w:val="00891440"/>
    <w:rsid w:val="00891490"/>
    <w:rsid w:val="00891514"/>
    <w:rsid w:val="00891566"/>
    <w:rsid w:val="008915B3"/>
    <w:rsid w:val="00891625"/>
    <w:rsid w:val="008916A3"/>
    <w:rsid w:val="00891847"/>
    <w:rsid w:val="00891896"/>
    <w:rsid w:val="00891A2A"/>
    <w:rsid w:val="00891A4B"/>
    <w:rsid w:val="00891A7C"/>
    <w:rsid w:val="00891B1E"/>
    <w:rsid w:val="00891C67"/>
    <w:rsid w:val="00891D87"/>
    <w:rsid w:val="00891E75"/>
    <w:rsid w:val="00891F43"/>
    <w:rsid w:val="00891F9B"/>
    <w:rsid w:val="00891FB9"/>
    <w:rsid w:val="00891FC4"/>
    <w:rsid w:val="00891FE2"/>
    <w:rsid w:val="0089201C"/>
    <w:rsid w:val="0089209E"/>
    <w:rsid w:val="008921B2"/>
    <w:rsid w:val="00892372"/>
    <w:rsid w:val="00892381"/>
    <w:rsid w:val="008925C3"/>
    <w:rsid w:val="0089278F"/>
    <w:rsid w:val="008927FD"/>
    <w:rsid w:val="0089282F"/>
    <w:rsid w:val="00892869"/>
    <w:rsid w:val="008928DD"/>
    <w:rsid w:val="00892914"/>
    <w:rsid w:val="00892946"/>
    <w:rsid w:val="00892A12"/>
    <w:rsid w:val="00892B46"/>
    <w:rsid w:val="00892B4E"/>
    <w:rsid w:val="00892B6C"/>
    <w:rsid w:val="00892B87"/>
    <w:rsid w:val="00892BB1"/>
    <w:rsid w:val="00892BB5"/>
    <w:rsid w:val="00892BBB"/>
    <w:rsid w:val="00892BCD"/>
    <w:rsid w:val="00892CD3"/>
    <w:rsid w:val="00892CE0"/>
    <w:rsid w:val="00892D4F"/>
    <w:rsid w:val="00892E0C"/>
    <w:rsid w:val="00892E59"/>
    <w:rsid w:val="00892EEF"/>
    <w:rsid w:val="00892F78"/>
    <w:rsid w:val="00893084"/>
    <w:rsid w:val="008931D4"/>
    <w:rsid w:val="008931E2"/>
    <w:rsid w:val="00893266"/>
    <w:rsid w:val="00893292"/>
    <w:rsid w:val="008933AA"/>
    <w:rsid w:val="008933AE"/>
    <w:rsid w:val="0089340F"/>
    <w:rsid w:val="00893490"/>
    <w:rsid w:val="008934B6"/>
    <w:rsid w:val="008935EA"/>
    <w:rsid w:val="00893647"/>
    <w:rsid w:val="008936C7"/>
    <w:rsid w:val="00893729"/>
    <w:rsid w:val="0089372B"/>
    <w:rsid w:val="008937CB"/>
    <w:rsid w:val="00893867"/>
    <w:rsid w:val="008938B3"/>
    <w:rsid w:val="00893903"/>
    <w:rsid w:val="0089397B"/>
    <w:rsid w:val="008939ED"/>
    <w:rsid w:val="00893AA4"/>
    <w:rsid w:val="00893B5B"/>
    <w:rsid w:val="00893CE7"/>
    <w:rsid w:val="00893D44"/>
    <w:rsid w:val="00893D70"/>
    <w:rsid w:val="00893DEA"/>
    <w:rsid w:val="00893E88"/>
    <w:rsid w:val="00893F03"/>
    <w:rsid w:val="00893F73"/>
    <w:rsid w:val="008941DC"/>
    <w:rsid w:val="008944A8"/>
    <w:rsid w:val="008944AD"/>
    <w:rsid w:val="00894578"/>
    <w:rsid w:val="00894620"/>
    <w:rsid w:val="00894945"/>
    <w:rsid w:val="0089495E"/>
    <w:rsid w:val="0089497E"/>
    <w:rsid w:val="0089498C"/>
    <w:rsid w:val="008949AE"/>
    <w:rsid w:val="00894AE5"/>
    <w:rsid w:val="00894C04"/>
    <w:rsid w:val="00894C42"/>
    <w:rsid w:val="00894CC7"/>
    <w:rsid w:val="00894D68"/>
    <w:rsid w:val="00894D8E"/>
    <w:rsid w:val="00894EC4"/>
    <w:rsid w:val="00894F2A"/>
    <w:rsid w:val="00895093"/>
    <w:rsid w:val="008950FF"/>
    <w:rsid w:val="008951ED"/>
    <w:rsid w:val="00895383"/>
    <w:rsid w:val="00895392"/>
    <w:rsid w:val="0089541B"/>
    <w:rsid w:val="008954E6"/>
    <w:rsid w:val="0089556D"/>
    <w:rsid w:val="008956B9"/>
    <w:rsid w:val="008956D0"/>
    <w:rsid w:val="008957AF"/>
    <w:rsid w:val="008957B3"/>
    <w:rsid w:val="0089582B"/>
    <w:rsid w:val="00895A85"/>
    <w:rsid w:val="00895A92"/>
    <w:rsid w:val="00895C65"/>
    <w:rsid w:val="00895CFA"/>
    <w:rsid w:val="00895D98"/>
    <w:rsid w:val="00895EDA"/>
    <w:rsid w:val="00895EEF"/>
    <w:rsid w:val="00895FA1"/>
    <w:rsid w:val="008960C8"/>
    <w:rsid w:val="008961A6"/>
    <w:rsid w:val="008961FF"/>
    <w:rsid w:val="008962A4"/>
    <w:rsid w:val="0089656D"/>
    <w:rsid w:val="00896630"/>
    <w:rsid w:val="0089667D"/>
    <w:rsid w:val="008966C1"/>
    <w:rsid w:val="0089680E"/>
    <w:rsid w:val="0089697D"/>
    <w:rsid w:val="008969AC"/>
    <w:rsid w:val="00896A8A"/>
    <w:rsid w:val="00896CAA"/>
    <w:rsid w:val="00896E7E"/>
    <w:rsid w:val="00896F7D"/>
    <w:rsid w:val="008970EC"/>
    <w:rsid w:val="00897118"/>
    <w:rsid w:val="00897135"/>
    <w:rsid w:val="008972EC"/>
    <w:rsid w:val="008972F4"/>
    <w:rsid w:val="00897326"/>
    <w:rsid w:val="00897337"/>
    <w:rsid w:val="008973BF"/>
    <w:rsid w:val="00897415"/>
    <w:rsid w:val="00897430"/>
    <w:rsid w:val="008977C2"/>
    <w:rsid w:val="0089786C"/>
    <w:rsid w:val="008979FD"/>
    <w:rsid w:val="00897A82"/>
    <w:rsid w:val="00897AEA"/>
    <w:rsid w:val="00897B84"/>
    <w:rsid w:val="00897BCB"/>
    <w:rsid w:val="00897C98"/>
    <w:rsid w:val="00897D20"/>
    <w:rsid w:val="00897D5E"/>
    <w:rsid w:val="00897DEB"/>
    <w:rsid w:val="00897E0A"/>
    <w:rsid w:val="00897E43"/>
    <w:rsid w:val="00897E88"/>
    <w:rsid w:val="00897F4D"/>
    <w:rsid w:val="00897F7E"/>
    <w:rsid w:val="008A0022"/>
    <w:rsid w:val="008A0109"/>
    <w:rsid w:val="008A0131"/>
    <w:rsid w:val="008A0179"/>
    <w:rsid w:val="008A01BB"/>
    <w:rsid w:val="008A020D"/>
    <w:rsid w:val="008A0390"/>
    <w:rsid w:val="008A041A"/>
    <w:rsid w:val="008A0769"/>
    <w:rsid w:val="008A07A6"/>
    <w:rsid w:val="008A0866"/>
    <w:rsid w:val="008A091F"/>
    <w:rsid w:val="008A098C"/>
    <w:rsid w:val="008A098D"/>
    <w:rsid w:val="008A09A2"/>
    <w:rsid w:val="008A0AC1"/>
    <w:rsid w:val="008A0B85"/>
    <w:rsid w:val="008A0BE9"/>
    <w:rsid w:val="008A0CB0"/>
    <w:rsid w:val="008A0DEA"/>
    <w:rsid w:val="008A10B1"/>
    <w:rsid w:val="008A116C"/>
    <w:rsid w:val="008A1352"/>
    <w:rsid w:val="008A1362"/>
    <w:rsid w:val="008A150D"/>
    <w:rsid w:val="008A157F"/>
    <w:rsid w:val="008A15A7"/>
    <w:rsid w:val="008A15E9"/>
    <w:rsid w:val="008A1663"/>
    <w:rsid w:val="008A17B6"/>
    <w:rsid w:val="008A1A2C"/>
    <w:rsid w:val="008A1A6D"/>
    <w:rsid w:val="008A1C9C"/>
    <w:rsid w:val="008A1CA1"/>
    <w:rsid w:val="008A1CF0"/>
    <w:rsid w:val="008A1D8D"/>
    <w:rsid w:val="008A1E42"/>
    <w:rsid w:val="008A1ED5"/>
    <w:rsid w:val="008A1F3C"/>
    <w:rsid w:val="008A1FDA"/>
    <w:rsid w:val="008A2001"/>
    <w:rsid w:val="008A2011"/>
    <w:rsid w:val="008A2042"/>
    <w:rsid w:val="008A2179"/>
    <w:rsid w:val="008A21C2"/>
    <w:rsid w:val="008A22CD"/>
    <w:rsid w:val="008A22D4"/>
    <w:rsid w:val="008A2374"/>
    <w:rsid w:val="008A23C2"/>
    <w:rsid w:val="008A2434"/>
    <w:rsid w:val="008A2602"/>
    <w:rsid w:val="008A2633"/>
    <w:rsid w:val="008A2635"/>
    <w:rsid w:val="008A26DE"/>
    <w:rsid w:val="008A26F2"/>
    <w:rsid w:val="008A276E"/>
    <w:rsid w:val="008A279A"/>
    <w:rsid w:val="008A283E"/>
    <w:rsid w:val="008A28F7"/>
    <w:rsid w:val="008A2928"/>
    <w:rsid w:val="008A2967"/>
    <w:rsid w:val="008A2B3C"/>
    <w:rsid w:val="008A2BE4"/>
    <w:rsid w:val="008A2BF3"/>
    <w:rsid w:val="008A2F0D"/>
    <w:rsid w:val="008A2F79"/>
    <w:rsid w:val="008A3026"/>
    <w:rsid w:val="008A318F"/>
    <w:rsid w:val="008A3231"/>
    <w:rsid w:val="008A326E"/>
    <w:rsid w:val="008A3295"/>
    <w:rsid w:val="008A32AD"/>
    <w:rsid w:val="008A3357"/>
    <w:rsid w:val="008A33E0"/>
    <w:rsid w:val="008A346F"/>
    <w:rsid w:val="008A3488"/>
    <w:rsid w:val="008A34B8"/>
    <w:rsid w:val="008A34DB"/>
    <w:rsid w:val="008A36F0"/>
    <w:rsid w:val="008A3714"/>
    <w:rsid w:val="008A37B0"/>
    <w:rsid w:val="008A38EB"/>
    <w:rsid w:val="008A3B17"/>
    <w:rsid w:val="008A3BDB"/>
    <w:rsid w:val="008A3BE4"/>
    <w:rsid w:val="008A3CE8"/>
    <w:rsid w:val="008A3D9F"/>
    <w:rsid w:val="008A4061"/>
    <w:rsid w:val="008A4065"/>
    <w:rsid w:val="008A4139"/>
    <w:rsid w:val="008A4185"/>
    <w:rsid w:val="008A4240"/>
    <w:rsid w:val="008A424C"/>
    <w:rsid w:val="008A430A"/>
    <w:rsid w:val="008A4326"/>
    <w:rsid w:val="008A437C"/>
    <w:rsid w:val="008A4397"/>
    <w:rsid w:val="008A441C"/>
    <w:rsid w:val="008A4513"/>
    <w:rsid w:val="008A4622"/>
    <w:rsid w:val="008A469A"/>
    <w:rsid w:val="008A488B"/>
    <w:rsid w:val="008A4AC4"/>
    <w:rsid w:val="008A4AD3"/>
    <w:rsid w:val="008A4E5F"/>
    <w:rsid w:val="008A4EBA"/>
    <w:rsid w:val="008A4F60"/>
    <w:rsid w:val="008A4F6C"/>
    <w:rsid w:val="008A4FA3"/>
    <w:rsid w:val="008A4FD0"/>
    <w:rsid w:val="008A5078"/>
    <w:rsid w:val="008A50AD"/>
    <w:rsid w:val="008A52FC"/>
    <w:rsid w:val="008A5369"/>
    <w:rsid w:val="008A536E"/>
    <w:rsid w:val="008A53C5"/>
    <w:rsid w:val="008A53D3"/>
    <w:rsid w:val="008A54DB"/>
    <w:rsid w:val="008A552C"/>
    <w:rsid w:val="008A5584"/>
    <w:rsid w:val="008A5733"/>
    <w:rsid w:val="008A5876"/>
    <w:rsid w:val="008A5A14"/>
    <w:rsid w:val="008A5A61"/>
    <w:rsid w:val="008A5AED"/>
    <w:rsid w:val="008A5B7B"/>
    <w:rsid w:val="008A5BCD"/>
    <w:rsid w:val="008A5BD1"/>
    <w:rsid w:val="008A5C00"/>
    <w:rsid w:val="008A5C79"/>
    <w:rsid w:val="008A5D55"/>
    <w:rsid w:val="008A5DDF"/>
    <w:rsid w:val="008A5DF4"/>
    <w:rsid w:val="008A5F5A"/>
    <w:rsid w:val="008A5FA8"/>
    <w:rsid w:val="008A6023"/>
    <w:rsid w:val="008A6058"/>
    <w:rsid w:val="008A609B"/>
    <w:rsid w:val="008A627D"/>
    <w:rsid w:val="008A64DF"/>
    <w:rsid w:val="008A6676"/>
    <w:rsid w:val="008A66FC"/>
    <w:rsid w:val="008A674C"/>
    <w:rsid w:val="008A680C"/>
    <w:rsid w:val="008A6935"/>
    <w:rsid w:val="008A6940"/>
    <w:rsid w:val="008A6A68"/>
    <w:rsid w:val="008A6B38"/>
    <w:rsid w:val="008A6B88"/>
    <w:rsid w:val="008A6BFA"/>
    <w:rsid w:val="008A6E79"/>
    <w:rsid w:val="008A6F36"/>
    <w:rsid w:val="008A7161"/>
    <w:rsid w:val="008A71CC"/>
    <w:rsid w:val="008A72B2"/>
    <w:rsid w:val="008A72DF"/>
    <w:rsid w:val="008A7406"/>
    <w:rsid w:val="008A7562"/>
    <w:rsid w:val="008A7616"/>
    <w:rsid w:val="008A77E4"/>
    <w:rsid w:val="008A7813"/>
    <w:rsid w:val="008A7844"/>
    <w:rsid w:val="008A78C0"/>
    <w:rsid w:val="008A78D4"/>
    <w:rsid w:val="008A790F"/>
    <w:rsid w:val="008A7912"/>
    <w:rsid w:val="008A7AE4"/>
    <w:rsid w:val="008A7C09"/>
    <w:rsid w:val="008A7C64"/>
    <w:rsid w:val="008A7CC7"/>
    <w:rsid w:val="008A7D03"/>
    <w:rsid w:val="008A7D72"/>
    <w:rsid w:val="008A7D8B"/>
    <w:rsid w:val="008A7E1B"/>
    <w:rsid w:val="008A7E6F"/>
    <w:rsid w:val="008A7F27"/>
    <w:rsid w:val="008A7FBD"/>
    <w:rsid w:val="008B009D"/>
    <w:rsid w:val="008B00B3"/>
    <w:rsid w:val="008B01F4"/>
    <w:rsid w:val="008B0218"/>
    <w:rsid w:val="008B021E"/>
    <w:rsid w:val="008B0231"/>
    <w:rsid w:val="008B02E0"/>
    <w:rsid w:val="008B0499"/>
    <w:rsid w:val="008B06CF"/>
    <w:rsid w:val="008B08BA"/>
    <w:rsid w:val="008B08CC"/>
    <w:rsid w:val="008B0900"/>
    <w:rsid w:val="008B097A"/>
    <w:rsid w:val="008B09E6"/>
    <w:rsid w:val="008B09F8"/>
    <w:rsid w:val="008B0A28"/>
    <w:rsid w:val="008B0A6C"/>
    <w:rsid w:val="008B0B36"/>
    <w:rsid w:val="008B0BF8"/>
    <w:rsid w:val="008B0BF9"/>
    <w:rsid w:val="008B0C18"/>
    <w:rsid w:val="008B0C1E"/>
    <w:rsid w:val="008B0DF0"/>
    <w:rsid w:val="008B0E17"/>
    <w:rsid w:val="008B0FED"/>
    <w:rsid w:val="008B1086"/>
    <w:rsid w:val="008B1091"/>
    <w:rsid w:val="008B13BB"/>
    <w:rsid w:val="008B13FF"/>
    <w:rsid w:val="008B14C3"/>
    <w:rsid w:val="008B14EC"/>
    <w:rsid w:val="008B15D7"/>
    <w:rsid w:val="008B15F6"/>
    <w:rsid w:val="008B1644"/>
    <w:rsid w:val="008B17B5"/>
    <w:rsid w:val="008B18DC"/>
    <w:rsid w:val="008B19B2"/>
    <w:rsid w:val="008B1A1C"/>
    <w:rsid w:val="008B1CA5"/>
    <w:rsid w:val="008B1D18"/>
    <w:rsid w:val="008B1D93"/>
    <w:rsid w:val="008B1EB9"/>
    <w:rsid w:val="008B1F13"/>
    <w:rsid w:val="008B200E"/>
    <w:rsid w:val="008B2151"/>
    <w:rsid w:val="008B2258"/>
    <w:rsid w:val="008B237F"/>
    <w:rsid w:val="008B24E7"/>
    <w:rsid w:val="008B27A0"/>
    <w:rsid w:val="008B27F1"/>
    <w:rsid w:val="008B285B"/>
    <w:rsid w:val="008B2A6A"/>
    <w:rsid w:val="008B2CAE"/>
    <w:rsid w:val="008B2E79"/>
    <w:rsid w:val="008B2E9C"/>
    <w:rsid w:val="008B2EBA"/>
    <w:rsid w:val="008B2EF3"/>
    <w:rsid w:val="008B2F2F"/>
    <w:rsid w:val="008B30C5"/>
    <w:rsid w:val="008B30C9"/>
    <w:rsid w:val="008B31B9"/>
    <w:rsid w:val="008B31C5"/>
    <w:rsid w:val="008B31CB"/>
    <w:rsid w:val="008B3329"/>
    <w:rsid w:val="008B3581"/>
    <w:rsid w:val="008B3675"/>
    <w:rsid w:val="008B372F"/>
    <w:rsid w:val="008B3782"/>
    <w:rsid w:val="008B37B1"/>
    <w:rsid w:val="008B3AE2"/>
    <w:rsid w:val="008B3B4A"/>
    <w:rsid w:val="008B3B76"/>
    <w:rsid w:val="008B3BC3"/>
    <w:rsid w:val="008B3D82"/>
    <w:rsid w:val="008B3E5A"/>
    <w:rsid w:val="008B3FE3"/>
    <w:rsid w:val="008B401E"/>
    <w:rsid w:val="008B41E4"/>
    <w:rsid w:val="008B423E"/>
    <w:rsid w:val="008B4251"/>
    <w:rsid w:val="008B431C"/>
    <w:rsid w:val="008B4364"/>
    <w:rsid w:val="008B4451"/>
    <w:rsid w:val="008B446C"/>
    <w:rsid w:val="008B4472"/>
    <w:rsid w:val="008B453C"/>
    <w:rsid w:val="008B45FF"/>
    <w:rsid w:val="008B47CC"/>
    <w:rsid w:val="008B47FE"/>
    <w:rsid w:val="008B4816"/>
    <w:rsid w:val="008B48A3"/>
    <w:rsid w:val="008B48D9"/>
    <w:rsid w:val="008B49AC"/>
    <w:rsid w:val="008B4A41"/>
    <w:rsid w:val="008B4A5D"/>
    <w:rsid w:val="008B4AA5"/>
    <w:rsid w:val="008B4AB1"/>
    <w:rsid w:val="008B4B19"/>
    <w:rsid w:val="008B4B42"/>
    <w:rsid w:val="008B4D69"/>
    <w:rsid w:val="008B4E65"/>
    <w:rsid w:val="008B4EB3"/>
    <w:rsid w:val="008B4FCD"/>
    <w:rsid w:val="008B500B"/>
    <w:rsid w:val="008B506D"/>
    <w:rsid w:val="008B508A"/>
    <w:rsid w:val="008B516E"/>
    <w:rsid w:val="008B526F"/>
    <w:rsid w:val="008B528E"/>
    <w:rsid w:val="008B52B1"/>
    <w:rsid w:val="008B561B"/>
    <w:rsid w:val="008B5688"/>
    <w:rsid w:val="008B56A1"/>
    <w:rsid w:val="008B57AA"/>
    <w:rsid w:val="008B57E6"/>
    <w:rsid w:val="008B5945"/>
    <w:rsid w:val="008B5A49"/>
    <w:rsid w:val="008B5AA1"/>
    <w:rsid w:val="008B5ACF"/>
    <w:rsid w:val="008B5B8B"/>
    <w:rsid w:val="008B5F00"/>
    <w:rsid w:val="008B601E"/>
    <w:rsid w:val="008B6020"/>
    <w:rsid w:val="008B6048"/>
    <w:rsid w:val="008B6163"/>
    <w:rsid w:val="008B6352"/>
    <w:rsid w:val="008B6473"/>
    <w:rsid w:val="008B6491"/>
    <w:rsid w:val="008B65F9"/>
    <w:rsid w:val="008B67E1"/>
    <w:rsid w:val="008B682C"/>
    <w:rsid w:val="008B68D9"/>
    <w:rsid w:val="008B69EB"/>
    <w:rsid w:val="008B6F04"/>
    <w:rsid w:val="008B6F98"/>
    <w:rsid w:val="008B6FF5"/>
    <w:rsid w:val="008B717D"/>
    <w:rsid w:val="008B7325"/>
    <w:rsid w:val="008B7374"/>
    <w:rsid w:val="008B7487"/>
    <w:rsid w:val="008B7552"/>
    <w:rsid w:val="008B75DC"/>
    <w:rsid w:val="008B7640"/>
    <w:rsid w:val="008B78C8"/>
    <w:rsid w:val="008B7921"/>
    <w:rsid w:val="008B7997"/>
    <w:rsid w:val="008B7A13"/>
    <w:rsid w:val="008B7A2D"/>
    <w:rsid w:val="008B7BDB"/>
    <w:rsid w:val="008B7CE5"/>
    <w:rsid w:val="008B7CF2"/>
    <w:rsid w:val="008B7D0A"/>
    <w:rsid w:val="008B7E8F"/>
    <w:rsid w:val="008B7EC5"/>
    <w:rsid w:val="008C00EE"/>
    <w:rsid w:val="008C019B"/>
    <w:rsid w:val="008C04DF"/>
    <w:rsid w:val="008C0527"/>
    <w:rsid w:val="008C061C"/>
    <w:rsid w:val="008C0681"/>
    <w:rsid w:val="008C06F9"/>
    <w:rsid w:val="008C0763"/>
    <w:rsid w:val="008C0A31"/>
    <w:rsid w:val="008C0AE4"/>
    <w:rsid w:val="008C0B12"/>
    <w:rsid w:val="008C0BE0"/>
    <w:rsid w:val="008C0BE4"/>
    <w:rsid w:val="008C0C03"/>
    <w:rsid w:val="008C0CAA"/>
    <w:rsid w:val="008C0E43"/>
    <w:rsid w:val="008C0FD2"/>
    <w:rsid w:val="008C0FEA"/>
    <w:rsid w:val="008C1107"/>
    <w:rsid w:val="008C1172"/>
    <w:rsid w:val="008C119B"/>
    <w:rsid w:val="008C11F9"/>
    <w:rsid w:val="008C1307"/>
    <w:rsid w:val="008C1397"/>
    <w:rsid w:val="008C1415"/>
    <w:rsid w:val="008C14FE"/>
    <w:rsid w:val="008C15D1"/>
    <w:rsid w:val="008C15F5"/>
    <w:rsid w:val="008C15F9"/>
    <w:rsid w:val="008C1665"/>
    <w:rsid w:val="008C16B3"/>
    <w:rsid w:val="008C17EA"/>
    <w:rsid w:val="008C18B6"/>
    <w:rsid w:val="008C19BA"/>
    <w:rsid w:val="008C1A67"/>
    <w:rsid w:val="008C1ADD"/>
    <w:rsid w:val="008C1BAB"/>
    <w:rsid w:val="008C1C0B"/>
    <w:rsid w:val="008C1E05"/>
    <w:rsid w:val="008C1E82"/>
    <w:rsid w:val="008C1EB0"/>
    <w:rsid w:val="008C20AA"/>
    <w:rsid w:val="008C20C1"/>
    <w:rsid w:val="008C246B"/>
    <w:rsid w:val="008C24DE"/>
    <w:rsid w:val="008C2577"/>
    <w:rsid w:val="008C2658"/>
    <w:rsid w:val="008C269B"/>
    <w:rsid w:val="008C26FD"/>
    <w:rsid w:val="008C2733"/>
    <w:rsid w:val="008C2A88"/>
    <w:rsid w:val="008C2B66"/>
    <w:rsid w:val="008C2BCA"/>
    <w:rsid w:val="008C2BFB"/>
    <w:rsid w:val="008C2C94"/>
    <w:rsid w:val="008C2D60"/>
    <w:rsid w:val="008C2EA7"/>
    <w:rsid w:val="008C2ED5"/>
    <w:rsid w:val="008C2F18"/>
    <w:rsid w:val="008C308E"/>
    <w:rsid w:val="008C30D6"/>
    <w:rsid w:val="008C3141"/>
    <w:rsid w:val="008C319F"/>
    <w:rsid w:val="008C31AF"/>
    <w:rsid w:val="008C31B8"/>
    <w:rsid w:val="008C32D1"/>
    <w:rsid w:val="008C341C"/>
    <w:rsid w:val="008C36B0"/>
    <w:rsid w:val="008C3731"/>
    <w:rsid w:val="008C387C"/>
    <w:rsid w:val="008C39EB"/>
    <w:rsid w:val="008C3A3B"/>
    <w:rsid w:val="008C3AC1"/>
    <w:rsid w:val="008C3BC9"/>
    <w:rsid w:val="008C3CD4"/>
    <w:rsid w:val="008C3CF2"/>
    <w:rsid w:val="008C3D2B"/>
    <w:rsid w:val="008C3D4D"/>
    <w:rsid w:val="008C3D8C"/>
    <w:rsid w:val="008C3E31"/>
    <w:rsid w:val="008C3E8B"/>
    <w:rsid w:val="008C3E9C"/>
    <w:rsid w:val="008C3F30"/>
    <w:rsid w:val="008C3F77"/>
    <w:rsid w:val="008C4062"/>
    <w:rsid w:val="008C4290"/>
    <w:rsid w:val="008C438E"/>
    <w:rsid w:val="008C439E"/>
    <w:rsid w:val="008C43AB"/>
    <w:rsid w:val="008C4408"/>
    <w:rsid w:val="008C4493"/>
    <w:rsid w:val="008C4584"/>
    <w:rsid w:val="008C4696"/>
    <w:rsid w:val="008C47F3"/>
    <w:rsid w:val="008C4811"/>
    <w:rsid w:val="008C48D8"/>
    <w:rsid w:val="008C4AE9"/>
    <w:rsid w:val="008C4B05"/>
    <w:rsid w:val="008C4B97"/>
    <w:rsid w:val="008C4BB2"/>
    <w:rsid w:val="008C4C7A"/>
    <w:rsid w:val="008C4D31"/>
    <w:rsid w:val="008C4D4D"/>
    <w:rsid w:val="008C4DB4"/>
    <w:rsid w:val="008C516C"/>
    <w:rsid w:val="008C51B8"/>
    <w:rsid w:val="008C51C9"/>
    <w:rsid w:val="008C520E"/>
    <w:rsid w:val="008C5231"/>
    <w:rsid w:val="008C5250"/>
    <w:rsid w:val="008C535F"/>
    <w:rsid w:val="008C53A8"/>
    <w:rsid w:val="008C53FC"/>
    <w:rsid w:val="008C556C"/>
    <w:rsid w:val="008C5638"/>
    <w:rsid w:val="008C56E5"/>
    <w:rsid w:val="008C58A9"/>
    <w:rsid w:val="008C58C0"/>
    <w:rsid w:val="008C5A6B"/>
    <w:rsid w:val="008C5AF1"/>
    <w:rsid w:val="008C5C2A"/>
    <w:rsid w:val="008C5D11"/>
    <w:rsid w:val="008C5D3C"/>
    <w:rsid w:val="008C5DD8"/>
    <w:rsid w:val="008C5EBA"/>
    <w:rsid w:val="008C5FEB"/>
    <w:rsid w:val="008C600B"/>
    <w:rsid w:val="008C600D"/>
    <w:rsid w:val="008C62CC"/>
    <w:rsid w:val="008C642E"/>
    <w:rsid w:val="008C648A"/>
    <w:rsid w:val="008C64D8"/>
    <w:rsid w:val="008C6609"/>
    <w:rsid w:val="008C6635"/>
    <w:rsid w:val="008C67F5"/>
    <w:rsid w:val="008C6805"/>
    <w:rsid w:val="008C684E"/>
    <w:rsid w:val="008C6966"/>
    <w:rsid w:val="008C696F"/>
    <w:rsid w:val="008C6A6C"/>
    <w:rsid w:val="008C6AA9"/>
    <w:rsid w:val="008C6CD1"/>
    <w:rsid w:val="008C6DD5"/>
    <w:rsid w:val="008C6E21"/>
    <w:rsid w:val="008C6E44"/>
    <w:rsid w:val="008C6F1B"/>
    <w:rsid w:val="008C7068"/>
    <w:rsid w:val="008C706B"/>
    <w:rsid w:val="008C707B"/>
    <w:rsid w:val="008C718A"/>
    <w:rsid w:val="008C7283"/>
    <w:rsid w:val="008C7285"/>
    <w:rsid w:val="008C728A"/>
    <w:rsid w:val="008C7339"/>
    <w:rsid w:val="008C742C"/>
    <w:rsid w:val="008C747B"/>
    <w:rsid w:val="008C74BF"/>
    <w:rsid w:val="008C74E3"/>
    <w:rsid w:val="008C7501"/>
    <w:rsid w:val="008C7544"/>
    <w:rsid w:val="008C75CE"/>
    <w:rsid w:val="008C761B"/>
    <w:rsid w:val="008C7677"/>
    <w:rsid w:val="008C76F2"/>
    <w:rsid w:val="008C779E"/>
    <w:rsid w:val="008C7821"/>
    <w:rsid w:val="008C7A0B"/>
    <w:rsid w:val="008C7A55"/>
    <w:rsid w:val="008C7AC5"/>
    <w:rsid w:val="008C7BD7"/>
    <w:rsid w:val="008C7C81"/>
    <w:rsid w:val="008C7D41"/>
    <w:rsid w:val="008C7D90"/>
    <w:rsid w:val="008C7D92"/>
    <w:rsid w:val="008C7ED4"/>
    <w:rsid w:val="008D0042"/>
    <w:rsid w:val="008D0093"/>
    <w:rsid w:val="008D00A2"/>
    <w:rsid w:val="008D023D"/>
    <w:rsid w:val="008D0259"/>
    <w:rsid w:val="008D030C"/>
    <w:rsid w:val="008D0451"/>
    <w:rsid w:val="008D0494"/>
    <w:rsid w:val="008D04AF"/>
    <w:rsid w:val="008D04B9"/>
    <w:rsid w:val="008D04E1"/>
    <w:rsid w:val="008D0576"/>
    <w:rsid w:val="008D0676"/>
    <w:rsid w:val="008D0692"/>
    <w:rsid w:val="008D07E4"/>
    <w:rsid w:val="008D07FF"/>
    <w:rsid w:val="008D08BA"/>
    <w:rsid w:val="008D08EB"/>
    <w:rsid w:val="008D0A90"/>
    <w:rsid w:val="008D0B44"/>
    <w:rsid w:val="008D0C87"/>
    <w:rsid w:val="008D0E54"/>
    <w:rsid w:val="008D0E71"/>
    <w:rsid w:val="008D1053"/>
    <w:rsid w:val="008D123D"/>
    <w:rsid w:val="008D125B"/>
    <w:rsid w:val="008D1272"/>
    <w:rsid w:val="008D127D"/>
    <w:rsid w:val="008D13B6"/>
    <w:rsid w:val="008D14D2"/>
    <w:rsid w:val="008D150F"/>
    <w:rsid w:val="008D1537"/>
    <w:rsid w:val="008D16A2"/>
    <w:rsid w:val="008D16B2"/>
    <w:rsid w:val="008D1918"/>
    <w:rsid w:val="008D196B"/>
    <w:rsid w:val="008D1A5B"/>
    <w:rsid w:val="008D1ABB"/>
    <w:rsid w:val="008D1DE0"/>
    <w:rsid w:val="008D1E29"/>
    <w:rsid w:val="008D1EF7"/>
    <w:rsid w:val="008D1FD8"/>
    <w:rsid w:val="008D206F"/>
    <w:rsid w:val="008D23CC"/>
    <w:rsid w:val="008D255F"/>
    <w:rsid w:val="008D25F3"/>
    <w:rsid w:val="008D283D"/>
    <w:rsid w:val="008D28EE"/>
    <w:rsid w:val="008D2961"/>
    <w:rsid w:val="008D29D9"/>
    <w:rsid w:val="008D2ADD"/>
    <w:rsid w:val="008D2BCB"/>
    <w:rsid w:val="008D2C2F"/>
    <w:rsid w:val="008D2C97"/>
    <w:rsid w:val="008D2CA1"/>
    <w:rsid w:val="008D2D13"/>
    <w:rsid w:val="008D2DA1"/>
    <w:rsid w:val="008D2DFB"/>
    <w:rsid w:val="008D2E14"/>
    <w:rsid w:val="008D2ED8"/>
    <w:rsid w:val="008D2FA2"/>
    <w:rsid w:val="008D31B3"/>
    <w:rsid w:val="008D327B"/>
    <w:rsid w:val="008D32B3"/>
    <w:rsid w:val="008D34AC"/>
    <w:rsid w:val="008D354E"/>
    <w:rsid w:val="008D3591"/>
    <w:rsid w:val="008D35FB"/>
    <w:rsid w:val="008D35FE"/>
    <w:rsid w:val="008D39A8"/>
    <w:rsid w:val="008D3A47"/>
    <w:rsid w:val="008D3BC5"/>
    <w:rsid w:val="008D3C28"/>
    <w:rsid w:val="008D3C41"/>
    <w:rsid w:val="008D3C4F"/>
    <w:rsid w:val="008D3DAE"/>
    <w:rsid w:val="008D3DDF"/>
    <w:rsid w:val="008D3FD2"/>
    <w:rsid w:val="008D4005"/>
    <w:rsid w:val="008D4095"/>
    <w:rsid w:val="008D40D9"/>
    <w:rsid w:val="008D414C"/>
    <w:rsid w:val="008D4150"/>
    <w:rsid w:val="008D425B"/>
    <w:rsid w:val="008D432C"/>
    <w:rsid w:val="008D4406"/>
    <w:rsid w:val="008D4600"/>
    <w:rsid w:val="008D46D0"/>
    <w:rsid w:val="008D47E6"/>
    <w:rsid w:val="008D4842"/>
    <w:rsid w:val="008D4848"/>
    <w:rsid w:val="008D4861"/>
    <w:rsid w:val="008D491D"/>
    <w:rsid w:val="008D4925"/>
    <w:rsid w:val="008D4962"/>
    <w:rsid w:val="008D49E9"/>
    <w:rsid w:val="008D4A7A"/>
    <w:rsid w:val="008D4B92"/>
    <w:rsid w:val="008D4E1D"/>
    <w:rsid w:val="008D4E66"/>
    <w:rsid w:val="008D4F36"/>
    <w:rsid w:val="008D4F42"/>
    <w:rsid w:val="008D4F7A"/>
    <w:rsid w:val="008D506A"/>
    <w:rsid w:val="008D50D0"/>
    <w:rsid w:val="008D50F7"/>
    <w:rsid w:val="008D5201"/>
    <w:rsid w:val="008D5292"/>
    <w:rsid w:val="008D52EA"/>
    <w:rsid w:val="008D53C5"/>
    <w:rsid w:val="008D53E3"/>
    <w:rsid w:val="008D5708"/>
    <w:rsid w:val="008D570F"/>
    <w:rsid w:val="008D5743"/>
    <w:rsid w:val="008D574A"/>
    <w:rsid w:val="008D57B3"/>
    <w:rsid w:val="008D58A4"/>
    <w:rsid w:val="008D5929"/>
    <w:rsid w:val="008D596D"/>
    <w:rsid w:val="008D5A0E"/>
    <w:rsid w:val="008D5A80"/>
    <w:rsid w:val="008D5B02"/>
    <w:rsid w:val="008D5CBB"/>
    <w:rsid w:val="008D5DB3"/>
    <w:rsid w:val="008D5E86"/>
    <w:rsid w:val="008D5EF1"/>
    <w:rsid w:val="008D5F11"/>
    <w:rsid w:val="008D5F8B"/>
    <w:rsid w:val="008D6011"/>
    <w:rsid w:val="008D61B9"/>
    <w:rsid w:val="008D61BB"/>
    <w:rsid w:val="008D61D0"/>
    <w:rsid w:val="008D622A"/>
    <w:rsid w:val="008D623C"/>
    <w:rsid w:val="008D6240"/>
    <w:rsid w:val="008D641C"/>
    <w:rsid w:val="008D644E"/>
    <w:rsid w:val="008D6807"/>
    <w:rsid w:val="008D686D"/>
    <w:rsid w:val="008D687F"/>
    <w:rsid w:val="008D6A64"/>
    <w:rsid w:val="008D6B64"/>
    <w:rsid w:val="008D6B66"/>
    <w:rsid w:val="008D6B87"/>
    <w:rsid w:val="008D6BA5"/>
    <w:rsid w:val="008D6BDA"/>
    <w:rsid w:val="008D6E23"/>
    <w:rsid w:val="008D6E8A"/>
    <w:rsid w:val="008D6EC3"/>
    <w:rsid w:val="008D6FB6"/>
    <w:rsid w:val="008D71CD"/>
    <w:rsid w:val="008D720A"/>
    <w:rsid w:val="008D7291"/>
    <w:rsid w:val="008D72C5"/>
    <w:rsid w:val="008D72C7"/>
    <w:rsid w:val="008D72CA"/>
    <w:rsid w:val="008D73DC"/>
    <w:rsid w:val="008D7716"/>
    <w:rsid w:val="008D785E"/>
    <w:rsid w:val="008D7898"/>
    <w:rsid w:val="008D78DA"/>
    <w:rsid w:val="008D791D"/>
    <w:rsid w:val="008D7B04"/>
    <w:rsid w:val="008D7B3C"/>
    <w:rsid w:val="008D7C19"/>
    <w:rsid w:val="008D7CA5"/>
    <w:rsid w:val="008D7D4E"/>
    <w:rsid w:val="008D7E09"/>
    <w:rsid w:val="008D7F4C"/>
    <w:rsid w:val="008D7F8E"/>
    <w:rsid w:val="008E0009"/>
    <w:rsid w:val="008E0210"/>
    <w:rsid w:val="008E0246"/>
    <w:rsid w:val="008E0272"/>
    <w:rsid w:val="008E03C1"/>
    <w:rsid w:val="008E04E4"/>
    <w:rsid w:val="008E0557"/>
    <w:rsid w:val="008E057B"/>
    <w:rsid w:val="008E0651"/>
    <w:rsid w:val="008E07A4"/>
    <w:rsid w:val="008E08FF"/>
    <w:rsid w:val="008E0910"/>
    <w:rsid w:val="008E0993"/>
    <w:rsid w:val="008E0ABB"/>
    <w:rsid w:val="008E0AD9"/>
    <w:rsid w:val="008E0BBB"/>
    <w:rsid w:val="008E0C41"/>
    <w:rsid w:val="008E0D2F"/>
    <w:rsid w:val="008E0D8A"/>
    <w:rsid w:val="008E0DD0"/>
    <w:rsid w:val="008E0F32"/>
    <w:rsid w:val="008E0F4E"/>
    <w:rsid w:val="008E0F86"/>
    <w:rsid w:val="008E0FBB"/>
    <w:rsid w:val="008E1019"/>
    <w:rsid w:val="008E1143"/>
    <w:rsid w:val="008E11A5"/>
    <w:rsid w:val="008E11E6"/>
    <w:rsid w:val="008E124F"/>
    <w:rsid w:val="008E13CA"/>
    <w:rsid w:val="008E13F2"/>
    <w:rsid w:val="008E1423"/>
    <w:rsid w:val="008E1431"/>
    <w:rsid w:val="008E1564"/>
    <w:rsid w:val="008E1569"/>
    <w:rsid w:val="008E15C0"/>
    <w:rsid w:val="008E15E2"/>
    <w:rsid w:val="008E1692"/>
    <w:rsid w:val="008E16BB"/>
    <w:rsid w:val="008E16C6"/>
    <w:rsid w:val="008E16ED"/>
    <w:rsid w:val="008E176A"/>
    <w:rsid w:val="008E19B0"/>
    <w:rsid w:val="008E1A5E"/>
    <w:rsid w:val="008E1A87"/>
    <w:rsid w:val="008E1C04"/>
    <w:rsid w:val="008E1D24"/>
    <w:rsid w:val="008E1ECC"/>
    <w:rsid w:val="008E1FCA"/>
    <w:rsid w:val="008E2025"/>
    <w:rsid w:val="008E232B"/>
    <w:rsid w:val="008E246C"/>
    <w:rsid w:val="008E2493"/>
    <w:rsid w:val="008E2525"/>
    <w:rsid w:val="008E2641"/>
    <w:rsid w:val="008E27C2"/>
    <w:rsid w:val="008E284C"/>
    <w:rsid w:val="008E2910"/>
    <w:rsid w:val="008E2A26"/>
    <w:rsid w:val="008E2A29"/>
    <w:rsid w:val="008E2A50"/>
    <w:rsid w:val="008E2B0D"/>
    <w:rsid w:val="008E2BDC"/>
    <w:rsid w:val="008E2CB3"/>
    <w:rsid w:val="008E2D0F"/>
    <w:rsid w:val="008E2D3D"/>
    <w:rsid w:val="008E2F82"/>
    <w:rsid w:val="008E3047"/>
    <w:rsid w:val="008E3202"/>
    <w:rsid w:val="008E3210"/>
    <w:rsid w:val="008E3219"/>
    <w:rsid w:val="008E3231"/>
    <w:rsid w:val="008E3257"/>
    <w:rsid w:val="008E32D9"/>
    <w:rsid w:val="008E348C"/>
    <w:rsid w:val="008E359D"/>
    <w:rsid w:val="008E35FC"/>
    <w:rsid w:val="008E3663"/>
    <w:rsid w:val="008E36ED"/>
    <w:rsid w:val="008E3736"/>
    <w:rsid w:val="008E3875"/>
    <w:rsid w:val="008E38E1"/>
    <w:rsid w:val="008E397D"/>
    <w:rsid w:val="008E39AD"/>
    <w:rsid w:val="008E39E6"/>
    <w:rsid w:val="008E3A6E"/>
    <w:rsid w:val="008E3BDD"/>
    <w:rsid w:val="008E407A"/>
    <w:rsid w:val="008E41B0"/>
    <w:rsid w:val="008E41F5"/>
    <w:rsid w:val="008E4445"/>
    <w:rsid w:val="008E44C6"/>
    <w:rsid w:val="008E4577"/>
    <w:rsid w:val="008E46EC"/>
    <w:rsid w:val="008E495F"/>
    <w:rsid w:val="008E4BC6"/>
    <w:rsid w:val="008E4FBE"/>
    <w:rsid w:val="008E5295"/>
    <w:rsid w:val="008E5306"/>
    <w:rsid w:val="008E554F"/>
    <w:rsid w:val="008E555F"/>
    <w:rsid w:val="008E56FA"/>
    <w:rsid w:val="008E5735"/>
    <w:rsid w:val="008E5742"/>
    <w:rsid w:val="008E5759"/>
    <w:rsid w:val="008E57E4"/>
    <w:rsid w:val="008E5C04"/>
    <w:rsid w:val="008E5C11"/>
    <w:rsid w:val="008E5C46"/>
    <w:rsid w:val="008E5CF5"/>
    <w:rsid w:val="008E5D8D"/>
    <w:rsid w:val="008E5DA0"/>
    <w:rsid w:val="008E6013"/>
    <w:rsid w:val="008E608F"/>
    <w:rsid w:val="008E60FC"/>
    <w:rsid w:val="008E6146"/>
    <w:rsid w:val="008E6261"/>
    <w:rsid w:val="008E62DD"/>
    <w:rsid w:val="008E63E7"/>
    <w:rsid w:val="008E6435"/>
    <w:rsid w:val="008E6440"/>
    <w:rsid w:val="008E64EE"/>
    <w:rsid w:val="008E64F9"/>
    <w:rsid w:val="008E653E"/>
    <w:rsid w:val="008E657B"/>
    <w:rsid w:val="008E65C6"/>
    <w:rsid w:val="008E65C9"/>
    <w:rsid w:val="008E65CF"/>
    <w:rsid w:val="008E6616"/>
    <w:rsid w:val="008E6617"/>
    <w:rsid w:val="008E6619"/>
    <w:rsid w:val="008E66B6"/>
    <w:rsid w:val="008E6731"/>
    <w:rsid w:val="008E674B"/>
    <w:rsid w:val="008E67DF"/>
    <w:rsid w:val="008E69BA"/>
    <w:rsid w:val="008E6AB3"/>
    <w:rsid w:val="008E6B0D"/>
    <w:rsid w:val="008E6BEE"/>
    <w:rsid w:val="008E6DCD"/>
    <w:rsid w:val="008E6E53"/>
    <w:rsid w:val="008E6E73"/>
    <w:rsid w:val="008E6FEE"/>
    <w:rsid w:val="008E6FF5"/>
    <w:rsid w:val="008E714E"/>
    <w:rsid w:val="008E71CD"/>
    <w:rsid w:val="008E7368"/>
    <w:rsid w:val="008E7412"/>
    <w:rsid w:val="008E741D"/>
    <w:rsid w:val="008E743F"/>
    <w:rsid w:val="008E74CE"/>
    <w:rsid w:val="008E7572"/>
    <w:rsid w:val="008E7584"/>
    <w:rsid w:val="008E7688"/>
    <w:rsid w:val="008E76DC"/>
    <w:rsid w:val="008E7772"/>
    <w:rsid w:val="008E77DF"/>
    <w:rsid w:val="008E77EB"/>
    <w:rsid w:val="008E78AD"/>
    <w:rsid w:val="008E7927"/>
    <w:rsid w:val="008E79A5"/>
    <w:rsid w:val="008E7B19"/>
    <w:rsid w:val="008E7B71"/>
    <w:rsid w:val="008E7B9A"/>
    <w:rsid w:val="008E7B9D"/>
    <w:rsid w:val="008F0033"/>
    <w:rsid w:val="008F00D0"/>
    <w:rsid w:val="008F01EF"/>
    <w:rsid w:val="008F026C"/>
    <w:rsid w:val="008F026F"/>
    <w:rsid w:val="008F02A6"/>
    <w:rsid w:val="008F0396"/>
    <w:rsid w:val="008F0642"/>
    <w:rsid w:val="008F065A"/>
    <w:rsid w:val="008F0698"/>
    <w:rsid w:val="008F088E"/>
    <w:rsid w:val="008F08A2"/>
    <w:rsid w:val="008F090F"/>
    <w:rsid w:val="008F0951"/>
    <w:rsid w:val="008F09AB"/>
    <w:rsid w:val="008F0ADB"/>
    <w:rsid w:val="008F0BAB"/>
    <w:rsid w:val="008F0BBA"/>
    <w:rsid w:val="008F0BF4"/>
    <w:rsid w:val="008F0D36"/>
    <w:rsid w:val="008F0DC6"/>
    <w:rsid w:val="008F0E8F"/>
    <w:rsid w:val="008F10B6"/>
    <w:rsid w:val="008F12BD"/>
    <w:rsid w:val="008F14C7"/>
    <w:rsid w:val="008F153C"/>
    <w:rsid w:val="008F160A"/>
    <w:rsid w:val="008F1656"/>
    <w:rsid w:val="008F17C0"/>
    <w:rsid w:val="008F17CA"/>
    <w:rsid w:val="008F1815"/>
    <w:rsid w:val="008F18E4"/>
    <w:rsid w:val="008F1A44"/>
    <w:rsid w:val="008F1C95"/>
    <w:rsid w:val="008F1D42"/>
    <w:rsid w:val="008F1E9F"/>
    <w:rsid w:val="008F1EBA"/>
    <w:rsid w:val="008F1EBC"/>
    <w:rsid w:val="008F1F72"/>
    <w:rsid w:val="008F1FFD"/>
    <w:rsid w:val="008F20AE"/>
    <w:rsid w:val="008F212C"/>
    <w:rsid w:val="008F21B6"/>
    <w:rsid w:val="008F2201"/>
    <w:rsid w:val="008F229F"/>
    <w:rsid w:val="008F2352"/>
    <w:rsid w:val="008F238C"/>
    <w:rsid w:val="008F2468"/>
    <w:rsid w:val="008F2584"/>
    <w:rsid w:val="008F2597"/>
    <w:rsid w:val="008F25F9"/>
    <w:rsid w:val="008F278E"/>
    <w:rsid w:val="008F287B"/>
    <w:rsid w:val="008F293C"/>
    <w:rsid w:val="008F2A0A"/>
    <w:rsid w:val="008F2BA8"/>
    <w:rsid w:val="008F2C1C"/>
    <w:rsid w:val="008F2C80"/>
    <w:rsid w:val="008F2C81"/>
    <w:rsid w:val="008F2E7A"/>
    <w:rsid w:val="008F3028"/>
    <w:rsid w:val="008F3078"/>
    <w:rsid w:val="008F32FB"/>
    <w:rsid w:val="008F3308"/>
    <w:rsid w:val="008F3376"/>
    <w:rsid w:val="008F33D4"/>
    <w:rsid w:val="008F3456"/>
    <w:rsid w:val="008F347A"/>
    <w:rsid w:val="008F34C2"/>
    <w:rsid w:val="008F3705"/>
    <w:rsid w:val="008F3805"/>
    <w:rsid w:val="008F383D"/>
    <w:rsid w:val="008F3B42"/>
    <w:rsid w:val="008F3C27"/>
    <w:rsid w:val="008F3C9F"/>
    <w:rsid w:val="008F3D6C"/>
    <w:rsid w:val="008F3DE1"/>
    <w:rsid w:val="008F3E29"/>
    <w:rsid w:val="008F4079"/>
    <w:rsid w:val="008F40C0"/>
    <w:rsid w:val="008F40E5"/>
    <w:rsid w:val="008F41C8"/>
    <w:rsid w:val="008F41F6"/>
    <w:rsid w:val="008F4229"/>
    <w:rsid w:val="008F436E"/>
    <w:rsid w:val="008F43F4"/>
    <w:rsid w:val="008F4580"/>
    <w:rsid w:val="008F465D"/>
    <w:rsid w:val="008F46F9"/>
    <w:rsid w:val="008F4767"/>
    <w:rsid w:val="008F4875"/>
    <w:rsid w:val="008F48FC"/>
    <w:rsid w:val="008F4952"/>
    <w:rsid w:val="008F4A2E"/>
    <w:rsid w:val="008F4A82"/>
    <w:rsid w:val="008F4C04"/>
    <w:rsid w:val="008F4C3A"/>
    <w:rsid w:val="008F4C54"/>
    <w:rsid w:val="008F4D01"/>
    <w:rsid w:val="008F4D14"/>
    <w:rsid w:val="008F4D81"/>
    <w:rsid w:val="008F4DA2"/>
    <w:rsid w:val="008F4DBD"/>
    <w:rsid w:val="008F4E93"/>
    <w:rsid w:val="008F4FDA"/>
    <w:rsid w:val="008F50BB"/>
    <w:rsid w:val="008F51FC"/>
    <w:rsid w:val="008F5221"/>
    <w:rsid w:val="008F5443"/>
    <w:rsid w:val="008F5490"/>
    <w:rsid w:val="008F54B6"/>
    <w:rsid w:val="008F55C0"/>
    <w:rsid w:val="008F5613"/>
    <w:rsid w:val="008F56DA"/>
    <w:rsid w:val="008F5737"/>
    <w:rsid w:val="008F5757"/>
    <w:rsid w:val="008F59EA"/>
    <w:rsid w:val="008F5A7C"/>
    <w:rsid w:val="008F5BD0"/>
    <w:rsid w:val="008F5C57"/>
    <w:rsid w:val="008F5CDF"/>
    <w:rsid w:val="008F5D73"/>
    <w:rsid w:val="008F60EA"/>
    <w:rsid w:val="008F60F9"/>
    <w:rsid w:val="008F617E"/>
    <w:rsid w:val="008F6224"/>
    <w:rsid w:val="008F63CE"/>
    <w:rsid w:val="008F6542"/>
    <w:rsid w:val="008F65BC"/>
    <w:rsid w:val="008F65D4"/>
    <w:rsid w:val="008F6609"/>
    <w:rsid w:val="008F6655"/>
    <w:rsid w:val="008F6739"/>
    <w:rsid w:val="008F67AF"/>
    <w:rsid w:val="008F67B8"/>
    <w:rsid w:val="008F69AE"/>
    <w:rsid w:val="008F69D6"/>
    <w:rsid w:val="008F69FA"/>
    <w:rsid w:val="008F6B34"/>
    <w:rsid w:val="008F6C51"/>
    <w:rsid w:val="008F6C53"/>
    <w:rsid w:val="008F6CA0"/>
    <w:rsid w:val="008F6D01"/>
    <w:rsid w:val="008F6E92"/>
    <w:rsid w:val="008F6F14"/>
    <w:rsid w:val="008F6F60"/>
    <w:rsid w:val="008F6F65"/>
    <w:rsid w:val="008F6FA8"/>
    <w:rsid w:val="008F6FD1"/>
    <w:rsid w:val="008F71D3"/>
    <w:rsid w:val="008F7269"/>
    <w:rsid w:val="008F727E"/>
    <w:rsid w:val="008F737F"/>
    <w:rsid w:val="008F7392"/>
    <w:rsid w:val="008F73AA"/>
    <w:rsid w:val="008F757C"/>
    <w:rsid w:val="008F7683"/>
    <w:rsid w:val="008F76B1"/>
    <w:rsid w:val="008F76D5"/>
    <w:rsid w:val="008F76E7"/>
    <w:rsid w:val="008F7731"/>
    <w:rsid w:val="008F7906"/>
    <w:rsid w:val="008F7998"/>
    <w:rsid w:val="008F79EC"/>
    <w:rsid w:val="008F7ADA"/>
    <w:rsid w:val="008F7C19"/>
    <w:rsid w:val="008F7C99"/>
    <w:rsid w:val="008F7EAD"/>
    <w:rsid w:val="008F7EB6"/>
    <w:rsid w:val="008F7F4C"/>
    <w:rsid w:val="009000A8"/>
    <w:rsid w:val="009000F7"/>
    <w:rsid w:val="00900131"/>
    <w:rsid w:val="00900173"/>
    <w:rsid w:val="00900237"/>
    <w:rsid w:val="00900333"/>
    <w:rsid w:val="00900410"/>
    <w:rsid w:val="0090043C"/>
    <w:rsid w:val="009004AF"/>
    <w:rsid w:val="00900560"/>
    <w:rsid w:val="00900626"/>
    <w:rsid w:val="009006EA"/>
    <w:rsid w:val="0090071C"/>
    <w:rsid w:val="00900721"/>
    <w:rsid w:val="009007CE"/>
    <w:rsid w:val="0090085F"/>
    <w:rsid w:val="009009BB"/>
    <w:rsid w:val="009009FD"/>
    <w:rsid w:val="00900ADF"/>
    <w:rsid w:val="00900BE2"/>
    <w:rsid w:val="00900C40"/>
    <w:rsid w:val="00900C55"/>
    <w:rsid w:val="00900C67"/>
    <w:rsid w:val="00900CD1"/>
    <w:rsid w:val="00900E2D"/>
    <w:rsid w:val="00900E6D"/>
    <w:rsid w:val="00900E7E"/>
    <w:rsid w:val="00900E83"/>
    <w:rsid w:val="00900EC2"/>
    <w:rsid w:val="00900EC7"/>
    <w:rsid w:val="00900F8A"/>
    <w:rsid w:val="00900F99"/>
    <w:rsid w:val="00900FC1"/>
    <w:rsid w:val="00900FDC"/>
    <w:rsid w:val="0090103C"/>
    <w:rsid w:val="009010B1"/>
    <w:rsid w:val="009010DB"/>
    <w:rsid w:val="00901166"/>
    <w:rsid w:val="009011F8"/>
    <w:rsid w:val="009012FE"/>
    <w:rsid w:val="0090133F"/>
    <w:rsid w:val="00901353"/>
    <w:rsid w:val="0090141D"/>
    <w:rsid w:val="00901427"/>
    <w:rsid w:val="00901480"/>
    <w:rsid w:val="00901564"/>
    <w:rsid w:val="0090156E"/>
    <w:rsid w:val="009017B0"/>
    <w:rsid w:val="0090194E"/>
    <w:rsid w:val="0090196D"/>
    <w:rsid w:val="009019CD"/>
    <w:rsid w:val="00901A0A"/>
    <w:rsid w:val="00901AFD"/>
    <w:rsid w:val="00901D10"/>
    <w:rsid w:val="00901E89"/>
    <w:rsid w:val="0090216C"/>
    <w:rsid w:val="00902208"/>
    <w:rsid w:val="0090229C"/>
    <w:rsid w:val="0090229E"/>
    <w:rsid w:val="009023AE"/>
    <w:rsid w:val="009024CF"/>
    <w:rsid w:val="009024D2"/>
    <w:rsid w:val="009024FC"/>
    <w:rsid w:val="0090259F"/>
    <w:rsid w:val="0090268C"/>
    <w:rsid w:val="0090277E"/>
    <w:rsid w:val="0090282C"/>
    <w:rsid w:val="009029A5"/>
    <w:rsid w:val="009029F6"/>
    <w:rsid w:val="00902A3C"/>
    <w:rsid w:val="00902BE9"/>
    <w:rsid w:val="00902C5E"/>
    <w:rsid w:val="00902CB7"/>
    <w:rsid w:val="00902D82"/>
    <w:rsid w:val="00902EF9"/>
    <w:rsid w:val="00902F1B"/>
    <w:rsid w:val="0090309D"/>
    <w:rsid w:val="009030D5"/>
    <w:rsid w:val="0090318F"/>
    <w:rsid w:val="00903226"/>
    <w:rsid w:val="00903258"/>
    <w:rsid w:val="0090325D"/>
    <w:rsid w:val="009032D1"/>
    <w:rsid w:val="009034B9"/>
    <w:rsid w:val="00903834"/>
    <w:rsid w:val="009038EF"/>
    <w:rsid w:val="0090393B"/>
    <w:rsid w:val="009039F5"/>
    <w:rsid w:val="00903A5C"/>
    <w:rsid w:val="00903A9C"/>
    <w:rsid w:val="00903B21"/>
    <w:rsid w:val="00903B4E"/>
    <w:rsid w:val="00903D62"/>
    <w:rsid w:val="00903D68"/>
    <w:rsid w:val="00903DBC"/>
    <w:rsid w:val="00903EE6"/>
    <w:rsid w:val="00903F7F"/>
    <w:rsid w:val="00904041"/>
    <w:rsid w:val="0090424D"/>
    <w:rsid w:val="00904256"/>
    <w:rsid w:val="0090433C"/>
    <w:rsid w:val="0090447D"/>
    <w:rsid w:val="00904493"/>
    <w:rsid w:val="009045E8"/>
    <w:rsid w:val="009046A3"/>
    <w:rsid w:val="00904776"/>
    <w:rsid w:val="0090480D"/>
    <w:rsid w:val="009048B4"/>
    <w:rsid w:val="009048CA"/>
    <w:rsid w:val="00904A42"/>
    <w:rsid w:val="00904A7B"/>
    <w:rsid w:val="00904A7C"/>
    <w:rsid w:val="00904B46"/>
    <w:rsid w:val="00904DE1"/>
    <w:rsid w:val="00904DED"/>
    <w:rsid w:val="00904E0D"/>
    <w:rsid w:val="00904E16"/>
    <w:rsid w:val="00904E5A"/>
    <w:rsid w:val="00904F59"/>
    <w:rsid w:val="009050C9"/>
    <w:rsid w:val="009050DF"/>
    <w:rsid w:val="00905209"/>
    <w:rsid w:val="009052C5"/>
    <w:rsid w:val="009052F0"/>
    <w:rsid w:val="0090533B"/>
    <w:rsid w:val="009054A6"/>
    <w:rsid w:val="00905501"/>
    <w:rsid w:val="00905555"/>
    <w:rsid w:val="0090555E"/>
    <w:rsid w:val="0090565C"/>
    <w:rsid w:val="00905663"/>
    <w:rsid w:val="00905845"/>
    <w:rsid w:val="0090598E"/>
    <w:rsid w:val="00905A78"/>
    <w:rsid w:val="00905C35"/>
    <w:rsid w:val="00905DB4"/>
    <w:rsid w:val="00905EA5"/>
    <w:rsid w:val="00906258"/>
    <w:rsid w:val="0090628E"/>
    <w:rsid w:val="0090646D"/>
    <w:rsid w:val="00906491"/>
    <w:rsid w:val="0090659E"/>
    <w:rsid w:val="00906625"/>
    <w:rsid w:val="0090675D"/>
    <w:rsid w:val="009067DC"/>
    <w:rsid w:val="00906960"/>
    <w:rsid w:val="00906A2C"/>
    <w:rsid w:val="00906A58"/>
    <w:rsid w:val="00906B46"/>
    <w:rsid w:val="00906C32"/>
    <w:rsid w:val="00906CBB"/>
    <w:rsid w:val="00906D19"/>
    <w:rsid w:val="00906D94"/>
    <w:rsid w:val="00906E05"/>
    <w:rsid w:val="00906E1A"/>
    <w:rsid w:val="00906EA5"/>
    <w:rsid w:val="00906F44"/>
    <w:rsid w:val="00906FD9"/>
    <w:rsid w:val="00907133"/>
    <w:rsid w:val="009071A0"/>
    <w:rsid w:val="00907418"/>
    <w:rsid w:val="00907533"/>
    <w:rsid w:val="00907651"/>
    <w:rsid w:val="009076AA"/>
    <w:rsid w:val="00907713"/>
    <w:rsid w:val="009078D3"/>
    <w:rsid w:val="00907AD8"/>
    <w:rsid w:val="00907BCD"/>
    <w:rsid w:val="00907BE9"/>
    <w:rsid w:val="00907CE9"/>
    <w:rsid w:val="00907D6F"/>
    <w:rsid w:val="00907E30"/>
    <w:rsid w:val="00907E83"/>
    <w:rsid w:val="00907E9C"/>
    <w:rsid w:val="00907EBA"/>
    <w:rsid w:val="00907F71"/>
    <w:rsid w:val="00907FB7"/>
    <w:rsid w:val="00910052"/>
    <w:rsid w:val="009101DA"/>
    <w:rsid w:val="0091024C"/>
    <w:rsid w:val="009102CF"/>
    <w:rsid w:val="0091033C"/>
    <w:rsid w:val="0091038A"/>
    <w:rsid w:val="0091047D"/>
    <w:rsid w:val="00910580"/>
    <w:rsid w:val="009105C5"/>
    <w:rsid w:val="009105CF"/>
    <w:rsid w:val="00910602"/>
    <w:rsid w:val="0091060C"/>
    <w:rsid w:val="0091060F"/>
    <w:rsid w:val="0091068F"/>
    <w:rsid w:val="00910704"/>
    <w:rsid w:val="00910710"/>
    <w:rsid w:val="00910711"/>
    <w:rsid w:val="009108F4"/>
    <w:rsid w:val="0091091C"/>
    <w:rsid w:val="0091099D"/>
    <w:rsid w:val="009109C9"/>
    <w:rsid w:val="00910A4D"/>
    <w:rsid w:val="00910AAC"/>
    <w:rsid w:val="00910B3F"/>
    <w:rsid w:val="00910B46"/>
    <w:rsid w:val="00910BA8"/>
    <w:rsid w:val="00910C03"/>
    <w:rsid w:val="00910C2A"/>
    <w:rsid w:val="00910C46"/>
    <w:rsid w:val="00910CEB"/>
    <w:rsid w:val="00910F83"/>
    <w:rsid w:val="00910FCF"/>
    <w:rsid w:val="00910FF7"/>
    <w:rsid w:val="00911258"/>
    <w:rsid w:val="0091126A"/>
    <w:rsid w:val="009112CE"/>
    <w:rsid w:val="00911305"/>
    <w:rsid w:val="009114E2"/>
    <w:rsid w:val="00911624"/>
    <w:rsid w:val="0091164F"/>
    <w:rsid w:val="0091178D"/>
    <w:rsid w:val="00911813"/>
    <w:rsid w:val="00911831"/>
    <w:rsid w:val="00911865"/>
    <w:rsid w:val="00911884"/>
    <w:rsid w:val="009118A5"/>
    <w:rsid w:val="0091190C"/>
    <w:rsid w:val="00911E8B"/>
    <w:rsid w:val="00911F51"/>
    <w:rsid w:val="009120B8"/>
    <w:rsid w:val="009121DB"/>
    <w:rsid w:val="00912269"/>
    <w:rsid w:val="0091231B"/>
    <w:rsid w:val="00912348"/>
    <w:rsid w:val="00912361"/>
    <w:rsid w:val="009123AA"/>
    <w:rsid w:val="009123B1"/>
    <w:rsid w:val="00912440"/>
    <w:rsid w:val="00912468"/>
    <w:rsid w:val="009125AA"/>
    <w:rsid w:val="009125D0"/>
    <w:rsid w:val="00912614"/>
    <w:rsid w:val="0091264A"/>
    <w:rsid w:val="00912772"/>
    <w:rsid w:val="009127F1"/>
    <w:rsid w:val="00912A6A"/>
    <w:rsid w:val="00912A9B"/>
    <w:rsid w:val="00912BF9"/>
    <w:rsid w:val="00912C95"/>
    <w:rsid w:val="00912D95"/>
    <w:rsid w:val="00912ECE"/>
    <w:rsid w:val="00913147"/>
    <w:rsid w:val="009131AA"/>
    <w:rsid w:val="009131C5"/>
    <w:rsid w:val="00913265"/>
    <w:rsid w:val="0091337C"/>
    <w:rsid w:val="00913466"/>
    <w:rsid w:val="009134C9"/>
    <w:rsid w:val="009135E2"/>
    <w:rsid w:val="009136ED"/>
    <w:rsid w:val="00913829"/>
    <w:rsid w:val="00913992"/>
    <w:rsid w:val="00913A6F"/>
    <w:rsid w:val="00913CA9"/>
    <w:rsid w:val="00913D0D"/>
    <w:rsid w:val="00913D91"/>
    <w:rsid w:val="00913DC9"/>
    <w:rsid w:val="00913DE9"/>
    <w:rsid w:val="00913E21"/>
    <w:rsid w:val="00913EDF"/>
    <w:rsid w:val="00913F25"/>
    <w:rsid w:val="00913F2D"/>
    <w:rsid w:val="00913F97"/>
    <w:rsid w:val="009140D7"/>
    <w:rsid w:val="00914102"/>
    <w:rsid w:val="00914132"/>
    <w:rsid w:val="00914413"/>
    <w:rsid w:val="00914429"/>
    <w:rsid w:val="009144AA"/>
    <w:rsid w:val="00914520"/>
    <w:rsid w:val="00914590"/>
    <w:rsid w:val="0091462D"/>
    <w:rsid w:val="009147D9"/>
    <w:rsid w:val="00914821"/>
    <w:rsid w:val="00914A58"/>
    <w:rsid w:val="00914B60"/>
    <w:rsid w:val="00914BD2"/>
    <w:rsid w:val="00914D6E"/>
    <w:rsid w:val="00914E3E"/>
    <w:rsid w:val="00914EEF"/>
    <w:rsid w:val="0091525A"/>
    <w:rsid w:val="0091530E"/>
    <w:rsid w:val="009153E7"/>
    <w:rsid w:val="00915413"/>
    <w:rsid w:val="00915431"/>
    <w:rsid w:val="0091545F"/>
    <w:rsid w:val="009154EC"/>
    <w:rsid w:val="009156E1"/>
    <w:rsid w:val="0091586D"/>
    <w:rsid w:val="00915893"/>
    <w:rsid w:val="00915970"/>
    <w:rsid w:val="00915A31"/>
    <w:rsid w:val="00915A94"/>
    <w:rsid w:val="00915B25"/>
    <w:rsid w:val="00915B77"/>
    <w:rsid w:val="00915C87"/>
    <w:rsid w:val="00915D20"/>
    <w:rsid w:val="00915D35"/>
    <w:rsid w:val="00915EAD"/>
    <w:rsid w:val="00915F1C"/>
    <w:rsid w:val="00915FFC"/>
    <w:rsid w:val="0091603D"/>
    <w:rsid w:val="009160A9"/>
    <w:rsid w:val="009160BD"/>
    <w:rsid w:val="009161AF"/>
    <w:rsid w:val="00916213"/>
    <w:rsid w:val="00916374"/>
    <w:rsid w:val="009164A4"/>
    <w:rsid w:val="00916633"/>
    <w:rsid w:val="00916693"/>
    <w:rsid w:val="00916702"/>
    <w:rsid w:val="00916820"/>
    <w:rsid w:val="00916940"/>
    <w:rsid w:val="00916AAB"/>
    <w:rsid w:val="00916B70"/>
    <w:rsid w:val="00916B7F"/>
    <w:rsid w:val="00916C07"/>
    <w:rsid w:val="00916C3B"/>
    <w:rsid w:val="00916CC9"/>
    <w:rsid w:val="00916D4F"/>
    <w:rsid w:val="00916E67"/>
    <w:rsid w:val="00916EC8"/>
    <w:rsid w:val="00916F23"/>
    <w:rsid w:val="00916FAA"/>
    <w:rsid w:val="00916FC6"/>
    <w:rsid w:val="00917015"/>
    <w:rsid w:val="00917075"/>
    <w:rsid w:val="0091707A"/>
    <w:rsid w:val="009170C1"/>
    <w:rsid w:val="00917198"/>
    <w:rsid w:val="009173A2"/>
    <w:rsid w:val="0091757D"/>
    <w:rsid w:val="0091766A"/>
    <w:rsid w:val="00917788"/>
    <w:rsid w:val="009177CB"/>
    <w:rsid w:val="00917847"/>
    <w:rsid w:val="0091790A"/>
    <w:rsid w:val="0091791D"/>
    <w:rsid w:val="00917950"/>
    <w:rsid w:val="00917A4F"/>
    <w:rsid w:val="00917A8B"/>
    <w:rsid w:val="00917AAA"/>
    <w:rsid w:val="00917B4C"/>
    <w:rsid w:val="00917B77"/>
    <w:rsid w:val="00917BA8"/>
    <w:rsid w:val="00917C51"/>
    <w:rsid w:val="00917C78"/>
    <w:rsid w:val="00917CE9"/>
    <w:rsid w:val="00917D3F"/>
    <w:rsid w:val="00917E3A"/>
    <w:rsid w:val="009192ED"/>
    <w:rsid w:val="00920208"/>
    <w:rsid w:val="00920276"/>
    <w:rsid w:val="009203A2"/>
    <w:rsid w:val="009203DF"/>
    <w:rsid w:val="00920457"/>
    <w:rsid w:val="0092047D"/>
    <w:rsid w:val="009204D9"/>
    <w:rsid w:val="0092059B"/>
    <w:rsid w:val="009205D6"/>
    <w:rsid w:val="0092061F"/>
    <w:rsid w:val="00920637"/>
    <w:rsid w:val="009206AD"/>
    <w:rsid w:val="009207A2"/>
    <w:rsid w:val="00920953"/>
    <w:rsid w:val="009209B9"/>
    <w:rsid w:val="00920A13"/>
    <w:rsid w:val="00920AB5"/>
    <w:rsid w:val="00920B7B"/>
    <w:rsid w:val="00920B80"/>
    <w:rsid w:val="00920BA8"/>
    <w:rsid w:val="00920C36"/>
    <w:rsid w:val="00920C96"/>
    <w:rsid w:val="00920CC8"/>
    <w:rsid w:val="00920D89"/>
    <w:rsid w:val="00921002"/>
    <w:rsid w:val="0092104C"/>
    <w:rsid w:val="0092111A"/>
    <w:rsid w:val="00921140"/>
    <w:rsid w:val="00921169"/>
    <w:rsid w:val="0092128C"/>
    <w:rsid w:val="009212E6"/>
    <w:rsid w:val="0092135F"/>
    <w:rsid w:val="009213A1"/>
    <w:rsid w:val="009213F5"/>
    <w:rsid w:val="00921473"/>
    <w:rsid w:val="0092148E"/>
    <w:rsid w:val="009214A2"/>
    <w:rsid w:val="00921526"/>
    <w:rsid w:val="009215E8"/>
    <w:rsid w:val="009216F9"/>
    <w:rsid w:val="00921771"/>
    <w:rsid w:val="009218E7"/>
    <w:rsid w:val="00921971"/>
    <w:rsid w:val="00921A49"/>
    <w:rsid w:val="00921C22"/>
    <w:rsid w:val="00921C97"/>
    <w:rsid w:val="00921C9A"/>
    <w:rsid w:val="00921CE1"/>
    <w:rsid w:val="00921D5C"/>
    <w:rsid w:val="00922097"/>
    <w:rsid w:val="0092235F"/>
    <w:rsid w:val="00922360"/>
    <w:rsid w:val="0092246A"/>
    <w:rsid w:val="00922530"/>
    <w:rsid w:val="00922652"/>
    <w:rsid w:val="009226BA"/>
    <w:rsid w:val="00922761"/>
    <w:rsid w:val="00922ADC"/>
    <w:rsid w:val="00922B4E"/>
    <w:rsid w:val="00922B8D"/>
    <w:rsid w:val="00922C2B"/>
    <w:rsid w:val="00922CC8"/>
    <w:rsid w:val="00922D3C"/>
    <w:rsid w:val="00922E6C"/>
    <w:rsid w:val="00922EE1"/>
    <w:rsid w:val="00923041"/>
    <w:rsid w:val="00923072"/>
    <w:rsid w:val="00923122"/>
    <w:rsid w:val="00923137"/>
    <w:rsid w:val="00923183"/>
    <w:rsid w:val="009231CE"/>
    <w:rsid w:val="00923242"/>
    <w:rsid w:val="0092327B"/>
    <w:rsid w:val="0092330B"/>
    <w:rsid w:val="00923483"/>
    <w:rsid w:val="009234B9"/>
    <w:rsid w:val="009234D5"/>
    <w:rsid w:val="009236B9"/>
    <w:rsid w:val="00923709"/>
    <w:rsid w:val="009237B4"/>
    <w:rsid w:val="009237FD"/>
    <w:rsid w:val="00923955"/>
    <w:rsid w:val="0092398A"/>
    <w:rsid w:val="00923A5A"/>
    <w:rsid w:val="00923BEA"/>
    <w:rsid w:val="00923D53"/>
    <w:rsid w:val="00923D62"/>
    <w:rsid w:val="00923E0D"/>
    <w:rsid w:val="00923E7B"/>
    <w:rsid w:val="00923F9E"/>
    <w:rsid w:val="00923FCF"/>
    <w:rsid w:val="009240D5"/>
    <w:rsid w:val="009241BC"/>
    <w:rsid w:val="00924271"/>
    <w:rsid w:val="009242A6"/>
    <w:rsid w:val="009242EE"/>
    <w:rsid w:val="00924362"/>
    <w:rsid w:val="00924397"/>
    <w:rsid w:val="0092446C"/>
    <w:rsid w:val="009244C4"/>
    <w:rsid w:val="00924518"/>
    <w:rsid w:val="0092466C"/>
    <w:rsid w:val="00924708"/>
    <w:rsid w:val="009247AF"/>
    <w:rsid w:val="009247E8"/>
    <w:rsid w:val="00924833"/>
    <w:rsid w:val="009248A4"/>
    <w:rsid w:val="0092494C"/>
    <w:rsid w:val="00924954"/>
    <w:rsid w:val="009249DD"/>
    <w:rsid w:val="00924A03"/>
    <w:rsid w:val="00924ACF"/>
    <w:rsid w:val="00924AF9"/>
    <w:rsid w:val="00924B0E"/>
    <w:rsid w:val="00924B8C"/>
    <w:rsid w:val="00924BAF"/>
    <w:rsid w:val="00924C12"/>
    <w:rsid w:val="00924C5E"/>
    <w:rsid w:val="00924D33"/>
    <w:rsid w:val="00924EC8"/>
    <w:rsid w:val="00925135"/>
    <w:rsid w:val="009251C7"/>
    <w:rsid w:val="009251E9"/>
    <w:rsid w:val="00925217"/>
    <w:rsid w:val="00925373"/>
    <w:rsid w:val="0092540E"/>
    <w:rsid w:val="00925417"/>
    <w:rsid w:val="00925474"/>
    <w:rsid w:val="0092555E"/>
    <w:rsid w:val="009255FF"/>
    <w:rsid w:val="00925652"/>
    <w:rsid w:val="00925663"/>
    <w:rsid w:val="00925698"/>
    <w:rsid w:val="0092579D"/>
    <w:rsid w:val="009258CD"/>
    <w:rsid w:val="009258D9"/>
    <w:rsid w:val="009258E1"/>
    <w:rsid w:val="00925905"/>
    <w:rsid w:val="00925937"/>
    <w:rsid w:val="00925996"/>
    <w:rsid w:val="0092599A"/>
    <w:rsid w:val="00925A1D"/>
    <w:rsid w:val="00925AA9"/>
    <w:rsid w:val="00925ACB"/>
    <w:rsid w:val="00925BED"/>
    <w:rsid w:val="00925C9A"/>
    <w:rsid w:val="00925CAE"/>
    <w:rsid w:val="00925D00"/>
    <w:rsid w:val="00925D7D"/>
    <w:rsid w:val="00925E05"/>
    <w:rsid w:val="00925E0D"/>
    <w:rsid w:val="00925E3B"/>
    <w:rsid w:val="00925EA7"/>
    <w:rsid w:val="00925EDD"/>
    <w:rsid w:val="00925F14"/>
    <w:rsid w:val="009260B1"/>
    <w:rsid w:val="009260D6"/>
    <w:rsid w:val="0092617D"/>
    <w:rsid w:val="00926208"/>
    <w:rsid w:val="00926296"/>
    <w:rsid w:val="009262F8"/>
    <w:rsid w:val="00926352"/>
    <w:rsid w:val="009263AA"/>
    <w:rsid w:val="00926413"/>
    <w:rsid w:val="009264D4"/>
    <w:rsid w:val="009264FD"/>
    <w:rsid w:val="00926634"/>
    <w:rsid w:val="00926729"/>
    <w:rsid w:val="00926858"/>
    <w:rsid w:val="00926925"/>
    <w:rsid w:val="00926B25"/>
    <w:rsid w:val="00926B7A"/>
    <w:rsid w:val="00926BF4"/>
    <w:rsid w:val="00926D30"/>
    <w:rsid w:val="00926D35"/>
    <w:rsid w:val="00926DB2"/>
    <w:rsid w:val="00926EAE"/>
    <w:rsid w:val="009270D6"/>
    <w:rsid w:val="00927120"/>
    <w:rsid w:val="009271C8"/>
    <w:rsid w:val="00927242"/>
    <w:rsid w:val="00927330"/>
    <w:rsid w:val="00927356"/>
    <w:rsid w:val="009273D9"/>
    <w:rsid w:val="00927448"/>
    <w:rsid w:val="00927460"/>
    <w:rsid w:val="009274FB"/>
    <w:rsid w:val="0092755E"/>
    <w:rsid w:val="009275CB"/>
    <w:rsid w:val="0092760E"/>
    <w:rsid w:val="0092764C"/>
    <w:rsid w:val="009276AD"/>
    <w:rsid w:val="0092786A"/>
    <w:rsid w:val="00927902"/>
    <w:rsid w:val="00927988"/>
    <w:rsid w:val="009279AD"/>
    <w:rsid w:val="009279C6"/>
    <w:rsid w:val="009279EC"/>
    <w:rsid w:val="009279FE"/>
    <w:rsid w:val="00927A36"/>
    <w:rsid w:val="00927AD4"/>
    <w:rsid w:val="00927B7C"/>
    <w:rsid w:val="00927C2D"/>
    <w:rsid w:val="00927CB4"/>
    <w:rsid w:val="00927DAB"/>
    <w:rsid w:val="00927E36"/>
    <w:rsid w:val="00927EA3"/>
    <w:rsid w:val="00930011"/>
    <w:rsid w:val="009301B2"/>
    <w:rsid w:val="009301CD"/>
    <w:rsid w:val="009302E2"/>
    <w:rsid w:val="009302F5"/>
    <w:rsid w:val="00930337"/>
    <w:rsid w:val="009303C5"/>
    <w:rsid w:val="009303C9"/>
    <w:rsid w:val="009304A5"/>
    <w:rsid w:val="00930512"/>
    <w:rsid w:val="009306A1"/>
    <w:rsid w:val="0093075E"/>
    <w:rsid w:val="00930823"/>
    <w:rsid w:val="00930917"/>
    <w:rsid w:val="009309B3"/>
    <w:rsid w:val="00930A60"/>
    <w:rsid w:val="00930B08"/>
    <w:rsid w:val="00930B47"/>
    <w:rsid w:val="00930BB8"/>
    <w:rsid w:val="00930BE0"/>
    <w:rsid w:val="00930C80"/>
    <w:rsid w:val="00930CB5"/>
    <w:rsid w:val="00930E97"/>
    <w:rsid w:val="0093105C"/>
    <w:rsid w:val="00931119"/>
    <w:rsid w:val="00931121"/>
    <w:rsid w:val="00931204"/>
    <w:rsid w:val="009313CB"/>
    <w:rsid w:val="0093145E"/>
    <w:rsid w:val="009315CF"/>
    <w:rsid w:val="009317BA"/>
    <w:rsid w:val="0093182B"/>
    <w:rsid w:val="00931838"/>
    <w:rsid w:val="009319E5"/>
    <w:rsid w:val="00931B32"/>
    <w:rsid w:val="00931C51"/>
    <w:rsid w:val="00931CDE"/>
    <w:rsid w:val="00931DE6"/>
    <w:rsid w:val="00931EFD"/>
    <w:rsid w:val="00931F0A"/>
    <w:rsid w:val="00932038"/>
    <w:rsid w:val="00932202"/>
    <w:rsid w:val="00932387"/>
    <w:rsid w:val="0093247B"/>
    <w:rsid w:val="00932538"/>
    <w:rsid w:val="00932626"/>
    <w:rsid w:val="00932717"/>
    <w:rsid w:val="0093281F"/>
    <w:rsid w:val="00932866"/>
    <w:rsid w:val="009328A3"/>
    <w:rsid w:val="0093293F"/>
    <w:rsid w:val="00932BA6"/>
    <w:rsid w:val="00932BCA"/>
    <w:rsid w:val="00932C1E"/>
    <w:rsid w:val="00932FED"/>
    <w:rsid w:val="00933044"/>
    <w:rsid w:val="009330C9"/>
    <w:rsid w:val="009330F7"/>
    <w:rsid w:val="0093313C"/>
    <w:rsid w:val="009332A3"/>
    <w:rsid w:val="0093332C"/>
    <w:rsid w:val="00933394"/>
    <w:rsid w:val="009333A3"/>
    <w:rsid w:val="009333D0"/>
    <w:rsid w:val="00933414"/>
    <w:rsid w:val="00933579"/>
    <w:rsid w:val="009335EA"/>
    <w:rsid w:val="009336FD"/>
    <w:rsid w:val="0093380C"/>
    <w:rsid w:val="009338E1"/>
    <w:rsid w:val="00933994"/>
    <w:rsid w:val="00933A19"/>
    <w:rsid w:val="00933A75"/>
    <w:rsid w:val="00933A9A"/>
    <w:rsid w:val="00933ADF"/>
    <w:rsid w:val="00933AF5"/>
    <w:rsid w:val="00933B5D"/>
    <w:rsid w:val="00933C22"/>
    <w:rsid w:val="00933C63"/>
    <w:rsid w:val="00933CC3"/>
    <w:rsid w:val="00933D7B"/>
    <w:rsid w:val="00933E4D"/>
    <w:rsid w:val="00933EBB"/>
    <w:rsid w:val="00933F23"/>
    <w:rsid w:val="00933FEC"/>
    <w:rsid w:val="009341AA"/>
    <w:rsid w:val="009341C8"/>
    <w:rsid w:val="00934218"/>
    <w:rsid w:val="00934234"/>
    <w:rsid w:val="0093436F"/>
    <w:rsid w:val="009343BA"/>
    <w:rsid w:val="00934443"/>
    <w:rsid w:val="009345FF"/>
    <w:rsid w:val="00934AA7"/>
    <w:rsid w:val="00934BC0"/>
    <w:rsid w:val="00934C29"/>
    <w:rsid w:val="00934C38"/>
    <w:rsid w:val="00934C69"/>
    <w:rsid w:val="00934DFC"/>
    <w:rsid w:val="00934EB4"/>
    <w:rsid w:val="00934F09"/>
    <w:rsid w:val="00934F76"/>
    <w:rsid w:val="0093505C"/>
    <w:rsid w:val="00935140"/>
    <w:rsid w:val="00935198"/>
    <w:rsid w:val="00935207"/>
    <w:rsid w:val="0093521A"/>
    <w:rsid w:val="009352E6"/>
    <w:rsid w:val="00935583"/>
    <w:rsid w:val="009355A6"/>
    <w:rsid w:val="00935606"/>
    <w:rsid w:val="00935649"/>
    <w:rsid w:val="009357D2"/>
    <w:rsid w:val="009357FC"/>
    <w:rsid w:val="00935822"/>
    <w:rsid w:val="00935892"/>
    <w:rsid w:val="009359E8"/>
    <w:rsid w:val="009359F6"/>
    <w:rsid w:val="00935B0B"/>
    <w:rsid w:val="00935B49"/>
    <w:rsid w:val="00935B82"/>
    <w:rsid w:val="00935BB6"/>
    <w:rsid w:val="00935D1F"/>
    <w:rsid w:val="00935E77"/>
    <w:rsid w:val="00935EDD"/>
    <w:rsid w:val="00935F37"/>
    <w:rsid w:val="00935FB1"/>
    <w:rsid w:val="0093607A"/>
    <w:rsid w:val="00936147"/>
    <w:rsid w:val="00936256"/>
    <w:rsid w:val="009362BE"/>
    <w:rsid w:val="00936382"/>
    <w:rsid w:val="0093645C"/>
    <w:rsid w:val="00936499"/>
    <w:rsid w:val="0093669B"/>
    <w:rsid w:val="009367E5"/>
    <w:rsid w:val="009368E4"/>
    <w:rsid w:val="009369C7"/>
    <w:rsid w:val="00936AC1"/>
    <w:rsid w:val="00936B21"/>
    <w:rsid w:val="00936BB9"/>
    <w:rsid w:val="00936C15"/>
    <w:rsid w:val="00936CE7"/>
    <w:rsid w:val="00936D8F"/>
    <w:rsid w:val="00936DC8"/>
    <w:rsid w:val="00936DD4"/>
    <w:rsid w:val="00936ED8"/>
    <w:rsid w:val="00936EE3"/>
    <w:rsid w:val="00936EE4"/>
    <w:rsid w:val="00936FA0"/>
    <w:rsid w:val="00937034"/>
    <w:rsid w:val="0093720B"/>
    <w:rsid w:val="00937315"/>
    <w:rsid w:val="00937416"/>
    <w:rsid w:val="009374C1"/>
    <w:rsid w:val="00937598"/>
    <w:rsid w:val="009376BC"/>
    <w:rsid w:val="009377CA"/>
    <w:rsid w:val="009377FD"/>
    <w:rsid w:val="00937929"/>
    <w:rsid w:val="00937991"/>
    <w:rsid w:val="00937A09"/>
    <w:rsid w:val="00937A19"/>
    <w:rsid w:val="00937ADA"/>
    <w:rsid w:val="00937BE2"/>
    <w:rsid w:val="00937CD3"/>
    <w:rsid w:val="00937D07"/>
    <w:rsid w:val="00937D3B"/>
    <w:rsid w:val="00937F34"/>
    <w:rsid w:val="00937F50"/>
    <w:rsid w:val="00937FC3"/>
    <w:rsid w:val="009400FE"/>
    <w:rsid w:val="009401C7"/>
    <w:rsid w:val="009403D0"/>
    <w:rsid w:val="009403F0"/>
    <w:rsid w:val="0094047D"/>
    <w:rsid w:val="0094049B"/>
    <w:rsid w:val="0094056D"/>
    <w:rsid w:val="00940613"/>
    <w:rsid w:val="0094066C"/>
    <w:rsid w:val="00940799"/>
    <w:rsid w:val="0094091A"/>
    <w:rsid w:val="00940930"/>
    <w:rsid w:val="00940989"/>
    <w:rsid w:val="00940994"/>
    <w:rsid w:val="00940A44"/>
    <w:rsid w:val="00940A49"/>
    <w:rsid w:val="00940A58"/>
    <w:rsid w:val="00940A83"/>
    <w:rsid w:val="00940AA9"/>
    <w:rsid w:val="00940B4C"/>
    <w:rsid w:val="00940B4F"/>
    <w:rsid w:val="00940DD8"/>
    <w:rsid w:val="00940E09"/>
    <w:rsid w:val="00940E33"/>
    <w:rsid w:val="00940E78"/>
    <w:rsid w:val="00940FA8"/>
    <w:rsid w:val="009410A8"/>
    <w:rsid w:val="00941179"/>
    <w:rsid w:val="0094117F"/>
    <w:rsid w:val="009411D7"/>
    <w:rsid w:val="009411F9"/>
    <w:rsid w:val="009413A3"/>
    <w:rsid w:val="00941407"/>
    <w:rsid w:val="0094141D"/>
    <w:rsid w:val="0094146E"/>
    <w:rsid w:val="009416AB"/>
    <w:rsid w:val="0094177A"/>
    <w:rsid w:val="00941954"/>
    <w:rsid w:val="00941A2D"/>
    <w:rsid w:val="00941A8A"/>
    <w:rsid w:val="00941B8B"/>
    <w:rsid w:val="00941C8B"/>
    <w:rsid w:val="00941E5C"/>
    <w:rsid w:val="00941EEE"/>
    <w:rsid w:val="00941F47"/>
    <w:rsid w:val="0094203E"/>
    <w:rsid w:val="00942231"/>
    <w:rsid w:val="009422CD"/>
    <w:rsid w:val="009423C9"/>
    <w:rsid w:val="00942473"/>
    <w:rsid w:val="009425F6"/>
    <w:rsid w:val="00942681"/>
    <w:rsid w:val="00942745"/>
    <w:rsid w:val="00942749"/>
    <w:rsid w:val="00942890"/>
    <w:rsid w:val="009428AA"/>
    <w:rsid w:val="00942B09"/>
    <w:rsid w:val="00942BCE"/>
    <w:rsid w:val="00942BEC"/>
    <w:rsid w:val="00942C72"/>
    <w:rsid w:val="00942CB7"/>
    <w:rsid w:val="00942D05"/>
    <w:rsid w:val="00942DE3"/>
    <w:rsid w:val="00942E17"/>
    <w:rsid w:val="00942EBD"/>
    <w:rsid w:val="00943139"/>
    <w:rsid w:val="0094328D"/>
    <w:rsid w:val="009432D0"/>
    <w:rsid w:val="0094333B"/>
    <w:rsid w:val="00943346"/>
    <w:rsid w:val="009433CF"/>
    <w:rsid w:val="0094340B"/>
    <w:rsid w:val="00943413"/>
    <w:rsid w:val="00943719"/>
    <w:rsid w:val="0094376D"/>
    <w:rsid w:val="009437A9"/>
    <w:rsid w:val="009437DB"/>
    <w:rsid w:val="00943805"/>
    <w:rsid w:val="00943822"/>
    <w:rsid w:val="00943865"/>
    <w:rsid w:val="0094389F"/>
    <w:rsid w:val="0094392D"/>
    <w:rsid w:val="009439F9"/>
    <w:rsid w:val="009439FC"/>
    <w:rsid w:val="00943B74"/>
    <w:rsid w:val="00943BD9"/>
    <w:rsid w:val="00943BEA"/>
    <w:rsid w:val="00943C01"/>
    <w:rsid w:val="00943C1C"/>
    <w:rsid w:val="00943CD9"/>
    <w:rsid w:val="00943D55"/>
    <w:rsid w:val="00943E00"/>
    <w:rsid w:val="00943EF3"/>
    <w:rsid w:val="009440A7"/>
    <w:rsid w:val="009440CD"/>
    <w:rsid w:val="009441C5"/>
    <w:rsid w:val="00944200"/>
    <w:rsid w:val="009442DD"/>
    <w:rsid w:val="00944369"/>
    <w:rsid w:val="0094439A"/>
    <w:rsid w:val="009443E0"/>
    <w:rsid w:val="00944480"/>
    <w:rsid w:val="009444CB"/>
    <w:rsid w:val="009444D6"/>
    <w:rsid w:val="009445A8"/>
    <w:rsid w:val="00944625"/>
    <w:rsid w:val="00944700"/>
    <w:rsid w:val="009447D1"/>
    <w:rsid w:val="00944979"/>
    <w:rsid w:val="009449D5"/>
    <w:rsid w:val="00944B5E"/>
    <w:rsid w:val="00944BA6"/>
    <w:rsid w:val="00944BD7"/>
    <w:rsid w:val="00944BEC"/>
    <w:rsid w:val="00944C1C"/>
    <w:rsid w:val="00944C28"/>
    <w:rsid w:val="00944C44"/>
    <w:rsid w:val="00944CC2"/>
    <w:rsid w:val="00944CD3"/>
    <w:rsid w:val="00944D2B"/>
    <w:rsid w:val="00944DD3"/>
    <w:rsid w:val="00944E3C"/>
    <w:rsid w:val="00944E3F"/>
    <w:rsid w:val="00944E60"/>
    <w:rsid w:val="00944E9A"/>
    <w:rsid w:val="00944FB0"/>
    <w:rsid w:val="00945059"/>
    <w:rsid w:val="0094530C"/>
    <w:rsid w:val="00945350"/>
    <w:rsid w:val="0094535B"/>
    <w:rsid w:val="0094547B"/>
    <w:rsid w:val="009454A5"/>
    <w:rsid w:val="009455F1"/>
    <w:rsid w:val="0094560C"/>
    <w:rsid w:val="00945788"/>
    <w:rsid w:val="009457EC"/>
    <w:rsid w:val="00945808"/>
    <w:rsid w:val="0094595C"/>
    <w:rsid w:val="00945A34"/>
    <w:rsid w:val="00945AEC"/>
    <w:rsid w:val="00945BAA"/>
    <w:rsid w:val="00945F18"/>
    <w:rsid w:val="00945F4B"/>
    <w:rsid w:val="00945F9F"/>
    <w:rsid w:val="00945FA1"/>
    <w:rsid w:val="00945FFA"/>
    <w:rsid w:val="0094606B"/>
    <w:rsid w:val="009460D9"/>
    <w:rsid w:val="00946202"/>
    <w:rsid w:val="00946204"/>
    <w:rsid w:val="00946287"/>
    <w:rsid w:val="0094628F"/>
    <w:rsid w:val="0094644C"/>
    <w:rsid w:val="0094645C"/>
    <w:rsid w:val="009464A3"/>
    <w:rsid w:val="00946521"/>
    <w:rsid w:val="0094658A"/>
    <w:rsid w:val="00946685"/>
    <w:rsid w:val="0094668B"/>
    <w:rsid w:val="00946792"/>
    <w:rsid w:val="00946844"/>
    <w:rsid w:val="00946859"/>
    <w:rsid w:val="009468CE"/>
    <w:rsid w:val="00946999"/>
    <w:rsid w:val="00946AB3"/>
    <w:rsid w:val="00946AFC"/>
    <w:rsid w:val="00946C7C"/>
    <w:rsid w:val="00946CEA"/>
    <w:rsid w:val="00946D5B"/>
    <w:rsid w:val="00946D5C"/>
    <w:rsid w:val="00946D83"/>
    <w:rsid w:val="00946D95"/>
    <w:rsid w:val="00946E0C"/>
    <w:rsid w:val="00946E64"/>
    <w:rsid w:val="00946E88"/>
    <w:rsid w:val="00946EF0"/>
    <w:rsid w:val="00946F21"/>
    <w:rsid w:val="0094712A"/>
    <w:rsid w:val="00947266"/>
    <w:rsid w:val="009472D2"/>
    <w:rsid w:val="00947324"/>
    <w:rsid w:val="00947394"/>
    <w:rsid w:val="009474E0"/>
    <w:rsid w:val="00947529"/>
    <w:rsid w:val="009476F8"/>
    <w:rsid w:val="009478A6"/>
    <w:rsid w:val="009478B7"/>
    <w:rsid w:val="009478F4"/>
    <w:rsid w:val="00947997"/>
    <w:rsid w:val="00947A0D"/>
    <w:rsid w:val="00947A47"/>
    <w:rsid w:val="00947AC1"/>
    <w:rsid w:val="00947B9D"/>
    <w:rsid w:val="00947C4E"/>
    <w:rsid w:val="00947C93"/>
    <w:rsid w:val="00947CF8"/>
    <w:rsid w:val="00947CF9"/>
    <w:rsid w:val="00947D97"/>
    <w:rsid w:val="00947F13"/>
    <w:rsid w:val="00947F1B"/>
    <w:rsid w:val="00950013"/>
    <w:rsid w:val="009500FC"/>
    <w:rsid w:val="0095032A"/>
    <w:rsid w:val="00950450"/>
    <w:rsid w:val="00950485"/>
    <w:rsid w:val="0095060D"/>
    <w:rsid w:val="00950878"/>
    <w:rsid w:val="00950964"/>
    <w:rsid w:val="0095098F"/>
    <w:rsid w:val="00950A0C"/>
    <w:rsid w:val="00950A3A"/>
    <w:rsid w:val="00950A5E"/>
    <w:rsid w:val="00950AD2"/>
    <w:rsid w:val="00950AE2"/>
    <w:rsid w:val="00950B08"/>
    <w:rsid w:val="00950B2B"/>
    <w:rsid w:val="00950BB8"/>
    <w:rsid w:val="00950C13"/>
    <w:rsid w:val="00950CF3"/>
    <w:rsid w:val="00950E12"/>
    <w:rsid w:val="00950EE6"/>
    <w:rsid w:val="00950EE9"/>
    <w:rsid w:val="00951074"/>
    <w:rsid w:val="009510E7"/>
    <w:rsid w:val="00951168"/>
    <w:rsid w:val="0095117B"/>
    <w:rsid w:val="00951195"/>
    <w:rsid w:val="009511AD"/>
    <w:rsid w:val="009511DA"/>
    <w:rsid w:val="00951214"/>
    <w:rsid w:val="0095121B"/>
    <w:rsid w:val="0095137C"/>
    <w:rsid w:val="009513D1"/>
    <w:rsid w:val="00951480"/>
    <w:rsid w:val="0095148C"/>
    <w:rsid w:val="00951496"/>
    <w:rsid w:val="00951643"/>
    <w:rsid w:val="0095174A"/>
    <w:rsid w:val="00951832"/>
    <w:rsid w:val="0095183B"/>
    <w:rsid w:val="00951840"/>
    <w:rsid w:val="00951877"/>
    <w:rsid w:val="009518BA"/>
    <w:rsid w:val="0095192D"/>
    <w:rsid w:val="009519F2"/>
    <w:rsid w:val="00951AAE"/>
    <w:rsid w:val="00951B1D"/>
    <w:rsid w:val="00951B62"/>
    <w:rsid w:val="00951B82"/>
    <w:rsid w:val="00951CD0"/>
    <w:rsid w:val="00951CF8"/>
    <w:rsid w:val="00951D92"/>
    <w:rsid w:val="00951E3B"/>
    <w:rsid w:val="00951E95"/>
    <w:rsid w:val="00951F6A"/>
    <w:rsid w:val="00951F7E"/>
    <w:rsid w:val="00951FCB"/>
    <w:rsid w:val="0095201E"/>
    <w:rsid w:val="00952022"/>
    <w:rsid w:val="009521A4"/>
    <w:rsid w:val="00952342"/>
    <w:rsid w:val="009523BE"/>
    <w:rsid w:val="009523DE"/>
    <w:rsid w:val="0095253C"/>
    <w:rsid w:val="00952662"/>
    <w:rsid w:val="0095277C"/>
    <w:rsid w:val="00952842"/>
    <w:rsid w:val="0095293F"/>
    <w:rsid w:val="0095296B"/>
    <w:rsid w:val="00952989"/>
    <w:rsid w:val="00952B3C"/>
    <w:rsid w:val="00952BC6"/>
    <w:rsid w:val="00952BDB"/>
    <w:rsid w:val="00952C58"/>
    <w:rsid w:val="00952E1C"/>
    <w:rsid w:val="00952EE1"/>
    <w:rsid w:val="00952FFA"/>
    <w:rsid w:val="0095302F"/>
    <w:rsid w:val="009532DE"/>
    <w:rsid w:val="00953359"/>
    <w:rsid w:val="009533FD"/>
    <w:rsid w:val="0095355B"/>
    <w:rsid w:val="009536CE"/>
    <w:rsid w:val="0095376B"/>
    <w:rsid w:val="00953788"/>
    <w:rsid w:val="00953AD6"/>
    <w:rsid w:val="00953B7D"/>
    <w:rsid w:val="00953BD4"/>
    <w:rsid w:val="00953C31"/>
    <w:rsid w:val="00953D98"/>
    <w:rsid w:val="00953DF2"/>
    <w:rsid w:val="00953DFA"/>
    <w:rsid w:val="009541B8"/>
    <w:rsid w:val="00954203"/>
    <w:rsid w:val="009542F4"/>
    <w:rsid w:val="00954329"/>
    <w:rsid w:val="00954342"/>
    <w:rsid w:val="009543F1"/>
    <w:rsid w:val="009544C8"/>
    <w:rsid w:val="0095451F"/>
    <w:rsid w:val="00954546"/>
    <w:rsid w:val="00954683"/>
    <w:rsid w:val="00954748"/>
    <w:rsid w:val="0095483A"/>
    <w:rsid w:val="0095499A"/>
    <w:rsid w:val="00954A91"/>
    <w:rsid w:val="00954BB4"/>
    <w:rsid w:val="00954C34"/>
    <w:rsid w:val="00954D1C"/>
    <w:rsid w:val="00954DFA"/>
    <w:rsid w:val="00954FF5"/>
    <w:rsid w:val="00955081"/>
    <w:rsid w:val="009551B6"/>
    <w:rsid w:val="00955254"/>
    <w:rsid w:val="0095528D"/>
    <w:rsid w:val="009552D1"/>
    <w:rsid w:val="009553EF"/>
    <w:rsid w:val="00955450"/>
    <w:rsid w:val="0095551A"/>
    <w:rsid w:val="00955523"/>
    <w:rsid w:val="009555E4"/>
    <w:rsid w:val="00955652"/>
    <w:rsid w:val="00955701"/>
    <w:rsid w:val="00955713"/>
    <w:rsid w:val="00955778"/>
    <w:rsid w:val="0095584C"/>
    <w:rsid w:val="009558DD"/>
    <w:rsid w:val="0095591F"/>
    <w:rsid w:val="009559A7"/>
    <w:rsid w:val="009559EB"/>
    <w:rsid w:val="00955A7F"/>
    <w:rsid w:val="00955A8A"/>
    <w:rsid w:val="00955AAD"/>
    <w:rsid w:val="00955B1D"/>
    <w:rsid w:val="00955B83"/>
    <w:rsid w:val="00955BB0"/>
    <w:rsid w:val="00955C20"/>
    <w:rsid w:val="00955CF8"/>
    <w:rsid w:val="00955DE0"/>
    <w:rsid w:val="00955E45"/>
    <w:rsid w:val="00955EAF"/>
    <w:rsid w:val="00955F22"/>
    <w:rsid w:val="00955FAC"/>
    <w:rsid w:val="00956011"/>
    <w:rsid w:val="0095607A"/>
    <w:rsid w:val="009560BA"/>
    <w:rsid w:val="009560DD"/>
    <w:rsid w:val="009562F4"/>
    <w:rsid w:val="00956304"/>
    <w:rsid w:val="00956407"/>
    <w:rsid w:val="009564F0"/>
    <w:rsid w:val="00956554"/>
    <w:rsid w:val="00956575"/>
    <w:rsid w:val="00956704"/>
    <w:rsid w:val="009567AB"/>
    <w:rsid w:val="00956AC6"/>
    <w:rsid w:val="00956C6B"/>
    <w:rsid w:val="00956E9A"/>
    <w:rsid w:val="00956FCE"/>
    <w:rsid w:val="009570FE"/>
    <w:rsid w:val="00957113"/>
    <w:rsid w:val="00957128"/>
    <w:rsid w:val="009571A3"/>
    <w:rsid w:val="00957227"/>
    <w:rsid w:val="00957282"/>
    <w:rsid w:val="009572D3"/>
    <w:rsid w:val="009572E3"/>
    <w:rsid w:val="00957357"/>
    <w:rsid w:val="00957415"/>
    <w:rsid w:val="009574DC"/>
    <w:rsid w:val="00957665"/>
    <w:rsid w:val="009576D0"/>
    <w:rsid w:val="009576DD"/>
    <w:rsid w:val="00957876"/>
    <w:rsid w:val="00957895"/>
    <w:rsid w:val="009578C4"/>
    <w:rsid w:val="009578D4"/>
    <w:rsid w:val="009578EF"/>
    <w:rsid w:val="00957905"/>
    <w:rsid w:val="00957A9C"/>
    <w:rsid w:val="00957AB9"/>
    <w:rsid w:val="00957C49"/>
    <w:rsid w:val="00957C72"/>
    <w:rsid w:val="00957DA1"/>
    <w:rsid w:val="00957EE6"/>
    <w:rsid w:val="00957F1D"/>
    <w:rsid w:val="009601A7"/>
    <w:rsid w:val="009602D0"/>
    <w:rsid w:val="0096033A"/>
    <w:rsid w:val="00960494"/>
    <w:rsid w:val="00960569"/>
    <w:rsid w:val="00960769"/>
    <w:rsid w:val="009608F2"/>
    <w:rsid w:val="00960A16"/>
    <w:rsid w:val="00960AF9"/>
    <w:rsid w:val="00960BB3"/>
    <w:rsid w:val="00960E23"/>
    <w:rsid w:val="009610B9"/>
    <w:rsid w:val="00961346"/>
    <w:rsid w:val="00961349"/>
    <w:rsid w:val="0096155E"/>
    <w:rsid w:val="00961562"/>
    <w:rsid w:val="009615B1"/>
    <w:rsid w:val="009615CF"/>
    <w:rsid w:val="009615E7"/>
    <w:rsid w:val="009617D0"/>
    <w:rsid w:val="009617D8"/>
    <w:rsid w:val="00961A4B"/>
    <w:rsid w:val="00961AA0"/>
    <w:rsid w:val="00961BFE"/>
    <w:rsid w:val="00961DFA"/>
    <w:rsid w:val="00961DFD"/>
    <w:rsid w:val="00961E1D"/>
    <w:rsid w:val="00961E81"/>
    <w:rsid w:val="00961EB6"/>
    <w:rsid w:val="0096220F"/>
    <w:rsid w:val="009623B0"/>
    <w:rsid w:val="009623C9"/>
    <w:rsid w:val="00962421"/>
    <w:rsid w:val="0096248B"/>
    <w:rsid w:val="009625A3"/>
    <w:rsid w:val="009625CF"/>
    <w:rsid w:val="00962674"/>
    <w:rsid w:val="009626C9"/>
    <w:rsid w:val="00962829"/>
    <w:rsid w:val="00962881"/>
    <w:rsid w:val="0096290D"/>
    <w:rsid w:val="00962912"/>
    <w:rsid w:val="0096299B"/>
    <w:rsid w:val="00962A9D"/>
    <w:rsid w:val="00962AC2"/>
    <w:rsid w:val="00962C4E"/>
    <w:rsid w:val="00962CCB"/>
    <w:rsid w:val="00962D04"/>
    <w:rsid w:val="00962D08"/>
    <w:rsid w:val="00962E81"/>
    <w:rsid w:val="00962EAE"/>
    <w:rsid w:val="00962F84"/>
    <w:rsid w:val="00962FDB"/>
    <w:rsid w:val="0096300C"/>
    <w:rsid w:val="0096309E"/>
    <w:rsid w:val="009631E0"/>
    <w:rsid w:val="0096324A"/>
    <w:rsid w:val="00963282"/>
    <w:rsid w:val="0096328E"/>
    <w:rsid w:val="009632DE"/>
    <w:rsid w:val="0096333D"/>
    <w:rsid w:val="0096334D"/>
    <w:rsid w:val="009633AE"/>
    <w:rsid w:val="00963425"/>
    <w:rsid w:val="009634BF"/>
    <w:rsid w:val="00963661"/>
    <w:rsid w:val="009636A2"/>
    <w:rsid w:val="00963720"/>
    <w:rsid w:val="00963755"/>
    <w:rsid w:val="009638E8"/>
    <w:rsid w:val="00963937"/>
    <w:rsid w:val="0096398A"/>
    <w:rsid w:val="00963B1B"/>
    <w:rsid w:val="00963C61"/>
    <w:rsid w:val="00963CD1"/>
    <w:rsid w:val="00963CFF"/>
    <w:rsid w:val="00963D1B"/>
    <w:rsid w:val="009640EF"/>
    <w:rsid w:val="0096415C"/>
    <w:rsid w:val="009641F2"/>
    <w:rsid w:val="00964340"/>
    <w:rsid w:val="0096443F"/>
    <w:rsid w:val="00964462"/>
    <w:rsid w:val="00964593"/>
    <w:rsid w:val="009647C0"/>
    <w:rsid w:val="009648B3"/>
    <w:rsid w:val="00964908"/>
    <w:rsid w:val="00964970"/>
    <w:rsid w:val="009649F1"/>
    <w:rsid w:val="00964A15"/>
    <w:rsid w:val="00964A72"/>
    <w:rsid w:val="00964A8B"/>
    <w:rsid w:val="00964A8D"/>
    <w:rsid w:val="00964AD9"/>
    <w:rsid w:val="00964AFA"/>
    <w:rsid w:val="00964B94"/>
    <w:rsid w:val="00964C5B"/>
    <w:rsid w:val="00964D5A"/>
    <w:rsid w:val="00964E5C"/>
    <w:rsid w:val="00964E72"/>
    <w:rsid w:val="00964F3E"/>
    <w:rsid w:val="00964FC1"/>
    <w:rsid w:val="00965014"/>
    <w:rsid w:val="0096504E"/>
    <w:rsid w:val="00965079"/>
    <w:rsid w:val="009650B6"/>
    <w:rsid w:val="009650D7"/>
    <w:rsid w:val="009650E2"/>
    <w:rsid w:val="009651C1"/>
    <w:rsid w:val="0096520A"/>
    <w:rsid w:val="00965460"/>
    <w:rsid w:val="009657EC"/>
    <w:rsid w:val="00965935"/>
    <w:rsid w:val="00965957"/>
    <w:rsid w:val="009659F9"/>
    <w:rsid w:val="00965B05"/>
    <w:rsid w:val="00965BF6"/>
    <w:rsid w:val="00965CFE"/>
    <w:rsid w:val="00965E32"/>
    <w:rsid w:val="00965ED8"/>
    <w:rsid w:val="00965FFC"/>
    <w:rsid w:val="00966057"/>
    <w:rsid w:val="00966065"/>
    <w:rsid w:val="009660CD"/>
    <w:rsid w:val="009661F5"/>
    <w:rsid w:val="00966231"/>
    <w:rsid w:val="009662A0"/>
    <w:rsid w:val="0096647E"/>
    <w:rsid w:val="00966494"/>
    <w:rsid w:val="0096653A"/>
    <w:rsid w:val="009665B8"/>
    <w:rsid w:val="00966699"/>
    <w:rsid w:val="0096673B"/>
    <w:rsid w:val="009667A1"/>
    <w:rsid w:val="0096688B"/>
    <w:rsid w:val="009668ED"/>
    <w:rsid w:val="00966AC9"/>
    <w:rsid w:val="00966B83"/>
    <w:rsid w:val="00966B8D"/>
    <w:rsid w:val="00966B9A"/>
    <w:rsid w:val="00966C44"/>
    <w:rsid w:val="00966EDD"/>
    <w:rsid w:val="00967029"/>
    <w:rsid w:val="00967066"/>
    <w:rsid w:val="0096708F"/>
    <w:rsid w:val="0096718C"/>
    <w:rsid w:val="009673EC"/>
    <w:rsid w:val="00967425"/>
    <w:rsid w:val="0096752B"/>
    <w:rsid w:val="00967576"/>
    <w:rsid w:val="009676B7"/>
    <w:rsid w:val="009676DE"/>
    <w:rsid w:val="009677C9"/>
    <w:rsid w:val="00967852"/>
    <w:rsid w:val="00967863"/>
    <w:rsid w:val="00967885"/>
    <w:rsid w:val="009679E3"/>
    <w:rsid w:val="00967A64"/>
    <w:rsid w:val="00967BD3"/>
    <w:rsid w:val="00967C96"/>
    <w:rsid w:val="00967CCB"/>
    <w:rsid w:val="00967F37"/>
    <w:rsid w:val="00967FEE"/>
    <w:rsid w:val="009701F0"/>
    <w:rsid w:val="00970319"/>
    <w:rsid w:val="00970331"/>
    <w:rsid w:val="00970387"/>
    <w:rsid w:val="00970423"/>
    <w:rsid w:val="0097043B"/>
    <w:rsid w:val="0097043F"/>
    <w:rsid w:val="00970489"/>
    <w:rsid w:val="0097053E"/>
    <w:rsid w:val="009705D8"/>
    <w:rsid w:val="0097062F"/>
    <w:rsid w:val="00970631"/>
    <w:rsid w:val="009707A7"/>
    <w:rsid w:val="00970811"/>
    <w:rsid w:val="00970818"/>
    <w:rsid w:val="009708D2"/>
    <w:rsid w:val="009709B6"/>
    <w:rsid w:val="009709BE"/>
    <w:rsid w:val="00970A18"/>
    <w:rsid w:val="00970C6B"/>
    <w:rsid w:val="00970DAE"/>
    <w:rsid w:val="00970EB2"/>
    <w:rsid w:val="00970EE1"/>
    <w:rsid w:val="00971018"/>
    <w:rsid w:val="00971092"/>
    <w:rsid w:val="009710D6"/>
    <w:rsid w:val="00971110"/>
    <w:rsid w:val="0097114F"/>
    <w:rsid w:val="009712A8"/>
    <w:rsid w:val="0097130E"/>
    <w:rsid w:val="00971376"/>
    <w:rsid w:val="00971460"/>
    <w:rsid w:val="009715DB"/>
    <w:rsid w:val="00971793"/>
    <w:rsid w:val="00971AB9"/>
    <w:rsid w:val="00971C56"/>
    <w:rsid w:val="00971CE0"/>
    <w:rsid w:val="00971DA9"/>
    <w:rsid w:val="00971E74"/>
    <w:rsid w:val="00971EED"/>
    <w:rsid w:val="00971F00"/>
    <w:rsid w:val="00971F01"/>
    <w:rsid w:val="00971F02"/>
    <w:rsid w:val="00971F2D"/>
    <w:rsid w:val="009722B0"/>
    <w:rsid w:val="00972304"/>
    <w:rsid w:val="00972313"/>
    <w:rsid w:val="0097231D"/>
    <w:rsid w:val="0097232C"/>
    <w:rsid w:val="00972357"/>
    <w:rsid w:val="009723DF"/>
    <w:rsid w:val="00972403"/>
    <w:rsid w:val="0097243F"/>
    <w:rsid w:val="009725AD"/>
    <w:rsid w:val="0097265C"/>
    <w:rsid w:val="00972684"/>
    <w:rsid w:val="009726B2"/>
    <w:rsid w:val="00972706"/>
    <w:rsid w:val="0097281D"/>
    <w:rsid w:val="00972A2A"/>
    <w:rsid w:val="00972C68"/>
    <w:rsid w:val="00972D4B"/>
    <w:rsid w:val="00972D9D"/>
    <w:rsid w:val="00972DF6"/>
    <w:rsid w:val="00972E70"/>
    <w:rsid w:val="009730BA"/>
    <w:rsid w:val="009730C6"/>
    <w:rsid w:val="0097310A"/>
    <w:rsid w:val="00973241"/>
    <w:rsid w:val="009733DF"/>
    <w:rsid w:val="0097347B"/>
    <w:rsid w:val="009734A0"/>
    <w:rsid w:val="00973563"/>
    <w:rsid w:val="009735E0"/>
    <w:rsid w:val="00973637"/>
    <w:rsid w:val="00973780"/>
    <w:rsid w:val="00973851"/>
    <w:rsid w:val="00973854"/>
    <w:rsid w:val="00973984"/>
    <w:rsid w:val="0097399F"/>
    <w:rsid w:val="009739CB"/>
    <w:rsid w:val="00973A01"/>
    <w:rsid w:val="00973BF0"/>
    <w:rsid w:val="00973BFD"/>
    <w:rsid w:val="00973CBB"/>
    <w:rsid w:val="00973D3E"/>
    <w:rsid w:val="00973D8B"/>
    <w:rsid w:val="00973DD5"/>
    <w:rsid w:val="00973E1A"/>
    <w:rsid w:val="00973EEB"/>
    <w:rsid w:val="00973F7B"/>
    <w:rsid w:val="00973FFE"/>
    <w:rsid w:val="0097405B"/>
    <w:rsid w:val="00974061"/>
    <w:rsid w:val="0097418D"/>
    <w:rsid w:val="0097423D"/>
    <w:rsid w:val="00974297"/>
    <w:rsid w:val="009743C6"/>
    <w:rsid w:val="009744A6"/>
    <w:rsid w:val="009744B5"/>
    <w:rsid w:val="009744DB"/>
    <w:rsid w:val="00974595"/>
    <w:rsid w:val="00974718"/>
    <w:rsid w:val="00974762"/>
    <w:rsid w:val="00974823"/>
    <w:rsid w:val="00974862"/>
    <w:rsid w:val="00974898"/>
    <w:rsid w:val="00974949"/>
    <w:rsid w:val="0097495D"/>
    <w:rsid w:val="00974981"/>
    <w:rsid w:val="00974A11"/>
    <w:rsid w:val="00974A47"/>
    <w:rsid w:val="00974A6A"/>
    <w:rsid w:val="00974B22"/>
    <w:rsid w:val="00974B5F"/>
    <w:rsid w:val="00974BF3"/>
    <w:rsid w:val="00974D21"/>
    <w:rsid w:val="00974D55"/>
    <w:rsid w:val="00974E10"/>
    <w:rsid w:val="00974E13"/>
    <w:rsid w:val="00974E28"/>
    <w:rsid w:val="00974EB9"/>
    <w:rsid w:val="00974EDA"/>
    <w:rsid w:val="00974F80"/>
    <w:rsid w:val="00974FBF"/>
    <w:rsid w:val="00975008"/>
    <w:rsid w:val="00975048"/>
    <w:rsid w:val="009750F7"/>
    <w:rsid w:val="00975132"/>
    <w:rsid w:val="00975241"/>
    <w:rsid w:val="009752FC"/>
    <w:rsid w:val="0097535D"/>
    <w:rsid w:val="00975426"/>
    <w:rsid w:val="009754E5"/>
    <w:rsid w:val="009754FD"/>
    <w:rsid w:val="00975744"/>
    <w:rsid w:val="00975954"/>
    <w:rsid w:val="00975A3B"/>
    <w:rsid w:val="00975AB6"/>
    <w:rsid w:val="00975B14"/>
    <w:rsid w:val="00975B1E"/>
    <w:rsid w:val="00975C29"/>
    <w:rsid w:val="00975CEF"/>
    <w:rsid w:val="00975DA6"/>
    <w:rsid w:val="00975E0C"/>
    <w:rsid w:val="00976189"/>
    <w:rsid w:val="009762BD"/>
    <w:rsid w:val="009762E9"/>
    <w:rsid w:val="00976354"/>
    <w:rsid w:val="009763C9"/>
    <w:rsid w:val="00976434"/>
    <w:rsid w:val="009764F5"/>
    <w:rsid w:val="00976561"/>
    <w:rsid w:val="00976721"/>
    <w:rsid w:val="009768CA"/>
    <w:rsid w:val="0097694B"/>
    <w:rsid w:val="00976963"/>
    <w:rsid w:val="00976BB2"/>
    <w:rsid w:val="00976BFA"/>
    <w:rsid w:val="00976DAF"/>
    <w:rsid w:val="00976DCD"/>
    <w:rsid w:val="00976EDD"/>
    <w:rsid w:val="00976F62"/>
    <w:rsid w:val="0097704A"/>
    <w:rsid w:val="0097708E"/>
    <w:rsid w:val="009770E2"/>
    <w:rsid w:val="009772EC"/>
    <w:rsid w:val="00977356"/>
    <w:rsid w:val="0097735E"/>
    <w:rsid w:val="00977487"/>
    <w:rsid w:val="00977732"/>
    <w:rsid w:val="009777B8"/>
    <w:rsid w:val="009777EA"/>
    <w:rsid w:val="009778E3"/>
    <w:rsid w:val="0097790D"/>
    <w:rsid w:val="00977B3F"/>
    <w:rsid w:val="00977CC9"/>
    <w:rsid w:val="00977E0D"/>
    <w:rsid w:val="00977EBC"/>
    <w:rsid w:val="00977FBF"/>
    <w:rsid w:val="0098013E"/>
    <w:rsid w:val="009801DA"/>
    <w:rsid w:val="0098034B"/>
    <w:rsid w:val="00980398"/>
    <w:rsid w:val="009803A9"/>
    <w:rsid w:val="009803AA"/>
    <w:rsid w:val="009803BD"/>
    <w:rsid w:val="0098046F"/>
    <w:rsid w:val="00980566"/>
    <w:rsid w:val="009805E9"/>
    <w:rsid w:val="0098063D"/>
    <w:rsid w:val="0098069A"/>
    <w:rsid w:val="009807D8"/>
    <w:rsid w:val="00980994"/>
    <w:rsid w:val="00980A7F"/>
    <w:rsid w:val="00980C5C"/>
    <w:rsid w:val="00980CB9"/>
    <w:rsid w:val="00980D92"/>
    <w:rsid w:val="00980DA7"/>
    <w:rsid w:val="00980E30"/>
    <w:rsid w:val="00980E90"/>
    <w:rsid w:val="00980ECD"/>
    <w:rsid w:val="00980F6F"/>
    <w:rsid w:val="00980F74"/>
    <w:rsid w:val="00980FEB"/>
    <w:rsid w:val="009812C0"/>
    <w:rsid w:val="0098134A"/>
    <w:rsid w:val="009813D1"/>
    <w:rsid w:val="00981467"/>
    <w:rsid w:val="00981528"/>
    <w:rsid w:val="009815FE"/>
    <w:rsid w:val="0098161E"/>
    <w:rsid w:val="00981643"/>
    <w:rsid w:val="00981707"/>
    <w:rsid w:val="009817DA"/>
    <w:rsid w:val="009817E2"/>
    <w:rsid w:val="009818C3"/>
    <w:rsid w:val="009818E5"/>
    <w:rsid w:val="00981907"/>
    <w:rsid w:val="00981B09"/>
    <w:rsid w:val="00981B0A"/>
    <w:rsid w:val="00981CAC"/>
    <w:rsid w:val="00981D38"/>
    <w:rsid w:val="00981D7C"/>
    <w:rsid w:val="0098217F"/>
    <w:rsid w:val="0098218F"/>
    <w:rsid w:val="009821B9"/>
    <w:rsid w:val="009821F2"/>
    <w:rsid w:val="0098224D"/>
    <w:rsid w:val="009823DD"/>
    <w:rsid w:val="00982563"/>
    <w:rsid w:val="009825B7"/>
    <w:rsid w:val="00982661"/>
    <w:rsid w:val="009826C5"/>
    <w:rsid w:val="00982848"/>
    <w:rsid w:val="00982870"/>
    <w:rsid w:val="0098294A"/>
    <w:rsid w:val="0098296C"/>
    <w:rsid w:val="009829A1"/>
    <w:rsid w:val="009829B2"/>
    <w:rsid w:val="00982A6C"/>
    <w:rsid w:val="00982B33"/>
    <w:rsid w:val="00982C0B"/>
    <w:rsid w:val="00982D2D"/>
    <w:rsid w:val="00982D97"/>
    <w:rsid w:val="00982DE1"/>
    <w:rsid w:val="00982E62"/>
    <w:rsid w:val="00982EA7"/>
    <w:rsid w:val="00982FE2"/>
    <w:rsid w:val="00983147"/>
    <w:rsid w:val="00983167"/>
    <w:rsid w:val="009831BA"/>
    <w:rsid w:val="009832B8"/>
    <w:rsid w:val="00983373"/>
    <w:rsid w:val="009833AA"/>
    <w:rsid w:val="009833E9"/>
    <w:rsid w:val="00983454"/>
    <w:rsid w:val="009834F3"/>
    <w:rsid w:val="00983695"/>
    <w:rsid w:val="009836AA"/>
    <w:rsid w:val="0098379D"/>
    <w:rsid w:val="0098380F"/>
    <w:rsid w:val="0098382C"/>
    <w:rsid w:val="0098390C"/>
    <w:rsid w:val="00983A96"/>
    <w:rsid w:val="00983AE6"/>
    <w:rsid w:val="00983C05"/>
    <w:rsid w:val="00983D64"/>
    <w:rsid w:val="0098413F"/>
    <w:rsid w:val="00984165"/>
    <w:rsid w:val="009841CB"/>
    <w:rsid w:val="00984253"/>
    <w:rsid w:val="009842A9"/>
    <w:rsid w:val="00984326"/>
    <w:rsid w:val="00984333"/>
    <w:rsid w:val="009843B8"/>
    <w:rsid w:val="00984467"/>
    <w:rsid w:val="00984478"/>
    <w:rsid w:val="009845BB"/>
    <w:rsid w:val="00984652"/>
    <w:rsid w:val="009847FF"/>
    <w:rsid w:val="009848C6"/>
    <w:rsid w:val="009848FF"/>
    <w:rsid w:val="00984941"/>
    <w:rsid w:val="009849CC"/>
    <w:rsid w:val="00984ACE"/>
    <w:rsid w:val="00984AF7"/>
    <w:rsid w:val="00984BAB"/>
    <w:rsid w:val="00984D0E"/>
    <w:rsid w:val="00984D4C"/>
    <w:rsid w:val="00984D7F"/>
    <w:rsid w:val="00984EB0"/>
    <w:rsid w:val="00984F68"/>
    <w:rsid w:val="0098508F"/>
    <w:rsid w:val="00985092"/>
    <w:rsid w:val="009850CC"/>
    <w:rsid w:val="0098511B"/>
    <w:rsid w:val="0098513C"/>
    <w:rsid w:val="00985158"/>
    <w:rsid w:val="0098516E"/>
    <w:rsid w:val="009851C3"/>
    <w:rsid w:val="009852CA"/>
    <w:rsid w:val="00985479"/>
    <w:rsid w:val="0098547A"/>
    <w:rsid w:val="00985509"/>
    <w:rsid w:val="009855A0"/>
    <w:rsid w:val="00985696"/>
    <w:rsid w:val="009856ED"/>
    <w:rsid w:val="00985725"/>
    <w:rsid w:val="009857F0"/>
    <w:rsid w:val="009858F0"/>
    <w:rsid w:val="00985964"/>
    <w:rsid w:val="00985AC8"/>
    <w:rsid w:val="00985B62"/>
    <w:rsid w:val="00985C49"/>
    <w:rsid w:val="00985C8A"/>
    <w:rsid w:val="009860B9"/>
    <w:rsid w:val="0098619A"/>
    <w:rsid w:val="00986353"/>
    <w:rsid w:val="00986434"/>
    <w:rsid w:val="00986505"/>
    <w:rsid w:val="0098659B"/>
    <w:rsid w:val="009865B3"/>
    <w:rsid w:val="009867EC"/>
    <w:rsid w:val="009867FA"/>
    <w:rsid w:val="00986872"/>
    <w:rsid w:val="009868AD"/>
    <w:rsid w:val="00986900"/>
    <w:rsid w:val="009869EE"/>
    <w:rsid w:val="00986A46"/>
    <w:rsid w:val="00986AC6"/>
    <w:rsid w:val="00986B2D"/>
    <w:rsid w:val="00986C68"/>
    <w:rsid w:val="00986CED"/>
    <w:rsid w:val="00986CEE"/>
    <w:rsid w:val="00986D65"/>
    <w:rsid w:val="00986E87"/>
    <w:rsid w:val="0098707D"/>
    <w:rsid w:val="009870C9"/>
    <w:rsid w:val="009871B3"/>
    <w:rsid w:val="009871BD"/>
    <w:rsid w:val="00987258"/>
    <w:rsid w:val="00987263"/>
    <w:rsid w:val="00987275"/>
    <w:rsid w:val="00987287"/>
    <w:rsid w:val="00987333"/>
    <w:rsid w:val="00987461"/>
    <w:rsid w:val="00987559"/>
    <w:rsid w:val="009875A7"/>
    <w:rsid w:val="009875BD"/>
    <w:rsid w:val="00987606"/>
    <w:rsid w:val="00987646"/>
    <w:rsid w:val="0098773D"/>
    <w:rsid w:val="00987786"/>
    <w:rsid w:val="00987934"/>
    <w:rsid w:val="00987A91"/>
    <w:rsid w:val="00987B55"/>
    <w:rsid w:val="00987B9D"/>
    <w:rsid w:val="00987CEA"/>
    <w:rsid w:val="00987D5F"/>
    <w:rsid w:val="00987D77"/>
    <w:rsid w:val="00987D95"/>
    <w:rsid w:val="00987DC6"/>
    <w:rsid w:val="00987DC7"/>
    <w:rsid w:val="00987E74"/>
    <w:rsid w:val="00987E79"/>
    <w:rsid w:val="009900B4"/>
    <w:rsid w:val="0099012A"/>
    <w:rsid w:val="009901A6"/>
    <w:rsid w:val="009901B1"/>
    <w:rsid w:val="009901F0"/>
    <w:rsid w:val="00990233"/>
    <w:rsid w:val="00990239"/>
    <w:rsid w:val="0099035F"/>
    <w:rsid w:val="009903D3"/>
    <w:rsid w:val="009905EB"/>
    <w:rsid w:val="009905EE"/>
    <w:rsid w:val="0099065F"/>
    <w:rsid w:val="009906DC"/>
    <w:rsid w:val="00990752"/>
    <w:rsid w:val="0099076A"/>
    <w:rsid w:val="0099081E"/>
    <w:rsid w:val="00990820"/>
    <w:rsid w:val="00990889"/>
    <w:rsid w:val="0099091B"/>
    <w:rsid w:val="00990A2E"/>
    <w:rsid w:val="00990A6B"/>
    <w:rsid w:val="00990B71"/>
    <w:rsid w:val="00990B93"/>
    <w:rsid w:val="00990BB8"/>
    <w:rsid w:val="00990C00"/>
    <w:rsid w:val="00990CD0"/>
    <w:rsid w:val="00990D6C"/>
    <w:rsid w:val="00990E16"/>
    <w:rsid w:val="00990FC1"/>
    <w:rsid w:val="00991043"/>
    <w:rsid w:val="009910ED"/>
    <w:rsid w:val="009911E5"/>
    <w:rsid w:val="0099120C"/>
    <w:rsid w:val="0099122F"/>
    <w:rsid w:val="0099127B"/>
    <w:rsid w:val="009912D2"/>
    <w:rsid w:val="00991397"/>
    <w:rsid w:val="009913BE"/>
    <w:rsid w:val="00991446"/>
    <w:rsid w:val="009914B2"/>
    <w:rsid w:val="009914D0"/>
    <w:rsid w:val="0099151F"/>
    <w:rsid w:val="009915AF"/>
    <w:rsid w:val="0099184D"/>
    <w:rsid w:val="00991987"/>
    <w:rsid w:val="009919C2"/>
    <w:rsid w:val="00991A53"/>
    <w:rsid w:val="00991AAE"/>
    <w:rsid w:val="00991B57"/>
    <w:rsid w:val="00991BE3"/>
    <w:rsid w:val="00991C76"/>
    <w:rsid w:val="00991D1D"/>
    <w:rsid w:val="00991F63"/>
    <w:rsid w:val="00991F65"/>
    <w:rsid w:val="0099200F"/>
    <w:rsid w:val="00992195"/>
    <w:rsid w:val="00992276"/>
    <w:rsid w:val="0099227A"/>
    <w:rsid w:val="009923A4"/>
    <w:rsid w:val="009923A9"/>
    <w:rsid w:val="009923FC"/>
    <w:rsid w:val="00992403"/>
    <w:rsid w:val="00992686"/>
    <w:rsid w:val="0099273E"/>
    <w:rsid w:val="00992749"/>
    <w:rsid w:val="0099285F"/>
    <w:rsid w:val="00992906"/>
    <w:rsid w:val="00992958"/>
    <w:rsid w:val="009929C8"/>
    <w:rsid w:val="00992A24"/>
    <w:rsid w:val="00992A58"/>
    <w:rsid w:val="00992BFA"/>
    <w:rsid w:val="00992C93"/>
    <w:rsid w:val="00992D81"/>
    <w:rsid w:val="00992D93"/>
    <w:rsid w:val="00992E1B"/>
    <w:rsid w:val="00993032"/>
    <w:rsid w:val="00993073"/>
    <w:rsid w:val="0099318D"/>
    <w:rsid w:val="00993216"/>
    <w:rsid w:val="0099322D"/>
    <w:rsid w:val="0099340E"/>
    <w:rsid w:val="0099345E"/>
    <w:rsid w:val="009934B6"/>
    <w:rsid w:val="00993569"/>
    <w:rsid w:val="0099376A"/>
    <w:rsid w:val="00993771"/>
    <w:rsid w:val="0099382D"/>
    <w:rsid w:val="009939A9"/>
    <w:rsid w:val="00993D7A"/>
    <w:rsid w:val="00993DD2"/>
    <w:rsid w:val="00993DFF"/>
    <w:rsid w:val="00994033"/>
    <w:rsid w:val="00994085"/>
    <w:rsid w:val="009940CD"/>
    <w:rsid w:val="009942B7"/>
    <w:rsid w:val="0099443E"/>
    <w:rsid w:val="0099451B"/>
    <w:rsid w:val="0099470B"/>
    <w:rsid w:val="00994756"/>
    <w:rsid w:val="00994948"/>
    <w:rsid w:val="0099494F"/>
    <w:rsid w:val="00994A3D"/>
    <w:rsid w:val="00994C86"/>
    <w:rsid w:val="00994D7B"/>
    <w:rsid w:val="00994DFA"/>
    <w:rsid w:val="00994E6C"/>
    <w:rsid w:val="00994EC7"/>
    <w:rsid w:val="00994F0E"/>
    <w:rsid w:val="00994F56"/>
    <w:rsid w:val="009951D0"/>
    <w:rsid w:val="00995270"/>
    <w:rsid w:val="0099542F"/>
    <w:rsid w:val="0099552F"/>
    <w:rsid w:val="00995624"/>
    <w:rsid w:val="0099564F"/>
    <w:rsid w:val="009956C3"/>
    <w:rsid w:val="0099576F"/>
    <w:rsid w:val="009957F3"/>
    <w:rsid w:val="00995906"/>
    <w:rsid w:val="00995948"/>
    <w:rsid w:val="0099597A"/>
    <w:rsid w:val="00995AD9"/>
    <w:rsid w:val="00995B66"/>
    <w:rsid w:val="00995CB0"/>
    <w:rsid w:val="00995E18"/>
    <w:rsid w:val="00995E2D"/>
    <w:rsid w:val="00995ECB"/>
    <w:rsid w:val="00995F37"/>
    <w:rsid w:val="00995F7A"/>
    <w:rsid w:val="0099616A"/>
    <w:rsid w:val="00996191"/>
    <w:rsid w:val="009961FE"/>
    <w:rsid w:val="0099644F"/>
    <w:rsid w:val="00996472"/>
    <w:rsid w:val="0099647E"/>
    <w:rsid w:val="009965B0"/>
    <w:rsid w:val="00996632"/>
    <w:rsid w:val="009967F7"/>
    <w:rsid w:val="0099681F"/>
    <w:rsid w:val="009968EA"/>
    <w:rsid w:val="00996924"/>
    <w:rsid w:val="0099695E"/>
    <w:rsid w:val="00996AC3"/>
    <w:rsid w:val="00996E32"/>
    <w:rsid w:val="009970BB"/>
    <w:rsid w:val="009971AD"/>
    <w:rsid w:val="00997205"/>
    <w:rsid w:val="009972B4"/>
    <w:rsid w:val="009973A4"/>
    <w:rsid w:val="009976BC"/>
    <w:rsid w:val="00997829"/>
    <w:rsid w:val="009978C5"/>
    <w:rsid w:val="009978D2"/>
    <w:rsid w:val="00997905"/>
    <w:rsid w:val="00997913"/>
    <w:rsid w:val="009979C4"/>
    <w:rsid w:val="009979CB"/>
    <w:rsid w:val="00997CA3"/>
    <w:rsid w:val="00997D1E"/>
    <w:rsid w:val="00997DA5"/>
    <w:rsid w:val="00997DDE"/>
    <w:rsid w:val="00997F32"/>
    <w:rsid w:val="00997F54"/>
    <w:rsid w:val="009A0036"/>
    <w:rsid w:val="009A00B6"/>
    <w:rsid w:val="009A00FD"/>
    <w:rsid w:val="009A01BE"/>
    <w:rsid w:val="009A0212"/>
    <w:rsid w:val="009A0278"/>
    <w:rsid w:val="009A02F0"/>
    <w:rsid w:val="009A0384"/>
    <w:rsid w:val="009A040A"/>
    <w:rsid w:val="009A0595"/>
    <w:rsid w:val="009A05A3"/>
    <w:rsid w:val="009A05D1"/>
    <w:rsid w:val="009A068A"/>
    <w:rsid w:val="009A091B"/>
    <w:rsid w:val="009A0920"/>
    <w:rsid w:val="009A097E"/>
    <w:rsid w:val="009A0ABD"/>
    <w:rsid w:val="009A0AED"/>
    <w:rsid w:val="009A0AF6"/>
    <w:rsid w:val="009A0B2B"/>
    <w:rsid w:val="009A0B4F"/>
    <w:rsid w:val="009A0B6A"/>
    <w:rsid w:val="009A0B77"/>
    <w:rsid w:val="009A0BB8"/>
    <w:rsid w:val="009A0C71"/>
    <w:rsid w:val="009A0D8E"/>
    <w:rsid w:val="009A0DA8"/>
    <w:rsid w:val="009A0E0C"/>
    <w:rsid w:val="009A0F13"/>
    <w:rsid w:val="009A1005"/>
    <w:rsid w:val="009A10BD"/>
    <w:rsid w:val="009A1133"/>
    <w:rsid w:val="009A114C"/>
    <w:rsid w:val="009A1205"/>
    <w:rsid w:val="009A1325"/>
    <w:rsid w:val="009A1377"/>
    <w:rsid w:val="009A15D9"/>
    <w:rsid w:val="009A16E8"/>
    <w:rsid w:val="009A18E0"/>
    <w:rsid w:val="009A18ED"/>
    <w:rsid w:val="009A1934"/>
    <w:rsid w:val="009A1A02"/>
    <w:rsid w:val="009A1B27"/>
    <w:rsid w:val="009A1CC2"/>
    <w:rsid w:val="009A1CC8"/>
    <w:rsid w:val="009A1DDB"/>
    <w:rsid w:val="009A1EAF"/>
    <w:rsid w:val="009A1F7F"/>
    <w:rsid w:val="009A1FBB"/>
    <w:rsid w:val="009A1FFB"/>
    <w:rsid w:val="009A2008"/>
    <w:rsid w:val="009A21B7"/>
    <w:rsid w:val="009A2207"/>
    <w:rsid w:val="009A222F"/>
    <w:rsid w:val="009A2314"/>
    <w:rsid w:val="009A237A"/>
    <w:rsid w:val="009A270C"/>
    <w:rsid w:val="009A2766"/>
    <w:rsid w:val="009A2837"/>
    <w:rsid w:val="009A283B"/>
    <w:rsid w:val="009A28B5"/>
    <w:rsid w:val="009A2955"/>
    <w:rsid w:val="009A2968"/>
    <w:rsid w:val="009A297B"/>
    <w:rsid w:val="009A29C2"/>
    <w:rsid w:val="009A2B90"/>
    <w:rsid w:val="009A2D0B"/>
    <w:rsid w:val="009A2D6E"/>
    <w:rsid w:val="009A2DAA"/>
    <w:rsid w:val="009A2DEB"/>
    <w:rsid w:val="009A2F18"/>
    <w:rsid w:val="009A2F3A"/>
    <w:rsid w:val="009A2F52"/>
    <w:rsid w:val="009A30E0"/>
    <w:rsid w:val="009A31FA"/>
    <w:rsid w:val="009A326C"/>
    <w:rsid w:val="009A32A6"/>
    <w:rsid w:val="009A3320"/>
    <w:rsid w:val="009A34AA"/>
    <w:rsid w:val="009A34B7"/>
    <w:rsid w:val="009A35C4"/>
    <w:rsid w:val="009A3609"/>
    <w:rsid w:val="009A3623"/>
    <w:rsid w:val="009A377D"/>
    <w:rsid w:val="009A37BD"/>
    <w:rsid w:val="009A37EE"/>
    <w:rsid w:val="009A3994"/>
    <w:rsid w:val="009A3AA9"/>
    <w:rsid w:val="009A3B38"/>
    <w:rsid w:val="009A3DF5"/>
    <w:rsid w:val="009A41AC"/>
    <w:rsid w:val="009A4209"/>
    <w:rsid w:val="009A4242"/>
    <w:rsid w:val="009A424C"/>
    <w:rsid w:val="009A4255"/>
    <w:rsid w:val="009A435B"/>
    <w:rsid w:val="009A439A"/>
    <w:rsid w:val="009A43AA"/>
    <w:rsid w:val="009A4434"/>
    <w:rsid w:val="009A449B"/>
    <w:rsid w:val="009A44FA"/>
    <w:rsid w:val="009A4506"/>
    <w:rsid w:val="009A494D"/>
    <w:rsid w:val="009A4A2C"/>
    <w:rsid w:val="009A4CEA"/>
    <w:rsid w:val="009A4D26"/>
    <w:rsid w:val="009A4D2F"/>
    <w:rsid w:val="009A4D70"/>
    <w:rsid w:val="009A4D81"/>
    <w:rsid w:val="009A4F4A"/>
    <w:rsid w:val="009A4FDA"/>
    <w:rsid w:val="009A4FE5"/>
    <w:rsid w:val="009A5052"/>
    <w:rsid w:val="009A518D"/>
    <w:rsid w:val="009A51EB"/>
    <w:rsid w:val="009A5253"/>
    <w:rsid w:val="009A5480"/>
    <w:rsid w:val="009A55F6"/>
    <w:rsid w:val="009A5947"/>
    <w:rsid w:val="009A5997"/>
    <w:rsid w:val="009A5ADB"/>
    <w:rsid w:val="009A5CCE"/>
    <w:rsid w:val="009A5CDC"/>
    <w:rsid w:val="009A5D20"/>
    <w:rsid w:val="009A5D68"/>
    <w:rsid w:val="009A5D7A"/>
    <w:rsid w:val="009A5DE2"/>
    <w:rsid w:val="009A5E24"/>
    <w:rsid w:val="009A5F9E"/>
    <w:rsid w:val="009A5FE7"/>
    <w:rsid w:val="009A603C"/>
    <w:rsid w:val="009A605B"/>
    <w:rsid w:val="009A60DC"/>
    <w:rsid w:val="009A60FA"/>
    <w:rsid w:val="009A6153"/>
    <w:rsid w:val="009A6187"/>
    <w:rsid w:val="009A6412"/>
    <w:rsid w:val="009A6455"/>
    <w:rsid w:val="009A64B7"/>
    <w:rsid w:val="009A6631"/>
    <w:rsid w:val="009A668D"/>
    <w:rsid w:val="009A67C9"/>
    <w:rsid w:val="009A686E"/>
    <w:rsid w:val="009A68A2"/>
    <w:rsid w:val="009A68CF"/>
    <w:rsid w:val="009A6911"/>
    <w:rsid w:val="009A6A90"/>
    <w:rsid w:val="009A6CD2"/>
    <w:rsid w:val="009A6CED"/>
    <w:rsid w:val="009A6D8C"/>
    <w:rsid w:val="009A6E10"/>
    <w:rsid w:val="009A6EF3"/>
    <w:rsid w:val="009A7052"/>
    <w:rsid w:val="009A714B"/>
    <w:rsid w:val="009A7163"/>
    <w:rsid w:val="009A7247"/>
    <w:rsid w:val="009A74F9"/>
    <w:rsid w:val="009A7664"/>
    <w:rsid w:val="009A790D"/>
    <w:rsid w:val="009A7967"/>
    <w:rsid w:val="009A79CA"/>
    <w:rsid w:val="009A79CB"/>
    <w:rsid w:val="009A7A40"/>
    <w:rsid w:val="009A7AB3"/>
    <w:rsid w:val="009A7BCF"/>
    <w:rsid w:val="009A7C10"/>
    <w:rsid w:val="009A7C8D"/>
    <w:rsid w:val="009A7F51"/>
    <w:rsid w:val="009A7F71"/>
    <w:rsid w:val="009B0137"/>
    <w:rsid w:val="009B02CF"/>
    <w:rsid w:val="009B03ED"/>
    <w:rsid w:val="009B04AA"/>
    <w:rsid w:val="009B05F9"/>
    <w:rsid w:val="009B05FA"/>
    <w:rsid w:val="009B06AF"/>
    <w:rsid w:val="009B0738"/>
    <w:rsid w:val="009B0890"/>
    <w:rsid w:val="009B0895"/>
    <w:rsid w:val="009B08A9"/>
    <w:rsid w:val="009B08AD"/>
    <w:rsid w:val="009B096E"/>
    <w:rsid w:val="009B0A24"/>
    <w:rsid w:val="009B0A30"/>
    <w:rsid w:val="009B0A3C"/>
    <w:rsid w:val="009B0BEA"/>
    <w:rsid w:val="009B0C32"/>
    <w:rsid w:val="009B0D86"/>
    <w:rsid w:val="009B0E4E"/>
    <w:rsid w:val="009B10E3"/>
    <w:rsid w:val="009B1153"/>
    <w:rsid w:val="009B1196"/>
    <w:rsid w:val="009B124E"/>
    <w:rsid w:val="009B148D"/>
    <w:rsid w:val="009B1498"/>
    <w:rsid w:val="009B14D0"/>
    <w:rsid w:val="009B1574"/>
    <w:rsid w:val="009B159B"/>
    <w:rsid w:val="009B15CD"/>
    <w:rsid w:val="009B1640"/>
    <w:rsid w:val="009B1774"/>
    <w:rsid w:val="009B17EB"/>
    <w:rsid w:val="009B1843"/>
    <w:rsid w:val="009B186D"/>
    <w:rsid w:val="009B19F9"/>
    <w:rsid w:val="009B1A13"/>
    <w:rsid w:val="009B1A40"/>
    <w:rsid w:val="009B1AC1"/>
    <w:rsid w:val="009B1B04"/>
    <w:rsid w:val="009B1B47"/>
    <w:rsid w:val="009B1BB7"/>
    <w:rsid w:val="009B1C63"/>
    <w:rsid w:val="009B1E27"/>
    <w:rsid w:val="009B20B3"/>
    <w:rsid w:val="009B214C"/>
    <w:rsid w:val="009B2187"/>
    <w:rsid w:val="009B22A4"/>
    <w:rsid w:val="009B22DB"/>
    <w:rsid w:val="009B2383"/>
    <w:rsid w:val="009B23B8"/>
    <w:rsid w:val="009B23EC"/>
    <w:rsid w:val="009B249C"/>
    <w:rsid w:val="009B25EF"/>
    <w:rsid w:val="009B26D2"/>
    <w:rsid w:val="009B27AE"/>
    <w:rsid w:val="009B27EC"/>
    <w:rsid w:val="009B27F8"/>
    <w:rsid w:val="009B29F3"/>
    <w:rsid w:val="009B2A01"/>
    <w:rsid w:val="009B2A26"/>
    <w:rsid w:val="009B2AA7"/>
    <w:rsid w:val="009B2ACE"/>
    <w:rsid w:val="009B2B51"/>
    <w:rsid w:val="009B2B77"/>
    <w:rsid w:val="009B2D4C"/>
    <w:rsid w:val="009B2D50"/>
    <w:rsid w:val="009B2D5D"/>
    <w:rsid w:val="009B2F3D"/>
    <w:rsid w:val="009B305F"/>
    <w:rsid w:val="009B3169"/>
    <w:rsid w:val="009B320C"/>
    <w:rsid w:val="009B32D2"/>
    <w:rsid w:val="009B32E6"/>
    <w:rsid w:val="009B32E8"/>
    <w:rsid w:val="009B336B"/>
    <w:rsid w:val="009B337F"/>
    <w:rsid w:val="009B33BC"/>
    <w:rsid w:val="009B33EB"/>
    <w:rsid w:val="009B33F7"/>
    <w:rsid w:val="009B3665"/>
    <w:rsid w:val="009B3675"/>
    <w:rsid w:val="009B3A43"/>
    <w:rsid w:val="009B3AA6"/>
    <w:rsid w:val="009B3ACD"/>
    <w:rsid w:val="009B3C41"/>
    <w:rsid w:val="009B3E4B"/>
    <w:rsid w:val="009B3F55"/>
    <w:rsid w:val="009B3FEB"/>
    <w:rsid w:val="009B4032"/>
    <w:rsid w:val="009B4096"/>
    <w:rsid w:val="009B40DA"/>
    <w:rsid w:val="009B4286"/>
    <w:rsid w:val="009B4309"/>
    <w:rsid w:val="009B435C"/>
    <w:rsid w:val="009B4363"/>
    <w:rsid w:val="009B4373"/>
    <w:rsid w:val="009B43A3"/>
    <w:rsid w:val="009B44BB"/>
    <w:rsid w:val="009B4786"/>
    <w:rsid w:val="009B479A"/>
    <w:rsid w:val="009B4827"/>
    <w:rsid w:val="009B488B"/>
    <w:rsid w:val="009B49D2"/>
    <w:rsid w:val="009B4AD7"/>
    <w:rsid w:val="009B4BB5"/>
    <w:rsid w:val="009B4C78"/>
    <w:rsid w:val="009B4CAC"/>
    <w:rsid w:val="009B4DF4"/>
    <w:rsid w:val="009B4EB1"/>
    <w:rsid w:val="009B4F99"/>
    <w:rsid w:val="009B4FA4"/>
    <w:rsid w:val="009B50FC"/>
    <w:rsid w:val="009B527B"/>
    <w:rsid w:val="009B528D"/>
    <w:rsid w:val="009B52B3"/>
    <w:rsid w:val="009B53B1"/>
    <w:rsid w:val="009B54CE"/>
    <w:rsid w:val="009B5537"/>
    <w:rsid w:val="009B5562"/>
    <w:rsid w:val="009B55A4"/>
    <w:rsid w:val="009B5770"/>
    <w:rsid w:val="009B58B2"/>
    <w:rsid w:val="009B5934"/>
    <w:rsid w:val="009B5964"/>
    <w:rsid w:val="009B59F7"/>
    <w:rsid w:val="009B5AFC"/>
    <w:rsid w:val="009B5BBA"/>
    <w:rsid w:val="009B5BBD"/>
    <w:rsid w:val="009B5C46"/>
    <w:rsid w:val="009B5C65"/>
    <w:rsid w:val="009B5CD9"/>
    <w:rsid w:val="009B5D37"/>
    <w:rsid w:val="009B5D40"/>
    <w:rsid w:val="009B5D5E"/>
    <w:rsid w:val="009B5DA9"/>
    <w:rsid w:val="009B5DB9"/>
    <w:rsid w:val="009B5DCB"/>
    <w:rsid w:val="009B5E40"/>
    <w:rsid w:val="009B5E4D"/>
    <w:rsid w:val="009B5EBF"/>
    <w:rsid w:val="009B5EC8"/>
    <w:rsid w:val="009B5F76"/>
    <w:rsid w:val="009B5FC3"/>
    <w:rsid w:val="009B5FEF"/>
    <w:rsid w:val="009B6089"/>
    <w:rsid w:val="009B61D4"/>
    <w:rsid w:val="009B6286"/>
    <w:rsid w:val="009B629F"/>
    <w:rsid w:val="009B6465"/>
    <w:rsid w:val="009B6565"/>
    <w:rsid w:val="009B6747"/>
    <w:rsid w:val="009B674E"/>
    <w:rsid w:val="009B67DD"/>
    <w:rsid w:val="009B68C8"/>
    <w:rsid w:val="009B691E"/>
    <w:rsid w:val="009B6ABC"/>
    <w:rsid w:val="009B6BB5"/>
    <w:rsid w:val="009B6C50"/>
    <w:rsid w:val="009B6CA2"/>
    <w:rsid w:val="009B6DB7"/>
    <w:rsid w:val="009B6EEA"/>
    <w:rsid w:val="009B6F3A"/>
    <w:rsid w:val="009B6F40"/>
    <w:rsid w:val="009B70EF"/>
    <w:rsid w:val="009B70F6"/>
    <w:rsid w:val="009B71C9"/>
    <w:rsid w:val="009B722F"/>
    <w:rsid w:val="009B72F5"/>
    <w:rsid w:val="009B7310"/>
    <w:rsid w:val="009B7346"/>
    <w:rsid w:val="009B739A"/>
    <w:rsid w:val="009B73FD"/>
    <w:rsid w:val="009B74B8"/>
    <w:rsid w:val="009B75A8"/>
    <w:rsid w:val="009B7672"/>
    <w:rsid w:val="009B78C3"/>
    <w:rsid w:val="009B7962"/>
    <w:rsid w:val="009B79A1"/>
    <w:rsid w:val="009B79B7"/>
    <w:rsid w:val="009B7B88"/>
    <w:rsid w:val="009B7BE3"/>
    <w:rsid w:val="009B7BE4"/>
    <w:rsid w:val="009B7C89"/>
    <w:rsid w:val="009B7D6B"/>
    <w:rsid w:val="009B7F12"/>
    <w:rsid w:val="009C006E"/>
    <w:rsid w:val="009C00CC"/>
    <w:rsid w:val="009C00CE"/>
    <w:rsid w:val="009C00CF"/>
    <w:rsid w:val="009C0189"/>
    <w:rsid w:val="009C01DE"/>
    <w:rsid w:val="009C0414"/>
    <w:rsid w:val="009C044D"/>
    <w:rsid w:val="009C04FF"/>
    <w:rsid w:val="009C055B"/>
    <w:rsid w:val="009C057C"/>
    <w:rsid w:val="009C0631"/>
    <w:rsid w:val="009C0662"/>
    <w:rsid w:val="009C06CF"/>
    <w:rsid w:val="009C0775"/>
    <w:rsid w:val="009C07CC"/>
    <w:rsid w:val="009C08FD"/>
    <w:rsid w:val="009C0AAB"/>
    <w:rsid w:val="009C0BCB"/>
    <w:rsid w:val="009C0C50"/>
    <w:rsid w:val="009C0D2E"/>
    <w:rsid w:val="009C0DD0"/>
    <w:rsid w:val="009C0E73"/>
    <w:rsid w:val="009C0E8C"/>
    <w:rsid w:val="009C0EB8"/>
    <w:rsid w:val="009C0F75"/>
    <w:rsid w:val="009C114C"/>
    <w:rsid w:val="009C11C7"/>
    <w:rsid w:val="009C11F1"/>
    <w:rsid w:val="009C1223"/>
    <w:rsid w:val="009C128D"/>
    <w:rsid w:val="009C129D"/>
    <w:rsid w:val="009C13B1"/>
    <w:rsid w:val="009C18C9"/>
    <w:rsid w:val="009C19A9"/>
    <w:rsid w:val="009C1A78"/>
    <w:rsid w:val="009C1A8B"/>
    <w:rsid w:val="009C1AC7"/>
    <w:rsid w:val="009C1C3D"/>
    <w:rsid w:val="009C1D34"/>
    <w:rsid w:val="009C1E46"/>
    <w:rsid w:val="009C1E58"/>
    <w:rsid w:val="009C2114"/>
    <w:rsid w:val="009C2119"/>
    <w:rsid w:val="009C223C"/>
    <w:rsid w:val="009C2294"/>
    <w:rsid w:val="009C22F5"/>
    <w:rsid w:val="009C236D"/>
    <w:rsid w:val="009C262D"/>
    <w:rsid w:val="009C26F6"/>
    <w:rsid w:val="009C27A2"/>
    <w:rsid w:val="009C2937"/>
    <w:rsid w:val="009C2943"/>
    <w:rsid w:val="009C299F"/>
    <w:rsid w:val="009C2A5B"/>
    <w:rsid w:val="009C2AAA"/>
    <w:rsid w:val="009C2BAA"/>
    <w:rsid w:val="009C2C09"/>
    <w:rsid w:val="009C2C48"/>
    <w:rsid w:val="009C2C73"/>
    <w:rsid w:val="009C2CAC"/>
    <w:rsid w:val="009C2CE8"/>
    <w:rsid w:val="009C2D41"/>
    <w:rsid w:val="009C2D88"/>
    <w:rsid w:val="009C2E32"/>
    <w:rsid w:val="009C2E3B"/>
    <w:rsid w:val="009C2E8E"/>
    <w:rsid w:val="009C3003"/>
    <w:rsid w:val="009C30A9"/>
    <w:rsid w:val="009C30AF"/>
    <w:rsid w:val="009C316D"/>
    <w:rsid w:val="009C31FD"/>
    <w:rsid w:val="009C32A6"/>
    <w:rsid w:val="009C334E"/>
    <w:rsid w:val="009C3398"/>
    <w:rsid w:val="009C33E5"/>
    <w:rsid w:val="009C3411"/>
    <w:rsid w:val="009C350A"/>
    <w:rsid w:val="009C3573"/>
    <w:rsid w:val="009C3578"/>
    <w:rsid w:val="009C35E1"/>
    <w:rsid w:val="009C3623"/>
    <w:rsid w:val="009C3655"/>
    <w:rsid w:val="009C368B"/>
    <w:rsid w:val="009C3A3B"/>
    <w:rsid w:val="009C3B5C"/>
    <w:rsid w:val="009C3C32"/>
    <w:rsid w:val="009C3D10"/>
    <w:rsid w:val="009C3D91"/>
    <w:rsid w:val="009C3EAE"/>
    <w:rsid w:val="009C40A3"/>
    <w:rsid w:val="009C428B"/>
    <w:rsid w:val="009C4352"/>
    <w:rsid w:val="009C43C9"/>
    <w:rsid w:val="009C4517"/>
    <w:rsid w:val="009C4531"/>
    <w:rsid w:val="009C462A"/>
    <w:rsid w:val="009C4687"/>
    <w:rsid w:val="009C46E9"/>
    <w:rsid w:val="009C474E"/>
    <w:rsid w:val="009C4772"/>
    <w:rsid w:val="009C47CC"/>
    <w:rsid w:val="009C47F8"/>
    <w:rsid w:val="009C48FF"/>
    <w:rsid w:val="009C4938"/>
    <w:rsid w:val="009C49EA"/>
    <w:rsid w:val="009C4A32"/>
    <w:rsid w:val="009C4A9A"/>
    <w:rsid w:val="009C4AE9"/>
    <w:rsid w:val="009C4BCE"/>
    <w:rsid w:val="009C4BD8"/>
    <w:rsid w:val="009C4C1E"/>
    <w:rsid w:val="009C4C6D"/>
    <w:rsid w:val="009C4CAD"/>
    <w:rsid w:val="009C4DAC"/>
    <w:rsid w:val="009C4DE9"/>
    <w:rsid w:val="009C4DEC"/>
    <w:rsid w:val="009C4E35"/>
    <w:rsid w:val="009C4EB9"/>
    <w:rsid w:val="009C4EC8"/>
    <w:rsid w:val="009C5094"/>
    <w:rsid w:val="009C50BD"/>
    <w:rsid w:val="009C52D4"/>
    <w:rsid w:val="009C5347"/>
    <w:rsid w:val="009C537C"/>
    <w:rsid w:val="009C53C1"/>
    <w:rsid w:val="009C5436"/>
    <w:rsid w:val="009C54D4"/>
    <w:rsid w:val="009C5567"/>
    <w:rsid w:val="009C56F7"/>
    <w:rsid w:val="009C587E"/>
    <w:rsid w:val="009C5942"/>
    <w:rsid w:val="009C59B8"/>
    <w:rsid w:val="009C5A61"/>
    <w:rsid w:val="009C5B4B"/>
    <w:rsid w:val="009C5BDD"/>
    <w:rsid w:val="009C5C01"/>
    <w:rsid w:val="009C5C76"/>
    <w:rsid w:val="009C5C78"/>
    <w:rsid w:val="009C5C90"/>
    <w:rsid w:val="009C5C9A"/>
    <w:rsid w:val="009C5D6F"/>
    <w:rsid w:val="009C5D99"/>
    <w:rsid w:val="009C5EF8"/>
    <w:rsid w:val="009C5F04"/>
    <w:rsid w:val="009C6001"/>
    <w:rsid w:val="009C6128"/>
    <w:rsid w:val="009C6152"/>
    <w:rsid w:val="009C62CE"/>
    <w:rsid w:val="009C62E5"/>
    <w:rsid w:val="009C6326"/>
    <w:rsid w:val="009C63A7"/>
    <w:rsid w:val="009C63C2"/>
    <w:rsid w:val="009C6480"/>
    <w:rsid w:val="009C654B"/>
    <w:rsid w:val="009C6582"/>
    <w:rsid w:val="009C66AF"/>
    <w:rsid w:val="009C68ED"/>
    <w:rsid w:val="009C6BE4"/>
    <w:rsid w:val="009C6C8F"/>
    <w:rsid w:val="009C6CC4"/>
    <w:rsid w:val="009C6CED"/>
    <w:rsid w:val="009C6D09"/>
    <w:rsid w:val="009C6DFF"/>
    <w:rsid w:val="009C6E73"/>
    <w:rsid w:val="009C6FE4"/>
    <w:rsid w:val="009C7100"/>
    <w:rsid w:val="009C7234"/>
    <w:rsid w:val="009C7353"/>
    <w:rsid w:val="009C7474"/>
    <w:rsid w:val="009C74F8"/>
    <w:rsid w:val="009C75DB"/>
    <w:rsid w:val="009C764A"/>
    <w:rsid w:val="009C7653"/>
    <w:rsid w:val="009C767E"/>
    <w:rsid w:val="009C789D"/>
    <w:rsid w:val="009C78D0"/>
    <w:rsid w:val="009C78D1"/>
    <w:rsid w:val="009C7919"/>
    <w:rsid w:val="009C792C"/>
    <w:rsid w:val="009C7AB5"/>
    <w:rsid w:val="009C7ACB"/>
    <w:rsid w:val="009C7CA8"/>
    <w:rsid w:val="009C7D3D"/>
    <w:rsid w:val="009C7EBD"/>
    <w:rsid w:val="009C7F35"/>
    <w:rsid w:val="009C7F40"/>
    <w:rsid w:val="009D00AC"/>
    <w:rsid w:val="009D0116"/>
    <w:rsid w:val="009D0197"/>
    <w:rsid w:val="009D01E8"/>
    <w:rsid w:val="009D01E9"/>
    <w:rsid w:val="009D0222"/>
    <w:rsid w:val="009D035F"/>
    <w:rsid w:val="009D05DC"/>
    <w:rsid w:val="009D0657"/>
    <w:rsid w:val="009D06B1"/>
    <w:rsid w:val="009D06E2"/>
    <w:rsid w:val="009D06FA"/>
    <w:rsid w:val="009D0777"/>
    <w:rsid w:val="009D0827"/>
    <w:rsid w:val="009D08D0"/>
    <w:rsid w:val="009D09E0"/>
    <w:rsid w:val="009D0A2D"/>
    <w:rsid w:val="009D0A48"/>
    <w:rsid w:val="009D0AFD"/>
    <w:rsid w:val="009D0B57"/>
    <w:rsid w:val="009D0BA1"/>
    <w:rsid w:val="009D0C9A"/>
    <w:rsid w:val="009D0D9E"/>
    <w:rsid w:val="009D0E63"/>
    <w:rsid w:val="009D0F50"/>
    <w:rsid w:val="009D0FA9"/>
    <w:rsid w:val="009D1102"/>
    <w:rsid w:val="009D1115"/>
    <w:rsid w:val="009D1128"/>
    <w:rsid w:val="009D11DB"/>
    <w:rsid w:val="009D1273"/>
    <w:rsid w:val="009D12A5"/>
    <w:rsid w:val="009D1388"/>
    <w:rsid w:val="009D1462"/>
    <w:rsid w:val="009D1471"/>
    <w:rsid w:val="009D14A9"/>
    <w:rsid w:val="009D14C0"/>
    <w:rsid w:val="009D15AA"/>
    <w:rsid w:val="009D15D2"/>
    <w:rsid w:val="009D1896"/>
    <w:rsid w:val="009D18A4"/>
    <w:rsid w:val="009D1936"/>
    <w:rsid w:val="009D1986"/>
    <w:rsid w:val="009D19AC"/>
    <w:rsid w:val="009D1A4E"/>
    <w:rsid w:val="009D1AF2"/>
    <w:rsid w:val="009D1B10"/>
    <w:rsid w:val="009D1B1D"/>
    <w:rsid w:val="009D1B38"/>
    <w:rsid w:val="009D1B8B"/>
    <w:rsid w:val="009D1BC3"/>
    <w:rsid w:val="009D1C96"/>
    <w:rsid w:val="009D1DA8"/>
    <w:rsid w:val="009D1E88"/>
    <w:rsid w:val="009D1F0D"/>
    <w:rsid w:val="009D1FA4"/>
    <w:rsid w:val="009D2142"/>
    <w:rsid w:val="009D230E"/>
    <w:rsid w:val="009D2315"/>
    <w:rsid w:val="009D245A"/>
    <w:rsid w:val="009D24BB"/>
    <w:rsid w:val="009D2503"/>
    <w:rsid w:val="009D252D"/>
    <w:rsid w:val="009D25BF"/>
    <w:rsid w:val="009D2612"/>
    <w:rsid w:val="009D2617"/>
    <w:rsid w:val="009D262D"/>
    <w:rsid w:val="009D264B"/>
    <w:rsid w:val="009D2898"/>
    <w:rsid w:val="009D29A9"/>
    <w:rsid w:val="009D2B82"/>
    <w:rsid w:val="009D2B88"/>
    <w:rsid w:val="009D2BC0"/>
    <w:rsid w:val="009D2CC5"/>
    <w:rsid w:val="009D2D15"/>
    <w:rsid w:val="009D2DB0"/>
    <w:rsid w:val="009D2F52"/>
    <w:rsid w:val="009D3080"/>
    <w:rsid w:val="009D317A"/>
    <w:rsid w:val="009D337B"/>
    <w:rsid w:val="009D33CC"/>
    <w:rsid w:val="009D3472"/>
    <w:rsid w:val="009D3493"/>
    <w:rsid w:val="009D35B1"/>
    <w:rsid w:val="009D3833"/>
    <w:rsid w:val="009D3863"/>
    <w:rsid w:val="009D395E"/>
    <w:rsid w:val="009D3A6B"/>
    <w:rsid w:val="009D3BFD"/>
    <w:rsid w:val="009D3D0B"/>
    <w:rsid w:val="009D3E2C"/>
    <w:rsid w:val="009D3EEB"/>
    <w:rsid w:val="009D3EF8"/>
    <w:rsid w:val="009D3F0D"/>
    <w:rsid w:val="009D3F76"/>
    <w:rsid w:val="009D404E"/>
    <w:rsid w:val="009D413B"/>
    <w:rsid w:val="009D417B"/>
    <w:rsid w:val="009D418E"/>
    <w:rsid w:val="009D447F"/>
    <w:rsid w:val="009D451D"/>
    <w:rsid w:val="009D470B"/>
    <w:rsid w:val="009D4747"/>
    <w:rsid w:val="009D4837"/>
    <w:rsid w:val="009D496D"/>
    <w:rsid w:val="009D49D4"/>
    <w:rsid w:val="009D4A07"/>
    <w:rsid w:val="009D4A3B"/>
    <w:rsid w:val="009D4A95"/>
    <w:rsid w:val="009D4B4D"/>
    <w:rsid w:val="009D4C60"/>
    <w:rsid w:val="009D4C61"/>
    <w:rsid w:val="009D4CBB"/>
    <w:rsid w:val="009D4DC5"/>
    <w:rsid w:val="009D4F16"/>
    <w:rsid w:val="009D5061"/>
    <w:rsid w:val="009D50A4"/>
    <w:rsid w:val="009D51CC"/>
    <w:rsid w:val="009D51E7"/>
    <w:rsid w:val="009D5201"/>
    <w:rsid w:val="009D5296"/>
    <w:rsid w:val="009D535C"/>
    <w:rsid w:val="009D536D"/>
    <w:rsid w:val="009D537C"/>
    <w:rsid w:val="009D54FB"/>
    <w:rsid w:val="009D5625"/>
    <w:rsid w:val="009D5680"/>
    <w:rsid w:val="009D584D"/>
    <w:rsid w:val="009D586F"/>
    <w:rsid w:val="009D58D6"/>
    <w:rsid w:val="009D58F4"/>
    <w:rsid w:val="009D590B"/>
    <w:rsid w:val="009D591D"/>
    <w:rsid w:val="009D596B"/>
    <w:rsid w:val="009D5A2A"/>
    <w:rsid w:val="009D5B14"/>
    <w:rsid w:val="009D5CD2"/>
    <w:rsid w:val="009D5E16"/>
    <w:rsid w:val="009D5E81"/>
    <w:rsid w:val="009D6412"/>
    <w:rsid w:val="009D6434"/>
    <w:rsid w:val="009D6488"/>
    <w:rsid w:val="009D64D6"/>
    <w:rsid w:val="009D65CF"/>
    <w:rsid w:val="009D675B"/>
    <w:rsid w:val="009D676B"/>
    <w:rsid w:val="009D6775"/>
    <w:rsid w:val="009D677E"/>
    <w:rsid w:val="009D679E"/>
    <w:rsid w:val="009D67E6"/>
    <w:rsid w:val="009D682F"/>
    <w:rsid w:val="009D6937"/>
    <w:rsid w:val="009D69EC"/>
    <w:rsid w:val="009D6A89"/>
    <w:rsid w:val="009D6AE5"/>
    <w:rsid w:val="009D6B73"/>
    <w:rsid w:val="009D6C4E"/>
    <w:rsid w:val="009D6D7C"/>
    <w:rsid w:val="009D6E01"/>
    <w:rsid w:val="009D6E3D"/>
    <w:rsid w:val="009D6E84"/>
    <w:rsid w:val="009D6E9C"/>
    <w:rsid w:val="009D7303"/>
    <w:rsid w:val="009D7585"/>
    <w:rsid w:val="009D7780"/>
    <w:rsid w:val="009D779A"/>
    <w:rsid w:val="009D78AE"/>
    <w:rsid w:val="009D79AF"/>
    <w:rsid w:val="009D7A0A"/>
    <w:rsid w:val="009D7C44"/>
    <w:rsid w:val="009D7C80"/>
    <w:rsid w:val="009D7D07"/>
    <w:rsid w:val="009D7E3F"/>
    <w:rsid w:val="009D7EB4"/>
    <w:rsid w:val="009E00E4"/>
    <w:rsid w:val="009E0218"/>
    <w:rsid w:val="009E0297"/>
    <w:rsid w:val="009E02C8"/>
    <w:rsid w:val="009E045B"/>
    <w:rsid w:val="009E050E"/>
    <w:rsid w:val="009E06DF"/>
    <w:rsid w:val="009E077C"/>
    <w:rsid w:val="009E0793"/>
    <w:rsid w:val="009E07E7"/>
    <w:rsid w:val="009E0807"/>
    <w:rsid w:val="009E08D8"/>
    <w:rsid w:val="009E0A23"/>
    <w:rsid w:val="009E0A42"/>
    <w:rsid w:val="009E0B64"/>
    <w:rsid w:val="009E0BAD"/>
    <w:rsid w:val="009E0BC9"/>
    <w:rsid w:val="009E0BD9"/>
    <w:rsid w:val="009E0E2E"/>
    <w:rsid w:val="009E0EF5"/>
    <w:rsid w:val="009E0F45"/>
    <w:rsid w:val="009E0FAC"/>
    <w:rsid w:val="009E10ED"/>
    <w:rsid w:val="009E12FC"/>
    <w:rsid w:val="009E138C"/>
    <w:rsid w:val="009E143B"/>
    <w:rsid w:val="009E1501"/>
    <w:rsid w:val="009E16E1"/>
    <w:rsid w:val="009E17B9"/>
    <w:rsid w:val="009E18EA"/>
    <w:rsid w:val="009E1A0F"/>
    <w:rsid w:val="009E1A4B"/>
    <w:rsid w:val="009E1A95"/>
    <w:rsid w:val="009E1BCC"/>
    <w:rsid w:val="009E1C88"/>
    <w:rsid w:val="009E1D8B"/>
    <w:rsid w:val="009E1DD8"/>
    <w:rsid w:val="009E1F1D"/>
    <w:rsid w:val="009E1F2D"/>
    <w:rsid w:val="009E2085"/>
    <w:rsid w:val="009E20E7"/>
    <w:rsid w:val="009E210A"/>
    <w:rsid w:val="009E2221"/>
    <w:rsid w:val="009E2337"/>
    <w:rsid w:val="009E233C"/>
    <w:rsid w:val="009E235E"/>
    <w:rsid w:val="009E239E"/>
    <w:rsid w:val="009E23FD"/>
    <w:rsid w:val="009E24B3"/>
    <w:rsid w:val="009E24DB"/>
    <w:rsid w:val="009E2526"/>
    <w:rsid w:val="009E252D"/>
    <w:rsid w:val="009E2555"/>
    <w:rsid w:val="009E25E4"/>
    <w:rsid w:val="009E2678"/>
    <w:rsid w:val="009E275C"/>
    <w:rsid w:val="009E2881"/>
    <w:rsid w:val="009E2945"/>
    <w:rsid w:val="009E2B35"/>
    <w:rsid w:val="009E2C56"/>
    <w:rsid w:val="009E2D5B"/>
    <w:rsid w:val="009E2DA3"/>
    <w:rsid w:val="009E2F88"/>
    <w:rsid w:val="009E30CC"/>
    <w:rsid w:val="009E30D4"/>
    <w:rsid w:val="009E3105"/>
    <w:rsid w:val="009E31B8"/>
    <w:rsid w:val="009E3372"/>
    <w:rsid w:val="009E3414"/>
    <w:rsid w:val="009E347F"/>
    <w:rsid w:val="009E3631"/>
    <w:rsid w:val="009E3649"/>
    <w:rsid w:val="009E37ED"/>
    <w:rsid w:val="009E383A"/>
    <w:rsid w:val="009E38F1"/>
    <w:rsid w:val="009E392C"/>
    <w:rsid w:val="009E396C"/>
    <w:rsid w:val="009E3C5B"/>
    <w:rsid w:val="009E3CDC"/>
    <w:rsid w:val="009E3D4A"/>
    <w:rsid w:val="009E3DCA"/>
    <w:rsid w:val="009E3DF3"/>
    <w:rsid w:val="009E3EFF"/>
    <w:rsid w:val="009E3FBC"/>
    <w:rsid w:val="009E4049"/>
    <w:rsid w:val="009E4101"/>
    <w:rsid w:val="009E4226"/>
    <w:rsid w:val="009E44FB"/>
    <w:rsid w:val="009E4517"/>
    <w:rsid w:val="009E485A"/>
    <w:rsid w:val="009E4ADE"/>
    <w:rsid w:val="009E4B20"/>
    <w:rsid w:val="009E4B4A"/>
    <w:rsid w:val="009E4B73"/>
    <w:rsid w:val="009E4C77"/>
    <w:rsid w:val="009E4D8F"/>
    <w:rsid w:val="009E4E31"/>
    <w:rsid w:val="009E4E46"/>
    <w:rsid w:val="009E4F01"/>
    <w:rsid w:val="009E4F46"/>
    <w:rsid w:val="009E5064"/>
    <w:rsid w:val="009E5097"/>
    <w:rsid w:val="009E50CD"/>
    <w:rsid w:val="009E510B"/>
    <w:rsid w:val="009E5186"/>
    <w:rsid w:val="009E547A"/>
    <w:rsid w:val="009E54F6"/>
    <w:rsid w:val="009E5500"/>
    <w:rsid w:val="009E5566"/>
    <w:rsid w:val="009E5697"/>
    <w:rsid w:val="009E5739"/>
    <w:rsid w:val="009E5762"/>
    <w:rsid w:val="009E585F"/>
    <w:rsid w:val="009E5898"/>
    <w:rsid w:val="009E58EE"/>
    <w:rsid w:val="009E5A2E"/>
    <w:rsid w:val="009E5B20"/>
    <w:rsid w:val="009E5B6E"/>
    <w:rsid w:val="009E5C62"/>
    <w:rsid w:val="009E5CB3"/>
    <w:rsid w:val="009E5D08"/>
    <w:rsid w:val="009E601C"/>
    <w:rsid w:val="009E6132"/>
    <w:rsid w:val="009E619F"/>
    <w:rsid w:val="009E61AD"/>
    <w:rsid w:val="009E6222"/>
    <w:rsid w:val="009E6236"/>
    <w:rsid w:val="009E659D"/>
    <w:rsid w:val="009E668A"/>
    <w:rsid w:val="009E6729"/>
    <w:rsid w:val="009E673D"/>
    <w:rsid w:val="009E6813"/>
    <w:rsid w:val="009E68AE"/>
    <w:rsid w:val="009E68D7"/>
    <w:rsid w:val="009E68DE"/>
    <w:rsid w:val="009E6993"/>
    <w:rsid w:val="009E6A13"/>
    <w:rsid w:val="009E6A38"/>
    <w:rsid w:val="009E6C39"/>
    <w:rsid w:val="009E6CB0"/>
    <w:rsid w:val="009E6E9A"/>
    <w:rsid w:val="009E6EE8"/>
    <w:rsid w:val="009E70F1"/>
    <w:rsid w:val="009E72E8"/>
    <w:rsid w:val="009E7363"/>
    <w:rsid w:val="009E73B0"/>
    <w:rsid w:val="009E73DC"/>
    <w:rsid w:val="009E75B3"/>
    <w:rsid w:val="009E7614"/>
    <w:rsid w:val="009E7686"/>
    <w:rsid w:val="009E7767"/>
    <w:rsid w:val="009E77D0"/>
    <w:rsid w:val="009E7907"/>
    <w:rsid w:val="009E7975"/>
    <w:rsid w:val="009E79FC"/>
    <w:rsid w:val="009E7A5B"/>
    <w:rsid w:val="009E7A99"/>
    <w:rsid w:val="009E7AEC"/>
    <w:rsid w:val="009E7B2C"/>
    <w:rsid w:val="009E7B77"/>
    <w:rsid w:val="009E7BF5"/>
    <w:rsid w:val="009E7C41"/>
    <w:rsid w:val="009E7CFB"/>
    <w:rsid w:val="009E7DD6"/>
    <w:rsid w:val="009F0043"/>
    <w:rsid w:val="009F0083"/>
    <w:rsid w:val="009F01F6"/>
    <w:rsid w:val="009F027D"/>
    <w:rsid w:val="009F02D6"/>
    <w:rsid w:val="009F032A"/>
    <w:rsid w:val="009F038C"/>
    <w:rsid w:val="009F07E5"/>
    <w:rsid w:val="009F0860"/>
    <w:rsid w:val="009F0A5F"/>
    <w:rsid w:val="009F0A6A"/>
    <w:rsid w:val="009F0B84"/>
    <w:rsid w:val="009F0C56"/>
    <w:rsid w:val="009F0CC2"/>
    <w:rsid w:val="009F0CEE"/>
    <w:rsid w:val="009F0CF2"/>
    <w:rsid w:val="009F0F2E"/>
    <w:rsid w:val="009F0F96"/>
    <w:rsid w:val="009F1089"/>
    <w:rsid w:val="009F111A"/>
    <w:rsid w:val="009F115F"/>
    <w:rsid w:val="009F1259"/>
    <w:rsid w:val="009F126F"/>
    <w:rsid w:val="009F130F"/>
    <w:rsid w:val="009F1414"/>
    <w:rsid w:val="009F1505"/>
    <w:rsid w:val="009F1520"/>
    <w:rsid w:val="009F1533"/>
    <w:rsid w:val="009F1623"/>
    <w:rsid w:val="009F1729"/>
    <w:rsid w:val="009F17CA"/>
    <w:rsid w:val="009F1A71"/>
    <w:rsid w:val="009F1A9A"/>
    <w:rsid w:val="009F1AC4"/>
    <w:rsid w:val="009F1BB9"/>
    <w:rsid w:val="009F1CFA"/>
    <w:rsid w:val="009F1D24"/>
    <w:rsid w:val="009F1D78"/>
    <w:rsid w:val="009F202A"/>
    <w:rsid w:val="009F214D"/>
    <w:rsid w:val="009F215E"/>
    <w:rsid w:val="009F2167"/>
    <w:rsid w:val="009F2289"/>
    <w:rsid w:val="009F22EF"/>
    <w:rsid w:val="009F2466"/>
    <w:rsid w:val="009F24DD"/>
    <w:rsid w:val="009F256A"/>
    <w:rsid w:val="009F2591"/>
    <w:rsid w:val="009F2656"/>
    <w:rsid w:val="009F279B"/>
    <w:rsid w:val="009F286A"/>
    <w:rsid w:val="009F299F"/>
    <w:rsid w:val="009F29E6"/>
    <w:rsid w:val="009F29F5"/>
    <w:rsid w:val="009F2A59"/>
    <w:rsid w:val="009F2AAC"/>
    <w:rsid w:val="009F2C42"/>
    <w:rsid w:val="009F2CB5"/>
    <w:rsid w:val="009F2CCD"/>
    <w:rsid w:val="009F2D20"/>
    <w:rsid w:val="009F2D78"/>
    <w:rsid w:val="009F2DC1"/>
    <w:rsid w:val="009F2DDE"/>
    <w:rsid w:val="009F2DFE"/>
    <w:rsid w:val="009F2E12"/>
    <w:rsid w:val="009F2E79"/>
    <w:rsid w:val="009F2E86"/>
    <w:rsid w:val="009F2EE2"/>
    <w:rsid w:val="009F2F1C"/>
    <w:rsid w:val="009F2F4B"/>
    <w:rsid w:val="009F3017"/>
    <w:rsid w:val="009F31C7"/>
    <w:rsid w:val="009F3368"/>
    <w:rsid w:val="009F33E6"/>
    <w:rsid w:val="009F33F4"/>
    <w:rsid w:val="009F3410"/>
    <w:rsid w:val="009F3423"/>
    <w:rsid w:val="009F352B"/>
    <w:rsid w:val="009F35B1"/>
    <w:rsid w:val="009F35FA"/>
    <w:rsid w:val="009F3648"/>
    <w:rsid w:val="009F36A9"/>
    <w:rsid w:val="009F381C"/>
    <w:rsid w:val="009F3844"/>
    <w:rsid w:val="009F385B"/>
    <w:rsid w:val="009F393B"/>
    <w:rsid w:val="009F3A1D"/>
    <w:rsid w:val="009F3AC2"/>
    <w:rsid w:val="009F3B7E"/>
    <w:rsid w:val="009F3C05"/>
    <w:rsid w:val="009F3D7E"/>
    <w:rsid w:val="009F3E5E"/>
    <w:rsid w:val="009F3ECE"/>
    <w:rsid w:val="009F4007"/>
    <w:rsid w:val="009F40E5"/>
    <w:rsid w:val="009F40F9"/>
    <w:rsid w:val="009F41D1"/>
    <w:rsid w:val="009F431C"/>
    <w:rsid w:val="009F44BE"/>
    <w:rsid w:val="009F45D6"/>
    <w:rsid w:val="009F45E1"/>
    <w:rsid w:val="009F45FA"/>
    <w:rsid w:val="009F4A5A"/>
    <w:rsid w:val="009F4BB0"/>
    <w:rsid w:val="009F4C4F"/>
    <w:rsid w:val="009F4D75"/>
    <w:rsid w:val="009F4E4E"/>
    <w:rsid w:val="009F4E60"/>
    <w:rsid w:val="009F4ECC"/>
    <w:rsid w:val="009F4EE2"/>
    <w:rsid w:val="009F4F0D"/>
    <w:rsid w:val="009F4F58"/>
    <w:rsid w:val="009F4F72"/>
    <w:rsid w:val="009F4F83"/>
    <w:rsid w:val="009F503F"/>
    <w:rsid w:val="009F5052"/>
    <w:rsid w:val="009F508A"/>
    <w:rsid w:val="009F5121"/>
    <w:rsid w:val="009F515E"/>
    <w:rsid w:val="009F51EA"/>
    <w:rsid w:val="009F51F7"/>
    <w:rsid w:val="009F53E4"/>
    <w:rsid w:val="009F5450"/>
    <w:rsid w:val="009F5459"/>
    <w:rsid w:val="009F547B"/>
    <w:rsid w:val="009F5736"/>
    <w:rsid w:val="009F5764"/>
    <w:rsid w:val="009F58A5"/>
    <w:rsid w:val="009F5902"/>
    <w:rsid w:val="009F595C"/>
    <w:rsid w:val="009F5967"/>
    <w:rsid w:val="009F5989"/>
    <w:rsid w:val="009F5A2B"/>
    <w:rsid w:val="009F5BBD"/>
    <w:rsid w:val="009F5BCC"/>
    <w:rsid w:val="009F5D15"/>
    <w:rsid w:val="009F5D3F"/>
    <w:rsid w:val="009F5DE8"/>
    <w:rsid w:val="009F5EA5"/>
    <w:rsid w:val="009F5F48"/>
    <w:rsid w:val="009F6172"/>
    <w:rsid w:val="009F6189"/>
    <w:rsid w:val="009F61E3"/>
    <w:rsid w:val="009F622F"/>
    <w:rsid w:val="009F62E4"/>
    <w:rsid w:val="009F6437"/>
    <w:rsid w:val="009F645C"/>
    <w:rsid w:val="009F657F"/>
    <w:rsid w:val="009F664B"/>
    <w:rsid w:val="009F66A6"/>
    <w:rsid w:val="009F66E5"/>
    <w:rsid w:val="009F6732"/>
    <w:rsid w:val="009F6774"/>
    <w:rsid w:val="009F67E8"/>
    <w:rsid w:val="009F6803"/>
    <w:rsid w:val="009F6804"/>
    <w:rsid w:val="009F6AA6"/>
    <w:rsid w:val="009F6EE5"/>
    <w:rsid w:val="009F6FE0"/>
    <w:rsid w:val="009F70B2"/>
    <w:rsid w:val="009F70E6"/>
    <w:rsid w:val="009F711A"/>
    <w:rsid w:val="009F7213"/>
    <w:rsid w:val="009F72A1"/>
    <w:rsid w:val="009F73D3"/>
    <w:rsid w:val="009F73E7"/>
    <w:rsid w:val="009F7418"/>
    <w:rsid w:val="009F74C9"/>
    <w:rsid w:val="009F7541"/>
    <w:rsid w:val="009F7548"/>
    <w:rsid w:val="009F75BF"/>
    <w:rsid w:val="009F7674"/>
    <w:rsid w:val="009F786B"/>
    <w:rsid w:val="009F7949"/>
    <w:rsid w:val="009F7988"/>
    <w:rsid w:val="009F7A8D"/>
    <w:rsid w:val="009F7D4E"/>
    <w:rsid w:val="009F7DA8"/>
    <w:rsid w:val="009F7DAA"/>
    <w:rsid w:val="009F7E5E"/>
    <w:rsid w:val="00A00064"/>
    <w:rsid w:val="00A0007D"/>
    <w:rsid w:val="00A000FA"/>
    <w:rsid w:val="00A00266"/>
    <w:rsid w:val="00A00508"/>
    <w:rsid w:val="00A00632"/>
    <w:rsid w:val="00A007AC"/>
    <w:rsid w:val="00A00812"/>
    <w:rsid w:val="00A00873"/>
    <w:rsid w:val="00A008F1"/>
    <w:rsid w:val="00A00987"/>
    <w:rsid w:val="00A009B4"/>
    <w:rsid w:val="00A009C4"/>
    <w:rsid w:val="00A00B7F"/>
    <w:rsid w:val="00A00B8E"/>
    <w:rsid w:val="00A00C1F"/>
    <w:rsid w:val="00A00DED"/>
    <w:rsid w:val="00A00E3F"/>
    <w:rsid w:val="00A00E71"/>
    <w:rsid w:val="00A00FBA"/>
    <w:rsid w:val="00A010B1"/>
    <w:rsid w:val="00A010D4"/>
    <w:rsid w:val="00A01260"/>
    <w:rsid w:val="00A01474"/>
    <w:rsid w:val="00A014FB"/>
    <w:rsid w:val="00A0158D"/>
    <w:rsid w:val="00A01627"/>
    <w:rsid w:val="00A01670"/>
    <w:rsid w:val="00A01695"/>
    <w:rsid w:val="00A016DE"/>
    <w:rsid w:val="00A0172A"/>
    <w:rsid w:val="00A01975"/>
    <w:rsid w:val="00A01A40"/>
    <w:rsid w:val="00A01AB1"/>
    <w:rsid w:val="00A01B50"/>
    <w:rsid w:val="00A01B9B"/>
    <w:rsid w:val="00A01D05"/>
    <w:rsid w:val="00A01DA2"/>
    <w:rsid w:val="00A01E55"/>
    <w:rsid w:val="00A01ED0"/>
    <w:rsid w:val="00A01F69"/>
    <w:rsid w:val="00A02054"/>
    <w:rsid w:val="00A02083"/>
    <w:rsid w:val="00A020C3"/>
    <w:rsid w:val="00A020D1"/>
    <w:rsid w:val="00A021B8"/>
    <w:rsid w:val="00A0220C"/>
    <w:rsid w:val="00A02242"/>
    <w:rsid w:val="00A02272"/>
    <w:rsid w:val="00A02369"/>
    <w:rsid w:val="00A023AC"/>
    <w:rsid w:val="00A023DA"/>
    <w:rsid w:val="00A024DC"/>
    <w:rsid w:val="00A026FA"/>
    <w:rsid w:val="00A02777"/>
    <w:rsid w:val="00A027B2"/>
    <w:rsid w:val="00A027E1"/>
    <w:rsid w:val="00A02A3B"/>
    <w:rsid w:val="00A02A48"/>
    <w:rsid w:val="00A02A9D"/>
    <w:rsid w:val="00A02AC5"/>
    <w:rsid w:val="00A02B48"/>
    <w:rsid w:val="00A02B55"/>
    <w:rsid w:val="00A02BB4"/>
    <w:rsid w:val="00A02BC1"/>
    <w:rsid w:val="00A02C4D"/>
    <w:rsid w:val="00A02D46"/>
    <w:rsid w:val="00A02DAD"/>
    <w:rsid w:val="00A02EBC"/>
    <w:rsid w:val="00A02EF5"/>
    <w:rsid w:val="00A02F86"/>
    <w:rsid w:val="00A03052"/>
    <w:rsid w:val="00A0305F"/>
    <w:rsid w:val="00A0306C"/>
    <w:rsid w:val="00A0317D"/>
    <w:rsid w:val="00A031DD"/>
    <w:rsid w:val="00A03267"/>
    <w:rsid w:val="00A032BE"/>
    <w:rsid w:val="00A032D8"/>
    <w:rsid w:val="00A0331B"/>
    <w:rsid w:val="00A03340"/>
    <w:rsid w:val="00A034D4"/>
    <w:rsid w:val="00A034DB"/>
    <w:rsid w:val="00A03510"/>
    <w:rsid w:val="00A0353E"/>
    <w:rsid w:val="00A03777"/>
    <w:rsid w:val="00A03A74"/>
    <w:rsid w:val="00A03AD6"/>
    <w:rsid w:val="00A03B34"/>
    <w:rsid w:val="00A03B64"/>
    <w:rsid w:val="00A03BCE"/>
    <w:rsid w:val="00A03C10"/>
    <w:rsid w:val="00A03D93"/>
    <w:rsid w:val="00A03D9C"/>
    <w:rsid w:val="00A03E22"/>
    <w:rsid w:val="00A03E25"/>
    <w:rsid w:val="00A03F29"/>
    <w:rsid w:val="00A04004"/>
    <w:rsid w:val="00A04047"/>
    <w:rsid w:val="00A0419D"/>
    <w:rsid w:val="00A042B4"/>
    <w:rsid w:val="00A04319"/>
    <w:rsid w:val="00A04455"/>
    <w:rsid w:val="00A044B3"/>
    <w:rsid w:val="00A0450F"/>
    <w:rsid w:val="00A0451B"/>
    <w:rsid w:val="00A0475D"/>
    <w:rsid w:val="00A048B4"/>
    <w:rsid w:val="00A04B03"/>
    <w:rsid w:val="00A04B38"/>
    <w:rsid w:val="00A04EEC"/>
    <w:rsid w:val="00A04FD5"/>
    <w:rsid w:val="00A0513B"/>
    <w:rsid w:val="00A05144"/>
    <w:rsid w:val="00A051BA"/>
    <w:rsid w:val="00A05271"/>
    <w:rsid w:val="00A052B1"/>
    <w:rsid w:val="00A053B5"/>
    <w:rsid w:val="00A05416"/>
    <w:rsid w:val="00A054B7"/>
    <w:rsid w:val="00A054D6"/>
    <w:rsid w:val="00A055FF"/>
    <w:rsid w:val="00A0582F"/>
    <w:rsid w:val="00A058BE"/>
    <w:rsid w:val="00A05956"/>
    <w:rsid w:val="00A05985"/>
    <w:rsid w:val="00A05A66"/>
    <w:rsid w:val="00A05A78"/>
    <w:rsid w:val="00A05AF6"/>
    <w:rsid w:val="00A05B05"/>
    <w:rsid w:val="00A05B54"/>
    <w:rsid w:val="00A05C0A"/>
    <w:rsid w:val="00A05C21"/>
    <w:rsid w:val="00A05E99"/>
    <w:rsid w:val="00A05EF4"/>
    <w:rsid w:val="00A05FD4"/>
    <w:rsid w:val="00A0609A"/>
    <w:rsid w:val="00A06220"/>
    <w:rsid w:val="00A06424"/>
    <w:rsid w:val="00A06617"/>
    <w:rsid w:val="00A0665C"/>
    <w:rsid w:val="00A067DF"/>
    <w:rsid w:val="00A06901"/>
    <w:rsid w:val="00A069E9"/>
    <w:rsid w:val="00A06B2D"/>
    <w:rsid w:val="00A06C64"/>
    <w:rsid w:val="00A06CA1"/>
    <w:rsid w:val="00A06CB3"/>
    <w:rsid w:val="00A06CC2"/>
    <w:rsid w:val="00A06CD8"/>
    <w:rsid w:val="00A06D32"/>
    <w:rsid w:val="00A06ECC"/>
    <w:rsid w:val="00A06ECD"/>
    <w:rsid w:val="00A06EF9"/>
    <w:rsid w:val="00A06FB5"/>
    <w:rsid w:val="00A070CA"/>
    <w:rsid w:val="00A07149"/>
    <w:rsid w:val="00A07160"/>
    <w:rsid w:val="00A0717A"/>
    <w:rsid w:val="00A072B2"/>
    <w:rsid w:val="00A07448"/>
    <w:rsid w:val="00A076AF"/>
    <w:rsid w:val="00A07791"/>
    <w:rsid w:val="00A077BE"/>
    <w:rsid w:val="00A07847"/>
    <w:rsid w:val="00A07A49"/>
    <w:rsid w:val="00A07A8A"/>
    <w:rsid w:val="00A07B0C"/>
    <w:rsid w:val="00A07BA0"/>
    <w:rsid w:val="00A07C7D"/>
    <w:rsid w:val="00A07CC5"/>
    <w:rsid w:val="00A07E45"/>
    <w:rsid w:val="00A07F74"/>
    <w:rsid w:val="00A07FDE"/>
    <w:rsid w:val="00A100E5"/>
    <w:rsid w:val="00A1044B"/>
    <w:rsid w:val="00A10582"/>
    <w:rsid w:val="00A105D9"/>
    <w:rsid w:val="00A1061D"/>
    <w:rsid w:val="00A10C6E"/>
    <w:rsid w:val="00A10E24"/>
    <w:rsid w:val="00A10E2C"/>
    <w:rsid w:val="00A10ED0"/>
    <w:rsid w:val="00A10FF8"/>
    <w:rsid w:val="00A11052"/>
    <w:rsid w:val="00A110CC"/>
    <w:rsid w:val="00A110DD"/>
    <w:rsid w:val="00A110E6"/>
    <w:rsid w:val="00A11189"/>
    <w:rsid w:val="00A11288"/>
    <w:rsid w:val="00A113E2"/>
    <w:rsid w:val="00A11563"/>
    <w:rsid w:val="00A11584"/>
    <w:rsid w:val="00A1177D"/>
    <w:rsid w:val="00A1180E"/>
    <w:rsid w:val="00A11932"/>
    <w:rsid w:val="00A1194A"/>
    <w:rsid w:val="00A11980"/>
    <w:rsid w:val="00A11A24"/>
    <w:rsid w:val="00A11A78"/>
    <w:rsid w:val="00A11BC9"/>
    <w:rsid w:val="00A11C40"/>
    <w:rsid w:val="00A11C78"/>
    <w:rsid w:val="00A11E0E"/>
    <w:rsid w:val="00A11E42"/>
    <w:rsid w:val="00A12010"/>
    <w:rsid w:val="00A122BF"/>
    <w:rsid w:val="00A12301"/>
    <w:rsid w:val="00A124FF"/>
    <w:rsid w:val="00A12545"/>
    <w:rsid w:val="00A125DE"/>
    <w:rsid w:val="00A125EC"/>
    <w:rsid w:val="00A126A7"/>
    <w:rsid w:val="00A12779"/>
    <w:rsid w:val="00A129F3"/>
    <w:rsid w:val="00A12A9D"/>
    <w:rsid w:val="00A12B24"/>
    <w:rsid w:val="00A12B70"/>
    <w:rsid w:val="00A12BCD"/>
    <w:rsid w:val="00A12C27"/>
    <w:rsid w:val="00A12E1C"/>
    <w:rsid w:val="00A12E6B"/>
    <w:rsid w:val="00A12EA9"/>
    <w:rsid w:val="00A13131"/>
    <w:rsid w:val="00A13137"/>
    <w:rsid w:val="00A13161"/>
    <w:rsid w:val="00A1322C"/>
    <w:rsid w:val="00A13299"/>
    <w:rsid w:val="00A1347E"/>
    <w:rsid w:val="00A13494"/>
    <w:rsid w:val="00A13508"/>
    <w:rsid w:val="00A1350E"/>
    <w:rsid w:val="00A1351A"/>
    <w:rsid w:val="00A136E5"/>
    <w:rsid w:val="00A1377E"/>
    <w:rsid w:val="00A13900"/>
    <w:rsid w:val="00A13A03"/>
    <w:rsid w:val="00A13A35"/>
    <w:rsid w:val="00A13A8E"/>
    <w:rsid w:val="00A13A99"/>
    <w:rsid w:val="00A13D5F"/>
    <w:rsid w:val="00A13DF2"/>
    <w:rsid w:val="00A13E3B"/>
    <w:rsid w:val="00A13ED8"/>
    <w:rsid w:val="00A13EDE"/>
    <w:rsid w:val="00A13F56"/>
    <w:rsid w:val="00A13FAB"/>
    <w:rsid w:val="00A14049"/>
    <w:rsid w:val="00A14061"/>
    <w:rsid w:val="00A1416E"/>
    <w:rsid w:val="00A141A7"/>
    <w:rsid w:val="00A1420F"/>
    <w:rsid w:val="00A14260"/>
    <w:rsid w:val="00A142D4"/>
    <w:rsid w:val="00A14343"/>
    <w:rsid w:val="00A14360"/>
    <w:rsid w:val="00A143C3"/>
    <w:rsid w:val="00A144C0"/>
    <w:rsid w:val="00A1452E"/>
    <w:rsid w:val="00A14864"/>
    <w:rsid w:val="00A1495E"/>
    <w:rsid w:val="00A14A83"/>
    <w:rsid w:val="00A14AB4"/>
    <w:rsid w:val="00A14B2F"/>
    <w:rsid w:val="00A14BC6"/>
    <w:rsid w:val="00A14C5B"/>
    <w:rsid w:val="00A14D5D"/>
    <w:rsid w:val="00A14DB2"/>
    <w:rsid w:val="00A14E27"/>
    <w:rsid w:val="00A14EAE"/>
    <w:rsid w:val="00A14EEF"/>
    <w:rsid w:val="00A14F35"/>
    <w:rsid w:val="00A14F4F"/>
    <w:rsid w:val="00A14FA5"/>
    <w:rsid w:val="00A15017"/>
    <w:rsid w:val="00A1507F"/>
    <w:rsid w:val="00A151C4"/>
    <w:rsid w:val="00A1521F"/>
    <w:rsid w:val="00A1524F"/>
    <w:rsid w:val="00A152D7"/>
    <w:rsid w:val="00A1534D"/>
    <w:rsid w:val="00A1549D"/>
    <w:rsid w:val="00A154CA"/>
    <w:rsid w:val="00A1557D"/>
    <w:rsid w:val="00A155AA"/>
    <w:rsid w:val="00A15672"/>
    <w:rsid w:val="00A15709"/>
    <w:rsid w:val="00A15779"/>
    <w:rsid w:val="00A157CF"/>
    <w:rsid w:val="00A158FB"/>
    <w:rsid w:val="00A1592E"/>
    <w:rsid w:val="00A15C48"/>
    <w:rsid w:val="00A15D0A"/>
    <w:rsid w:val="00A15D5F"/>
    <w:rsid w:val="00A15EA8"/>
    <w:rsid w:val="00A1602A"/>
    <w:rsid w:val="00A160F8"/>
    <w:rsid w:val="00A16259"/>
    <w:rsid w:val="00A1625C"/>
    <w:rsid w:val="00A16264"/>
    <w:rsid w:val="00A1633D"/>
    <w:rsid w:val="00A16353"/>
    <w:rsid w:val="00A165C4"/>
    <w:rsid w:val="00A166F7"/>
    <w:rsid w:val="00A1672E"/>
    <w:rsid w:val="00A1688C"/>
    <w:rsid w:val="00A16E2B"/>
    <w:rsid w:val="00A16E9E"/>
    <w:rsid w:val="00A16EBF"/>
    <w:rsid w:val="00A16FA1"/>
    <w:rsid w:val="00A17016"/>
    <w:rsid w:val="00A17022"/>
    <w:rsid w:val="00A170AC"/>
    <w:rsid w:val="00A172A0"/>
    <w:rsid w:val="00A17409"/>
    <w:rsid w:val="00A1744D"/>
    <w:rsid w:val="00A1745B"/>
    <w:rsid w:val="00A1748B"/>
    <w:rsid w:val="00A174A1"/>
    <w:rsid w:val="00A174BE"/>
    <w:rsid w:val="00A174E0"/>
    <w:rsid w:val="00A177AD"/>
    <w:rsid w:val="00A17827"/>
    <w:rsid w:val="00A179B7"/>
    <w:rsid w:val="00A17A3C"/>
    <w:rsid w:val="00A17A8D"/>
    <w:rsid w:val="00A17BAD"/>
    <w:rsid w:val="00A17BB0"/>
    <w:rsid w:val="00A17BD9"/>
    <w:rsid w:val="00A17BEE"/>
    <w:rsid w:val="00A17CCF"/>
    <w:rsid w:val="00A17D10"/>
    <w:rsid w:val="00A17D3B"/>
    <w:rsid w:val="00A17E69"/>
    <w:rsid w:val="00A17EAE"/>
    <w:rsid w:val="00A17F22"/>
    <w:rsid w:val="00A17FF0"/>
    <w:rsid w:val="00A20030"/>
    <w:rsid w:val="00A200A0"/>
    <w:rsid w:val="00A20162"/>
    <w:rsid w:val="00A2021E"/>
    <w:rsid w:val="00A20235"/>
    <w:rsid w:val="00A2029F"/>
    <w:rsid w:val="00A202D6"/>
    <w:rsid w:val="00A20367"/>
    <w:rsid w:val="00A203C9"/>
    <w:rsid w:val="00A204D3"/>
    <w:rsid w:val="00A20659"/>
    <w:rsid w:val="00A2066E"/>
    <w:rsid w:val="00A20689"/>
    <w:rsid w:val="00A2071A"/>
    <w:rsid w:val="00A209EE"/>
    <w:rsid w:val="00A20A4D"/>
    <w:rsid w:val="00A20B4B"/>
    <w:rsid w:val="00A20B75"/>
    <w:rsid w:val="00A20CB3"/>
    <w:rsid w:val="00A20E79"/>
    <w:rsid w:val="00A20F02"/>
    <w:rsid w:val="00A21244"/>
    <w:rsid w:val="00A212C6"/>
    <w:rsid w:val="00A21357"/>
    <w:rsid w:val="00A213AB"/>
    <w:rsid w:val="00A213B9"/>
    <w:rsid w:val="00A21432"/>
    <w:rsid w:val="00A2157E"/>
    <w:rsid w:val="00A215B3"/>
    <w:rsid w:val="00A2169C"/>
    <w:rsid w:val="00A216C3"/>
    <w:rsid w:val="00A21710"/>
    <w:rsid w:val="00A21752"/>
    <w:rsid w:val="00A21845"/>
    <w:rsid w:val="00A218F6"/>
    <w:rsid w:val="00A219B8"/>
    <w:rsid w:val="00A219CC"/>
    <w:rsid w:val="00A21B4D"/>
    <w:rsid w:val="00A21C16"/>
    <w:rsid w:val="00A21C1E"/>
    <w:rsid w:val="00A21DB8"/>
    <w:rsid w:val="00A21FFC"/>
    <w:rsid w:val="00A22109"/>
    <w:rsid w:val="00A2214E"/>
    <w:rsid w:val="00A22246"/>
    <w:rsid w:val="00A22268"/>
    <w:rsid w:val="00A22315"/>
    <w:rsid w:val="00A22643"/>
    <w:rsid w:val="00A2289E"/>
    <w:rsid w:val="00A22918"/>
    <w:rsid w:val="00A22939"/>
    <w:rsid w:val="00A22962"/>
    <w:rsid w:val="00A22A38"/>
    <w:rsid w:val="00A22C16"/>
    <w:rsid w:val="00A22CCD"/>
    <w:rsid w:val="00A22DCE"/>
    <w:rsid w:val="00A22DE1"/>
    <w:rsid w:val="00A22EDD"/>
    <w:rsid w:val="00A22F49"/>
    <w:rsid w:val="00A22FCA"/>
    <w:rsid w:val="00A23075"/>
    <w:rsid w:val="00A23154"/>
    <w:rsid w:val="00A231F4"/>
    <w:rsid w:val="00A23348"/>
    <w:rsid w:val="00A2341B"/>
    <w:rsid w:val="00A23520"/>
    <w:rsid w:val="00A235A9"/>
    <w:rsid w:val="00A23908"/>
    <w:rsid w:val="00A23A07"/>
    <w:rsid w:val="00A23A08"/>
    <w:rsid w:val="00A23C0E"/>
    <w:rsid w:val="00A23C19"/>
    <w:rsid w:val="00A23C48"/>
    <w:rsid w:val="00A23D18"/>
    <w:rsid w:val="00A23D66"/>
    <w:rsid w:val="00A23DAD"/>
    <w:rsid w:val="00A23E4D"/>
    <w:rsid w:val="00A23E9B"/>
    <w:rsid w:val="00A23F9B"/>
    <w:rsid w:val="00A240E1"/>
    <w:rsid w:val="00A241D5"/>
    <w:rsid w:val="00A24348"/>
    <w:rsid w:val="00A24448"/>
    <w:rsid w:val="00A24456"/>
    <w:rsid w:val="00A24669"/>
    <w:rsid w:val="00A246B0"/>
    <w:rsid w:val="00A246B6"/>
    <w:rsid w:val="00A248A2"/>
    <w:rsid w:val="00A248D0"/>
    <w:rsid w:val="00A2494D"/>
    <w:rsid w:val="00A24B2E"/>
    <w:rsid w:val="00A24DBF"/>
    <w:rsid w:val="00A2505D"/>
    <w:rsid w:val="00A25095"/>
    <w:rsid w:val="00A25105"/>
    <w:rsid w:val="00A2511F"/>
    <w:rsid w:val="00A2517A"/>
    <w:rsid w:val="00A25224"/>
    <w:rsid w:val="00A25228"/>
    <w:rsid w:val="00A2533D"/>
    <w:rsid w:val="00A25565"/>
    <w:rsid w:val="00A256AA"/>
    <w:rsid w:val="00A2580C"/>
    <w:rsid w:val="00A25822"/>
    <w:rsid w:val="00A2595A"/>
    <w:rsid w:val="00A2599E"/>
    <w:rsid w:val="00A259C3"/>
    <w:rsid w:val="00A25A5B"/>
    <w:rsid w:val="00A25A81"/>
    <w:rsid w:val="00A25AF5"/>
    <w:rsid w:val="00A25BDF"/>
    <w:rsid w:val="00A25CA5"/>
    <w:rsid w:val="00A25D4E"/>
    <w:rsid w:val="00A25D80"/>
    <w:rsid w:val="00A25D88"/>
    <w:rsid w:val="00A2612E"/>
    <w:rsid w:val="00A26334"/>
    <w:rsid w:val="00A2636D"/>
    <w:rsid w:val="00A2641E"/>
    <w:rsid w:val="00A2643F"/>
    <w:rsid w:val="00A26465"/>
    <w:rsid w:val="00A264A0"/>
    <w:rsid w:val="00A26527"/>
    <w:rsid w:val="00A266CE"/>
    <w:rsid w:val="00A26709"/>
    <w:rsid w:val="00A2672C"/>
    <w:rsid w:val="00A26781"/>
    <w:rsid w:val="00A2689E"/>
    <w:rsid w:val="00A26B36"/>
    <w:rsid w:val="00A26BE7"/>
    <w:rsid w:val="00A26BF1"/>
    <w:rsid w:val="00A26C1C"/>
    <w:rsid w:val="00A26D03"/>
    <w:rsid w:val="00A26E0D"/>
    <w:rsid w:val="00A26E22"/>
    <w:rsid w:val="00A26F62"/>
    <w:rsid w:val="00A2706E"/>
    <w:rsid w:val="00A27191"/>
    <w:rsid w:val="00A271DE"/>
    <w:rsid w:val="00A2723C"/>
    <w:rsid w:val="00A27257"/>
    <w:rsid w:val="00A273C7"/>
    <w:rsid w:val="00A2779B"/>
    <w:rsid w:val="00A27862"/>
    <w:rsid w:val="00A278C6"/>
    <w:rsid w:val="00A2796A"/>
    <w:rsid w:val="00A27973"/>
    <w:rsid w:val="00A27A08"/>
    <w:rsid w:val="00A27B23"/>
    <w:rsid w:val="00A27B38"/>
    <w:rsid w:val="00A27BDD"/>
    <w:rsid w:val="00A27BE5"/>
    <w:rsid w:val="00A27C0C"/>
    <w:rsid w:val="00A27C78"/>
    <w:rsid w:val="00A27D10"/>
    <w:rsid w:val="00A27E03"/>
    <w:rsid w:val="00A27F10"/>
    <w:rsid w:val="00A27F18"/>
    <w:rsid w:val="00A27F63"/>
    <w:rsid w:val="00A27F79"/>
    <w:rsid w:val="00A27FD1"/>
    <w:rsid w:val="00A30022"/>
    <w:rsid w:val="00A30039"/>
    <w:rsid w:val="00A30069"/>
    <w:rsid w:val="00A30092"/>
    <w:rsid w:val="00A30215"/>
    <w:rsid w:val="00A302BA"/>
    <w:rsid w:val="00A302DC"/>
    <w:rsid w:val="00A3033B"/>
    <w:rsid w:val="00A303EF"/>
    <w:rsid w:val="00A30628"/>
    <w:rsid w:val="00A306EC"/>
    <w:rsid w:val="00A3071B"/>
    <w:rsid w:val="00A3074B"/>
    <w:rsid w:val="00A307E2"/>
    <w:rsid w:val="00A30878"/>
    <w:rsid w:val="00A308CE"/>
    <w:rsid w:val="00A30901"/>
    <w:rsid w:val="00A30965"/>
    <w:rsid w:val="00A30B5C"/>
    <w:rsid w:val="00A30CF4"/>
    <w:rsid w:val="00A30D3B"/>
    <w:rsid w:val="00A30DB0"/>
    <w:rsid w:val="00A30DC9"/>
    <w:rsid w:val="00A30DE3"/>
    <w:rsid w:val="00A30E0E"/>
    <w:rsid w:val="00A30F94"/>
    <w:rsid w:val="00A30FA0"/>
    <w:rsid w:val="00A30FD9"/>
    <w:rsid w:val="00A3104A"/>
    <w:rsid w:val="00A310E6"/>
    <w:rsid w:val="00A311D0"/>
    <w:rsid w:val="00A313F0"/>
    <w:rsid w:val="00A313F3"/>
    <w:rsid w:val="00A3141E"/>
    <w:rsid w:val="00A314C5"/>
    <w:rsid w:val="00A31550"/>
    <w:rsid w:val="00A315A9"/>
    <w:rsid w:val="00A315CD"/>
    <w:rsid w:val="00A315F0"/>
    <w:rsid w:val="00A316CE"/>
    <w:rsid w:val="00A317D2"/>
    <w:rsid w:val="00A31885"/>
    <w:rsid w:val="00A31A65"/>
    <w:rsid w:val="00A31A72"/>
    <w:rsid w:val="00A31A9F"/>
    <w:rsid w:val="00A31CE6"/>
    <w:rsid w:val="00A31D89"/>
    <w:rsid w:val="00A31F59"/>
    <w:rsid w:val="00A3205E"/>
    <w:rsid w:val="00A322A4"/>
    <w:rsid w:val="00A322D2"/>
    <w:rsid w:val="00A322E0"/>
    <w:rsid w:val="00A324DB"/>
    <w:rsid w:val="00A325A3"/>
    <w:rsid w:val="00A32704"/>
    <w:rsid w:val="00A327E3"/>
    <w:rsid w:val="00A328F2"/>
    <w:rsid w:val="00A32A23"/>
    <w:rsid w:val="00A32AD4"/>
    <w:rsid w:val="00A32CBF"/>
    <w:rsid w:val="00A32D80"/>
    <w:rsid w:val="00A32DE4"/>
    <w:rsid w:val="00A32DED"/>
    <w:rsid w:val="00A32EFF"/>
    <w:rsid w:val="00A33058"/>
    <w:rsid w:val="00A33083"/>
    <w:rsid w:val="00A33160"/>
    <w:rsid w:val="00A3316D"/>
    <w:rsid w:val="00A331B1"/>
    <w:rsid w:val="00A331DA"/>
    <w:rsid w:val="00A3333A"/>
    <w:rsid w:val="00A33362"/>
    <w:rsid w:val="00A3343E"/>
    <w:rsid w:val="00A334F2"/>
    <w:rsid w:val="00A3371C"/>
    <w:rsid w:val="00A3375B"/>
    <w:rsid w:val="00A337D0"/>
    <w:rsid w:val="00A33804"/>
    <w:rsid w:val="00A33859"/>
    <w:rsid w:val="00A33861"/>
    <w:rsid w:val="00A3398C"/>
    <w:rsid w:val="00A339AA"/>
    <w:rsid w:val="00A33A87"/>
    <w:rsid w:val="00A33B03"/>
    <w:rsid w:val="00A33C09"/>
    <w:rsid w:val="00A33C42"/>
    <w:rsid w:val="00A33C9F"/>
    <w:rsid w:val="00A33CD3"/>
    <w:rsid w:val="00A33E07"/>
    <w:rsid w:val="00A33EE9"/>
    <w:rsid w:val="00A33EED"/>
    <w:rsid w:val="00A33FEA"/>
    <w:rsid w:val="00A34097"/>
    <w:rsid w:val="00A3411D"/>
    <w:rsid w:val="00A34250"/>
    <w:rsid w:val="00A34264"/>
    <w:rsid w:val="00A343A9"/>
    <w:rsid w:val="00A343B2"/>
    <w:rsid w:val="00A34531"/>
    <w:rsid w:val="00A34534"/>
    <w:rsid w:val="00A3459F"/>
    <w:rsid w:val="00A345D4"/>
    <w:rsid w:val="00A34698"/>
    <w:rsid w:val="00A34713"/>
    <w:rsid w:val="00A3495E"/>
    <w:rsid w:val="00A349AF"/>
    <w:rsid w:val="00A34A19"/>
    <w:rsid w:val="00A34A33"/>
    <w:rsid w:val="00A34D09"/>
    <w:rsid w:val="00A34D0F"/>
    <w:rsid w:val="00A34D8A"/>
    <w:rsid w:val="00A34E24"/>
    <w:rsid w:val="00A34E32"/>
    <w:rsid w:val="00A34E62"/>
    <w:rsid w:val="00A34FFA"/>
    <w:rsid w:val="00A350E1"/>
    <w:rsid w:val="00A35109"/>
    <w:rsid w:val="00A35155"/>
    <w:rsid w:val="00A35179"/>
    <w:rsid w:val="00A352D1"/>
    <w:rsid w:val="00A35427"/>
    <w:rsid w:val="00A3548C"/>
    <w:rsid w:val="00A355D5"/>
    <w:rsid w:val="00A355E6"/>
    <w:rsid w:val="00A35745"/>
    <w:rsid w:val="00A358AA"/>
    <w:rsid w:val="00A35A5A"/>
    <w:rsid w:val="00A35A6A"/>
    <w:rsid w:val="00A35A8A"/>
    <w:rsid w:val="00A35AFD"/>
    <w:rsid w:val="00A35BA2"/>
    <w:rsid w:val="00A35C16"/>
    <w:rsid w:val="00A35D6D"/>
    <w:rsid w:val="00A35DA7"/>
    <w:rsid w:val="00A35DBD"/>
    <w:rsid w:val="00A35DDF"/>
    <w:rsid w:val="00A35E36"/>
    <w:rsid w:val="00A35E87"/>
    <w:rsid w:val="00A35ED4"/>
    <w:rsid w:val="00A35F2B"/>
    <w:rsid w:val="00A35FB2"/>
    <w:rsid w:val="00A36127"/>
    <w:rsid w:val="00A36128"/>
    <w:rsid w:val="00A362EF"/>
    <w:rsid w:val="00A3632B"/>
    <w:rsid w:val="00A3639A"/>
    <w:rsid w:val="00A36478"/>
    <w:rsid w:val="00A36627"/>
    <w:rsid w:val="00A3667A"/>
    <w:rsid w:val="00A366A3"/>
    <w:rsid w:val="00A369DB"/>
    <w:rsid w:val="00A36C35"/>
    <w:rsid w:val="00A36C87"/>
    <w:rsid w:val="00A36D51"/>
    <w:rsid w:val="00A36E8E"/>
    <w:rsid w:val="00A36EA2"/>
    <w:rsid w:val="00A36F16"/>
    <w:rsid w:val="00A36F22"/>
    <w:rsid w:val="00A3708C"/>
    <w:rsid w:val="00A370A2"/>
    <w:rsid w:val="00A37177"/>
    <w:rsid w:val="00A371BB"/>
    <w:rsid w:val="00A37206"/>
    <w:rsid w:val="00A37379"/>
    <w:rsid w:val="00A373E0"/>
    <w:rsid w:val="00A3753E"/>
    <w:rsid w:val="00A37651"/>
    <w:rsid w:val="00A376D1"/>
    <w:rsid w:val="00A37701"/>
    <w:rsid w:val="00A37733"/>
    <w:rsid w:val="00A37852"/>
    <w:rsid w:val="00A37864"/>
    <w:rsid w:val="00A37883"/>
    <w:rsid w:val="00A3793D"/>
    <w:rsid w:val="00A37999"/>
    <w:rsid w:val="00A37ABA"/>
    <w:rsid w:val="00A37C00"/>
    <w:rsid w:val="00A37D2C"/>
    <w:rsid w:val="00A37D30"/>
    <w:rsid w:val="00A37D5C"/>
    <w:rsid w:val="00A37E70"/>
    <w:rsid w:val="00A37F74"/>
    <w:rsid w:val="00A400AF"/>
    <w:rsid w:val="00A40104"/>
    <w:rsid w:val="00A401A9"/>
    <w:rsid w:val="00A401C3"/>
    <w:rsid w:val="00A40248"/>
    <w:rsid w:val="00A40250"/>
    <w:rsid w:val="00A40335"/>
    <w:rsid w:val="00A4036F"/>
    <w:rsid w:val="00A403C4"/>
    <w:rsid w:val="00A40421"/>
    <w:rsid w:val="00A40492"/>
    <w:rsid w:val="00A40538"/>
    <w:rsid w:val="00A40597"/>
    <w:rsid w:val="00A40691"/>
    <w:rsid w:val="00A406D5"/>
    <w:rsid w:val="00A4071F"/>
    <w:rsid w:val="00A407A9"/>
    <w:rsid w:val="00A407D3"/>
    <w:rsid w:val="00A40839"/>
    <w:rsid w:val="00A40851"/>
    <w:rsid w:val="00A40853"/>
    <w:rsid w:val="00A408BB"/>
    <w:rsid w:val="00A40967"/>
    <w:rsid w:val="00A40AFD"/>
    <w:rsid w:val="00A40B1F"/>
    <w:rsid w:val="00A40BC6"/>
    <w:rsid w:val="00A40C0F"/>
    <w:rsid w:val="00A40CB9"/>
    <w:rsid w:val="00A40D36"/>
    <w:rsid w:val="00A40DCC"/>
    <w:rsid w:val="00A40DEA"/>
    <w:rsid w:val="00A40EBC"/>
    <w:rsid w:val="00A411CF"/>
    <w:rsid w:val="00A412EE"/>
    <w:rsid w:val="00A41345"/>
    <w:rsid w:val="00A41560"/>
    <w:rsid w:val="00A41592"/>
    <w:rsid w:val="00A415B3"/>
    <w:rsid w:val="00A415D1"/>
    <w:rsid w:val="00A4168D"/>
    <w:rsid w:val="00A41714"/>
    <w:rsid w:val="00A417B8"/>
    <w:rsid w:val="00A417CD"/>
    <w:rsid w:val="00A41828"/>
    <w:rsid w:val="00A419A6"/>
    <w:rsid w:val="00A41A53"/>
    <w:rsid w:val="00A41AA4"/>
    <w:rsid w:val="00A41AB2"/>
    <w:rsid w:val="00A41B27"/>
    <w:rsid w:val="00A41BA3"/>
    <w:rsid w:val="00A41BB9"/>
    <w:rsid w:val="00A41C14"/>
    <w:rsid w:val="00A41D0B"/>
    <w:rsid w:val="00A41D82"/>
    <w:rsid w:val="00A41DB6"/>
    <w:rsid w:val="00A41FB1"/>
    <w:rsid w:val="00A42021"/>
    <w:rsid w:val="00A42022"/>
    <w:rsid w:val="00A42190"/>
    <w:rsid w:val="00A421DC"/>
    <w:rsid w:val="00A42288"/>
    <w:rsid w:val="00A422A0"/>
    <w:rsid w:val="00A424A7"/>
    <w:rsid w:val="00A424AB"/>
    <w:rsid w:val="00A427A7"/>
    <w:rsid w:val="00A4281E"/>
    <w:rsid w:val="00A42998"/>
    <w:rsid w:val="00A42A38"/>
    <w:rsid w:val="00A42A6B"/>
    <w:rsid w:val="00A42BA4"/>
    <w:rsid w:val="00A42D49"/>
    <w:rsid w:val="00A42D6E"/>
    <w:rsid w:val="00A42D6F"/>
    <w:rsid w:val="00A42EA0"/>
    <w:rsid w:val="00A42EE5"/>
    <w:rsid w:val="00A42F95"/>
    <w:rsid w:val="00A4313C"/>
    <w:rsid w:val="00A4317F"/>
    <w:rsid w:val="00A431B8"/>
    <w:rsid w:val="00A4321D"/>
    <w:rsid w:val="00A4327A"/>
    <w:rsid w:val="00A432AE"/>
    <w:rsid w:val="00A433A5"/>
    <w:rsid w:val="00A433AF"/>
    <w:rsid w:val="00A43444"/>
    <w:rsid w:val="00A43670"/>
    <w:rsid w:val="00A436BB"/>
    <w:rsid w:val="00A4377D"/>
    <w:rsid w:val="00A43835"/>
    <w:rsid w:val="00A438A5"/>
    <w:rsid w:val="00A43918"/>
    <w:rsid w:val="00A43926"/>
    <w:rsid w:val="00A43B5E"/>
    <w:rsid w:val="00A43B65"/>
    <w:rsid w:val="00A43BFE"/>
    <w:rsid w:val="00A43CF1"/>
    <w:rsid w:val="00A43D36"/>
    <w:rsid w:val="00A43DC5"/>
    <w:rsid w:val="00A43E40"/>
    <w:rsid w:val="00A43E49"/>
    <w:rsid w:val="00A43E4D"/>
    <w:rsid w:val="00A43ED6"/>
    <w:rsid w:val="00A43FDE"/>
    <w:rsid w:val="00A4405F"/>
    <w:rsid w:val="00A44070"/>
    <w:rsid w:val="00A440B6"/>
    <w:rsid w:val="00A441E2"/>
    <w:rsid w:val="00A442C3"/>
    <w:rsid w:val="00A44316"/>
    <w:rsid w:val="00A443A6"/>
    <w:rsid w:val="00A443A9"/>
    <w:rsid w:val="00A443F4"/>
    <w:rsid w:val="00A444D8"/>
    <w:rsid w:val="00A44650"/>
    <w:rsid w:val="00A4472E"/>
    <w:rsid w:val="00A44762"/>
    <w:rsid w:val="00A447A7"/>
    <w:rsid w:val="00A447AC"/>
    <w:rsid w:val="00A44886"/>
    <w:rsid w:val="00A4488D"/>
    <w:rsid w:val="00A44992"/>
    <w:rsid w:val="00A44A78"/>
    <w:rsid w:val="00A44B62"/>
    <w:rsid w:val="00A44C6C"/>
    <w:rsid w:val="00A44CFB"/>
    <w:rsid w:val="00A44D0D"/>
    <w:rsid w:val="00A44E24"/>
    <w:rsid w:val="00A44F74"/>
    <w:rsid w:val="00A4504C"/>
    <w:rsid w:val="00A45133"/>
    <w:rsid w:val="00A45242"/>
    <w:rsid w:val="00A4525E"/>
    <w:rsid w:val="00A45307"/>
    <w:rsid w:val="00A45346"/>
    <w:rsid w:val="00A4535C"/>
    <w:rsid w:val="00A45383"/>
    <w:rsid w:val="00A45390"/>
    <w:rsid w:val="00A4541B"/>
    <w:rsid w:val="00A45467"/>
    <w:rsid w:val="00A4551D"/>
    <w:rsid w:val="00A455C1"/>
    <w:rsid w:val="00A456BE"/>
    <w:rsid w:val="00A45780"/>
    <w:rsid w:val="00A457FD"/>
    <w:rsid w:val="00A458C7"/>
    <w:rsid w:val="00A458CE"/>
    <w:rsid w:val="00A4596D"/>
    <w:rsid w:val="00A459ED"/>
    <w:rsid w:val="00A45B33"/>
    <w:rsid w:val="00A45B63"/>
    <w:rsid w:val="00A45C78"/>
    <w:rsid w:val="00A45F93"/>
    <w:rsid w:val="00A45FC2"/>
    <w:rsid w:val="00A45FC7"/>
    <w:rsid w:val="00A46138"/>
    <w:rsid w:val="00A4618D"/>
    <w:rsid w:val="00A461BA"/>
    <w:rsid w:val="00A4621B"/>
    <w:rsid w:val="00A4625D"/>
    <w:rsid w:val="00A462F1"/>
    <w:rsid w:val="00A46341"/>
    <w:rsid w:val="00A4635A"/>
    <w:rsid w:val="00A463AF"/>
    <w:rsid w:val="00A463D8"/>
    <w:rsid w:val="00A46453"/>
    <w:rsid w:val="00A46472"/>
    <w:rsid w:val="00A46506"/>
    <w:rsid w:val="00A4655D"/>
    <w:rsid w:val="00A4665C"/>
    <w:rsid w:val="00A46724"/>
    <w:rsid w:val="00A46763"/>
    <w:rsid w:val="00A46769"/>
    <w:rsid w:val="00A4676D"/>
    <w:rsid w:val="00A46818"/>
    <w:rsid w:val="00A469AC"/>
    <w:rsid w:val="00A46B07"/>
    <w:rsid w:val="00A46B3F"/>
    <w:rsid w:val="00A46B9C"/>
    <w:rsid w:val="00A46BC1"/>
    <w:rsid w:val="00A46C7C"/>
    <w:rsid w:val="00A46CC7"/>
    <w:rsid w:val="00A46D17"/>
    <w:rsid w:val="00A46D38"/>
    <w:rsid w:val="00A46E93"/>
    <w:rsid w:val="00A46F67"/>
    <w:rsid w:val="00A4702F"/>
    <w:rsid w:val="00A47165"/>
    <w:rsid w:val="00A472C1"/>
    <w:rsid w:val="00A47383"/>
    <w:rsid w:val="00A473A3"/>
    <w:rsid w:val="00A4770A"/>
    <w:rsid w:val="00A47744"/>
    <w:rsid w:val="00A478C7"/>
    <w:rsid w:val="00A478CE"/>
    <w:rsid w:val="00A47914"/>
    <w:rsid w:val="00A47925"/>
    <w:rsid w:val="00A47A4F"/>
    <w:rsid w:val="00A47BEB"/>
    <w:rsid w:val="00A47DFF"/>
    <w:rsid w:val="00A47E01"/>
    <w:rsid w:val="00A47EB6"/>
    <w:rsid w:val="00A47EDB"/>
    <w:rsid w:val="00A500D5"/>
    <w:rsid w:val="00A50145"/>
    <w:rsid w:val="00A50157"/>
    <w:rsid w:val="00A5016B"/>
    <w:rsid w:val="00A501C4"/>
    <w:rsid w:val="00A501D1"/>
    <w:rsid w:val="00A50234"/>
    <w:rsid w:val="00A50279"/>
    <w:rsid w:val="00A5038D"/>
    <w:rsid w:val="00A5039C"/>
    <w:rsid w:val="00A50408"/>
    <w:rsid w:val="00A504DC"/>
    <w:rsid w:val="00A505AC"/>
    <w:rsid w:val="00A505FA"/>
    <w:rsid w:val="00A50688"/>
    <w:rsid w:val="00A506F6"/>
    <w:rsid w:val="00A50778"/>
    <w:rsid w:val="00A507B8"/>
    <w:rsid w:val="00A507EA"/>
    <w:rsid w:val="00A507FD"/>
    <w:rsid w:val="00A5082D"/>
    <w:rsid w:val="00A50866"/>
    <w:rsid w:val="00A508F8"/>
    <w:rsid w:val="00A50A37"/>
    <w:rsid w:val="00A50B13"/>
    <w:rsid w:val="00A50BA0"/>
    <w:rsid w:val="00A50C64"/>
    <w:rsid w:val="00A50C70"/>
    <w:rsid w:val="00A50CF8"/>
    <w:rsid w:val="00A50F15"/>
    <w:rsid w:val="00A50FCF"/>
    <w:rsid w:val="00A51048"/>
    <w:rsid w:val="00A51286"/>
    <w:rsid w:val="00A513DC"/>
    <w:rsid w:val="00A5143B"/>
    <w:rsid w:val="00A51464"/>
    <w:rsid w:val="00A514D9"/>
    <w:rsid w:val="00A5151B"/>
    <w:rsid w:val="00A51572"/>
    <w:rsid w:val="00A51653"/>
    <w:rsid w:val="00A516B1"/>
    <w:rsid w:val="00A516B5"/>
    <w:rsid w:val="00A5171D"/>
    <w:rsid w:val="00A5173F"/>
    <w:rsid w:val="00A5183D"/>
    <w:rsid w:val="00A51910"/>
    <w:rsid w:val="00A51B01"/>
    <w:rsid w:val="00A51B1C"/>
    <w:rsid w:val="00A51C80"/>
    <w:rsid w:val="00A51CA7"/>
    <w:rsid w:val="00A51CB2"/>
    <w:rsid w:val="00A51DDB"/>
    <w:rsid w:val="00A51E62"/>
    <w:rsid w:val="00A51EF0"/>
    <w:rsid w:val="00A51FC2"/>
    <w:rsid w:val="00A51FD0"/>
    <w:rsid w:val="00A520B9"/>
    <w:rsid w:val="00A520F4"/>
    <w:rsid w:val="00A52164"/>
    <w:rsid w:val="00A521AD"/>
    <w:rsid w:val="00A521E2"/>
    <w:rsid w:val="00A5223E"/>
    <w:rsid w:val="00A52355"/>
    <w:rsid w:val="00A5236D"/>
    <w:rsid w:val="00A523AD"/>
    <w:rsid w:val="00A523F9"/>
    <w:rsid w:val="00A52429"/>
    <w:rsid w:val="00A52467"/>
    <w:rsid w:val="00A5257E"/>
    <w:rsid w:val="00A5262F"/>
    <w:rsid w:val="00A52649"/>
    <w:rsid w:val="00A526AB"/>
    <w:rsid w:val="00A52775"/>
    <w:rsid w:val="00A52851"/>
    <w:rsid w:val="00A52902"/>
    <w:rsid w:val="00A52935"/>
    <w:rsid w:val="00A52989"/>
    <w:rsid w:val="00A52AC2"/>
    <w:rsid w:val="00A52CAB"/>
    <w:rsid w:val="00A52CE9"/>
    <w:rsid w:val="00A52D0C"/>
    <w:rsid w:val="00A52D9A"/>
    <w:rsid w:val="00A52DE8"/>
    <w:rsid w:val="00A52F64"/>
    <w:rsid w:val="00A52FDC"/>
    <w:rsid w:val="00A5303C"/>
    <w:rsid w:val="00A53045"/>
    <w:rsid w:val="00A53084"/>
    <w:rsid w:val="00A530DD"/>
    <w:rsid w:val="00A530EA"/>
    <w:rsid w:val="00A532F0"/>
    <w:rsid w:val="00A533CB"/>
    <w:rsid w:val="00A5370F"/>
    <w:rsid w:val="00A538CC"/>
    <w:rsid w:val="00A539B0"/>
    <w:rsid w:val="00A539F3"/>
    <w:rsid w:val="00A53B23"/>
    <w:rsid w:val="00A53BE6"/>
    <w:rsid w:val="00A53C63"/>
    <w:rsid w:val="00A53D67"/>
    <w:rsid w:val="00A53D9B"/>
    <w:rsid w:val="00A53DC9"/>
    <w:rsid w:val="00A53E3E"/>
    <w:rsid w:val="00A53E54"/>
    <w:rsid w:val="00A53EBD"/>
    <w:rsid w:val="00A540AB"/>
    <w:rsid w:val="00A540CE"/>
    <w:rsid w:val="00A54126"/>
    <w:rsid w:val="00A54184"/>
    <w:rsid w:val="00A54241"/>
    <w:rsid w:val="00A54246"/>
    <w:rsid w:val="00A5432C"/>
    <w:rsid w:val="00A5432E"/>
    <w:rsid w:val="00A54620"/>
    <w:rsid w:val="00A5472F"/>
    <w:rsid w:val="00A54748"/>
    <w:rsid w:val="00A54752"/>
    <w:rsid w:val="00A54792"/>
    <w:rsid w:val="00A54794"/>
    <w:rsid w:val="00A547C4"/>
    <w:rsid w:val="00A547E2"/>
    <w:rsid w:val="00A5484D"/>
    <w:rsid w:val="00A54971"/>
    <w:rsid w:val="00A54A08"/>
    <w:rsid w:val="00A54A29"/>
    <w:rsid w:val="00A54AC6"/>
    <w:rsid w:val="00A54B55"/>
    <w:rsid w:val="00A54C3F"/>
    <w:rsid w:val="00A54C5A"/>
    <w:rsid w:val="00A54CCD"/>
    <w:rsid w:val="00A54D1A"/>
    <w:rsid w:val="00A54D3A"/>
    <w:rsid w:val="00A54DCC"/>
    <w:rsid w:val="00A54EBC"/>
    <w:rsid w:val="00A54ED6"/>
    <w:rsid w:val="00A5502E"/>
    <w:rsid w:val="00A550EA"/>
    <w:rsid w:val="00A55241"/>
    <w:rsid w:val="00A55288"/>
    <w:rsid w:val="00A552F7"/>
    <w:rsid w:val="00A55319"/>
    <w:rsid w:val="00A553D3"/>
    <w:rsid w:val="00A55456"/>
    <w:rsid w:val="00A556BE"/>
    <w:rsid w:val="00A55848"/>
    <w:rsid w:val="00A55852"/>
    <w:rsid w:val="00A55878"/>
    <w:rsid w:val="00A558EC"/>
    <w:rsid w:val="00A55A47"/>
    <w:rsid w:val="00A55A9E"/>
    <w:rsid w:val="00A55B24"/>
    <w:rsid w:val="00A55B53"/>
    <w:rsid w:val="00A55C49"/>
    <w:rsid w:val="00A55CF6"/>
    <w:rsid w:val="00A55DA1"/>
    <w:rsid w:val="00A55DFF"/>
    <w:rsid w:val="00A55FF2"/>
    <w:rsid w:val="00A5601E"/>
    <w:rsid w:val="00A5614D"/>
    <w:rsid w:val="00A5615E"/>
    <w:rsid w:val="00A562D8"/>
    <w:rsid w:val="00A563BF"/>
    <w:rsid w:val="00A563CD"/>
    <w:rsid w:val="00A563E5"/>
    <w:rsid w:val="00A5644B"/>
    <w:rsid w:val="00A566A5"/>
    <w:rsid w:val="00A5675F"/>
    <w:rsid w:val="00A567CE"/>
    <w:rsid w:val="00A5686C"/>
    <w:rsid w:val="00A568A7"/>
    <w:rsid w:val="00A56976"/>
    <w:rsid w:val="00A56A20"/>
    <w:rsid w:val="00A56A21"/>
    <w:rsid w:val="00A56A2D"/>
    <w:rsid w:val="00A56A31"/>
    <w:rsid w:val="00A56C1D"/>
    <w:rsid w:val="00A56C52"/>
    <w:rsid w:val="00A56CA5"/>
    <w:rsid w:val="00A56DD9"/>
    <w:rsid w:val="00A56F89"/>
    <w:rsid w:val="00A56F96"/>
    <w:rsid w:val="00A56FE0"/>
    <w:rsid w:val="00A57184"/>
    <w:rsid w:val="00A571A5"/>
    <w:rsid w:val="00A571C3"/>
    <w:rsid w:val="00A57293"/>
    <w:rsid w:val="00A574D8"/>
    <w:rsid w:val="00A5753A"/>
    <w:rsid w:val="00A57568"/>
    <w:rsid w:val="00A57591"/>
    <w:rsid w:val="00A5773D"/>
    <w:rsid w:val="00A577CA"/>
    <w:rsid w:val="00A5781D"/>
    <w:rsid w:val="00A57868"/>
    <w:rsid w:val="00A57871"/>
    <w:rsid w:val="00A5787C"/>
    <w:rsid w:val="00A57951"/>
    <w:rsid w:val="00A57A85"/>
    <w:rsid w:val="00A57AA1"/>
    <w:rsid w:val="00A57D8B"/>
    <w:rsid w:val="00A57DED"/>
    <w:rsid w:val="00A57E24"/>
    <w:rsid w:val="00A60021"/>
    <w:rsid w:val="00A60325"/>
    <w:rsid w:val="00A603ED"/>
    <w:rsid w:val="00A604F4"/>
    <w:rsid w:val="00A60670"/>
    <w:rsid w:val="00A606AE"/>
    <w:rsid w:val="00A6074D"/>
    <w:rsid w:val="00A607C9"/>
    <w:rsid w:val="00A60990"/>
    <w:rsid w:val="00A60A31"/>
    <w:rsid w:val="00A60AED"/>
    <w:rsid w:val="00A60B0D"/>
    <w:rsid w:val="00A60C60"/>
    <w:rsid w:val="00A60CD6"/>
    <w:rsid w:val="00A60D2C"/>
    <w:rsid w:val="00A60D54"/>
    <w:rsid w:val="00A60E26"/>
    <w:rsid w:val="00A60E57"/>
    <w:rsid w:val="00A60E71"/>
    <w:rsid w:val="00A60ECB"/>
    <w:rsid w:val="00A60F33"/>
    <w:rsid w:val="00A61013"/>
    <w:rsid w:val="00A610A4"/>
    <w:rsid w:val="00A610DF"/>
    <w:rsid w:val="00A61183"/>
    <w:rsid w:val="00A613C3"/>
    <w:rsid w:val="00A6146A"/>
    <w:rsid w:val="00A614F5"/>
    <w:rsid w:val="00A615EB"/>
    <w:rsid w:val="00A61601"/>
    <w:rsid w:val="00A61628"/>
    <w:rsid w:val="00A617AA"/>
    <w:rsid w:val="00A6185B"/>
    <w:rsid w:val="00A618FE"/>
    <w:rsid w:val="00A619CC"/>
    <w:rsid w:val="00A61A0B"/>
    <w:rsid w:val="00A61A24"/>
    <w:rsid w:val="00A61B06"/>
    <w:rsid w:val="00A61B95"/>
    <w:rsid w:val="00A61CF2"/>
    <w:rsid w:val="00A61D1F"/>
    <w:rsid w:val="00A61D45"/>
    <w:rsid w:val="00A61DC1"/>
    <w:rsid w:val="00A61EA8"/>
    <w:rsid w:val="00A61ED0"/>
    <w:rsid w:val="00A61F1B"/>
    <w:rsid w:val="00A61FA4"/>
    <w:rsid w:val="00A6200F"/>
    <w:rsid w:val="00A62022"/>
    <w:rsid w:val="00A620A2"/>
    <w:rsid w:val="00A620B7"/>
    <w:rsid w:val="00A62148"/>
    <w:rsid w:val="00A62223"/>
    <w:rsid w:val="00A623CD"/>
    <w:rsid w:val="00A62489"/>
    <w:rsid w:val="00A624FB"/>
    <w:rsid w:val="00A62581"/>
    <w:rsid w:val="00A625F5"/>
    <w:rsid w:val="00A62686"/>
    <w:rsid w:val="00A6269B"/>
    <w:rsid w:val="00A62765"/>
    <w:rsid w:val="00A6286E"/>
    <w:rsid w:val="00A62ABE"/>
    <w:rsid w:val="00A62C67"/>
    <w:rsid w:val="00A62D44"/>
    <w:rsid w:val="00A62DE2"/>
    <w:rsid w:val="00A62E6F"/>
    <w:rsid w:val="00A62EF7"/>
    <w:rsid w:val="00A62F41"/>
    <w:rsid w:val="00A630A8"/>
    <w:rsid w:val="00A63129"/>
    <w:rsid w:val="00A63213"/>
    <w:rsid w:val="00A6325A"/>
    <w:rsid w:val="00A63305"/>
    <w:rsid w:val="00A63400"/>
    <w:rsid w:val="00A636E7"/>
    <w:rsid w:val="00A6374A"/>
    <w:rsid w:val="00A63797"/>
    <w:rsid w:val="00A6380A"/>
    <w:rsid w:val="00A6391F"/>
    <w:rsid w:val="00A63989"/>
    <w:rsid w:val="00A63A29"/>
    <w:rsid w:val="00A63AF1"/>
    <w:rsid w:val="00A63BBD"/>
    <w:rsid w:val="00A63C54"/>
    <w:rsid w:val="00A63CE1"/>
    <w:rsid w:val="00A63D1F"/>
    <w:rsid w:val="00A63DAF"/>
    <w:rsid w:val="00A63DC9"/>
    <w:rsid w:val="00A63EB8"/>
    <w:rsid w:val="00A63F55"/>
    <w:rsid w:val="00A63F60"/>
    <w:rsid w:val="00A63F9A"/>
    <w:rsid w:val="00A64010"/>
    <w:rsid w:val="00A64065"/>
    <w:rsid w:val="00A641FF"/>
    <w:rsid w:val="00A645D7"/>
    <w:rsid w:val="00A646A2"/>
    <w:rsid w:val="00A64753"/>
    <w:rsid w:val="00A648CC"/>
    <w:rsid w:val="00A6496A"/>
    <w:rsid w:val="00A6497F"/>
    <w:rsid w:val="00A649EF"/>
    <w:rsid w:val="00A64A25"/>
    <w:rsid w:val="00A64A62"/>
    <w:rsid w:val="00A64B07"/>
    <w:rsid w:val="00A64B24"/>
    <w:rsid w:val="00A64B5B"/>
    <w:rsid w:val="00A64C7A"/>
    <w:rsid w:val="00A64C9F"/>
    <w:rsid w:val="00A64D91"/>
    <w:rsid w:val="00A64DBF"/>
    <w:rsid w:val="00A64DF6"/>
    <w:rsid w:val="00A64F19"/>
    <w:rsid w:val="00A64F43"/>
    <w:rsid w:val="00A64FD7"/>
    <w:rsid w:val="00A650D4"/>
    <w:rsid w:val="00A650E9"/>
    <w:rsid w:val="00A65135"/>
    <w:rsid w:val="00A65171"/>
    <w:rsid w:val="00A652AF"/>
    <w:rsid w:val="00A65367"/>
    <w:rsid w:val="00A65450"/>
    <w:rsid w:val="00A6545B"/>
    <w:rsid w:val="00A654E2"/>
    <w:rsid w:val="00A655A0"/>
    <w:rsid w:val="00A655DB"/>
    <w:rsid w:val="00A65610"/>
    <w:rsid w:val="00A6574E"/>
    <w:rsid w:val="00A65759"/>
    <w:rsid w:val="00A657CE"/>
    <w:rsid w:val="00A65931"/>
    <w:rsid w:val="00A659C5"/>
    <w:rsid w:val="00A659D9"/>
    <w:rsid w:val="00A65BE0"/>
    <w:rsid w:val="00A65BE6"/>
    <w:rsid w:val="00A65DA8"/>
    <w:rsid w:val="00A65DE1"/>
    <w:rsid w:val="00A65F42"/>
    <w:rsid w:val="00A65F85"/>
    <w:rsid w:val="00A65FC5"/>
    <w:rsid w:val="00A66061"/>
    <w:rsid w:val="00A6607F"/>
    <w:rsid w:val="00A66097"/>
    <w:rsid w:val="00A661B6"/>
    <w:rsid w:val="00A662E7"/>
    <w:rsid w:val="00A66313"/>
    <w:rsid w:val="00A66377"/>
    <w:rsid w:val="00A66453"/>
    <w:rsid w:val="00A6663C"/>
    <w:rsid w:val="00A66758"/>
    <w:rsid w:val="00A667F1"/>
    <w:rsid w:val="00A6680A"/>
    <w:rsid w:val="00A66907"/>
    <w:rsid w:val="00A66961"/>
    <w:rsid w:val="00A66981"/>
    <w:rsid w:val="00A669B0"/>
    <w:rsid w:val="00A669C1"/>
    <w:rsid w:val="00A669F6"/>
    <w:rsid w:val="00A66ADE"/>
    <w:rsid w:val="00A66B09"/>
    <w:rsid w:val="00A66C13"/>
    <w:rsid w:val="00A66C87"/>
    <w:rsid w:val="00A66D3E"/>
    <w:rsid w:val="00A66DE9"/>
    <w:rsid w:val="00A66F3D"/>
    <w:rsid w:val="00A67113"/>
    <w:rsid w:val="00A6712E"/>
    <w:rsid w:val="00A67134"/>
    <w:rsid w:val="00A6713A"/>
    <w:rsid w:val="00A6715A"/>
    <w:rsid w:val="00A671B9"/>
    <w:rsid w:val="00A671F1"/>
    <w:rsid w:val="00A6723B"/>
    <w:rsid w:val="00A6733D"/>
    <w:rsid w:val="00A673E7"/>
    <w:rsid w:val="00A67507"/>
    <w:rsid w:val="00A6755E"/>
    <w:rsid w:val="00A676A6"/>
    <w:rsid w:val="00A67917"/>
    <w:rsid w:val="00A67A6F"/>
    <w:rsid w:val="00A67AB9"/>
    <w:rsid w:val="00A67C03"/>
    <w:rsid w:val="00A67C99"/>
    <w:rsid w:val="00A67CAE"/>
    <w:rsid w:val="00A67D25"/>
    <w:rsid w:val="00A67D6E"/>
    <w:rsid w:val="00A67F15"/>
    <w:rsid w:val="00A67F5A"/>
    <w:rsid w:val="00A67F6C"/>
    <w:rsid w:val="00A67FB5"/>
    <w:rsid w:val="00A67FE3"/>
    <w:rsid w:val="00A70085"/>
    <w:rsid w:val="00A70198"/>
    <w:rsid w:val="00A701C7"/>
    <w:rsid w:val="00A70263"/>
    <w:rsid w:val="00A70281"/>
    <w:rsid w:val="00A70282"/>
    <w:rsid w:val="00A70410"/>
    <w:rsid w:val="00A7065E"/>
    <w:rsid w:val="00A707D5"/>
    <w:rsid w:val="00A70920"/>
    <w:rsid w:val="00A70970"/>
    <w:rsid w:val="00A70977"/>
    <w:rsid w:val="00A709C6"/>
    <w:rsid w:val="00A70B48"/>
    <w:rsid w:val="00A70B86"/>
    <w:rsid w:val="00A70C82"/>
    <w:rsid w:val="00A70CBF"/>
    <w:rsid w:val="00A70D4A"/>
    <w:rsid w:val="00A70E26"/>
    <w:rsid w:val="00A70E4E"/>
    <w:rsid w:val="00A70E78"/>
    <w:rsid w:val="00A70EEF"/>
    <w:rsid w:val="00A70F45"/>
    <w:rsid w:val="00A70FD1"/>
    <w:rsid w:val="00A71135"/>
    <w:rsid w:val="00A712C0"/>
    <w:rsid w:val="00A71349"/>
    <w:rsid w:val="00A7136B"/>
    <w:rsid w:val="00A713E9"/>
    <w:rsid w:val="00A7168D"/>
    <w:rsid w:val="00A716BD"/>
    <w:rsid w:val="00A716ED"/>
    <w:rsid w:val="00A7171A"/>
    <w:rsid w:val="00A717A5"/>
    <w:rsid w:val="00A718D7"/>
    <w:rsid w:val="00A7190E"/>
    <w:rsid w:val="00A71A86"/>
    <w:rsid w:val="00A71AD6"/>
    <w:rsid w:val="00A71B9E"/>
    <w:rsid w:val="00A71BD0"/>
    <w:rsid w:val="00A71C1A"/>
    <w:rsid w:val="00A71C4A"/>
    <w:rsid w:val="00A71CD3"/>
    <w:rsid w:val="00A71D2B"/>
    <w:rsid w:val="00A71E9E"/>
    <w:rsid w:val="00A71EC1"/>
    <w:rsid w:val="00A71F6B"/>
    <w:rsid w:val="00A72052"/>
    <w:rsid w:val="00A72092"/>
    <w:rsid w:val="00A72210"/>
    <w:rsid w:val="00A72268"/>
    <w:rsid w:val="00A7235A"/>
    <w:rsid w:val="00A723E2"/>
    <w:rsid w:val="00A724FF"/>
    <w:rsid w:val="00A725C8"/>
    <w:rsid w:val="00A725ED"/>
    <w:rsid w:val="00A7268D"/>
    <w:rsid w:val="00A727AA"/>
    <w:rsid w:val="00A727F6"/>
    <w:rsid w:val="00A72812"/>
    <w:rsid w:val="00A7283C"/>
    <w:rsid w:val="00A728AE"/>
    <w:rsid w:val="00A7294F"/>
    <w:rsid w:val="00A72AA9"/>
    <w:rsid w:val="00A72DC6"/>
    <w:rsid w:val="00A730F3"/>
    <w:rsid w:val="00A73280"/>
    <w:rsid w:val="00A73336"/>
    <w:rsid w:val="00A73376"/>
    <w:rsid w:val="00A73384"/>
    <w:rsid w:val="00A733BB"/>
    <w:rsid w:val="00A733F4"/>
    <w:rsid w:val="00A7357A"/>
    <w:rsid w:val="00A736D4"/>
    <w:rsid w:val="00A7383D"/>
    <w:rsid w:val="00A73889"/>
    <w:rsid w:val="00A73936"/>
    <w:rsid w:val="00A73A43"/>
    <w:rsid w:val="00A73A9F"/>
    <w:rsid w:val="00A73ABC"/>
    <w:rsid w:val="00A73AE3"/>
    <w:rsid w:val="00A73B3A"/>
    <w:rsid w:val="00A73B45"/>
    <w:rsid w:val="00A73B7D"/>
    <w:rsid w:val="00A73C36"/>
    <w:rsid w:val="00A73D61"/>
    <w:rsid w:val="00A73E54"/>
    <w:rsid w:val="00A73F1E"/>
    <w:rsid w:val="00A73F7A"/>
    <w:rsid w:val="00A73FE7"/>
    <w:rsid w:val="00A740A2"/>
    <w:rsid w:val="00A740FE"/>
    <w:rsid w:val="00A74373"/>
    <w:rsid w:val="00A745D9"/>
    <w:rsid w:val="00A7462F"/>
    <w:rsid w:val="00A7482D"/>
    <w:rsid w:val="00A749A6"/>
    <w:rsid w:val="00A74A06"/>
    <w:rsid w:val="00A74A9B"/>
    <w:rsid w:val="00A74AB1"/>
    <w:rsid w:val="00A74B5F"/>
    <w:rsid w:val="00A74BCC"/>
    <w:rsid w:val="00A74BED"/>
    <w:rsid w:val="00A74FF5"/>
    <w:rsid w:val="00A7503A"/>
    <w:rsid w:val="00A7516E"/>
    <w:rsid w:val="00A7519E"/>
    <w:rsid w:val="00A751A3"/>
    <w:rsid w:val="00A7520E"/>
    <w:rsid w:val="00A75325"/>
    <w:rsid w:val="00A754D6"/>
    <w:rsid w:val="00A75728"/>
    <w:rsid w:val="00A75787"/>
    <w:rsid w:val="00A7588D"/>
    <w:rsid w:val="00A75980"/>
    <w:rsid w:val="00A75B2C"/>
    <w:rsid w:val="00A75B9D"/>
    <w:rsid w:val="00A75BE2"/>
    <w:rsid w:val="00A75C52"/>
    <w:rsid w:val="00A75D2D"/>
    <w:rsid w:val="00A75D44"/>
    <w:rsid w:val="00A75D46"/>
    <w:rsid w:val="00A75E7B"/>
    <w:rsid w:val="00A75E90"/>
    <w:rsid w:val="00A76131"/>
    <w:rsid w:val="00A761CD"/>
    <w:rsid w:val="00A7638A"/>
    <w:rsid w:val="00A765A3"/>
    <w:rsid w:val="00A76780"/>
    <w:rsid w:val="00A767B9"/>
    <w:rsid w:val="00A767EF"/>
    <w:rsid w:val="00A76A09"/>
    <w:rsid w:val="00A76AB2"/>
    <w:rsid w:val="00A76AB5"/>
    <w:rsid w:val="00A76BA5"/>
    <w:rsid w:val="00A76C0F"/>
    <w:rsid w:val="00A76C65"/>
    <w:rsid w:val="00A76D0E"/>
    <w:rsid w:val="00A76DE7"/>
    <w:rsid w:val="00A76E11"/>
    <w:rsid w:val="00A76EAF"/>
    <w:rsid w:val="00A77077"/>
    <w:rsid w:val="00A77078"/>
    <w:rsid w:val="00A770B5"/>
    <w:rsid w:val="00A7721C"/>
    <w:rsid w:val="00A77476"/>
    <w:rsid w:val="00A774EB"/>
    <w:rsid w:val="00A7750A"/>
    <w:rsid w:val="00A77650"/>
    <w:rsid w:val="00A7771A"/>
    <w:rsid w:val="00A777F9"/>
    <w:rsid w:val="00A7782B"/>
    <w:rsid w:val="00A7786A"/>
    <w:rsid w:val="00A778EF"/>
    <w:rsid w:val="00A778F8"/>
    <w:rsid w:val="00A7799F"/>
    <w:rsid w:val="00A779AE"/>
    <w:rsid w:val="00A77A0F"/>
    <w:rsid w:val="00A77A7F"/>
    <w:rsid w:val="00A77B42"/>
    <w:rsid w:val="00A77D27"/>
    <w:rsid w:val="00A77D4B"/>
    <w:rsid w:val="00A77E36"/>
    <w:rsid w:val="00A77E5F"/>
    <w:rsid w:val="00A77E6B"/>
    <w:rsid w:val="00A77F43"/>
    <w:rsid w:val="00A77FC4"/>
    <w:rsid w:val="00A787AE"/>
    <w:rsid w:val="00A80021"/>
    <w:rsid w:val="00A80179"/>
    <w:rsid w:val="00A80331"/>
    <w:rsid w:val="00A8035C"/>
    <w:rsid w:val="00A803BE"/>
    <w:rsid w:val="00A804B1"/>
    <w:rsid w:val="00A805F8"/>
    <w:rsid w:val="00A80829"/>
    <w:rsid w:val="00A80A0D"/>
    <w:rsid w:val="00A80A50"/>
    <w:rsid w:val="00A80A90"/>
    <w:rsid w:val="00A80A92"/>
    <w:rsid w:val="00A80AB0"/>
    <w:rsid w:val="00A80CA7"/>
    <w:rsid w:val="00A80DBD"/>
    <w:rsid w:val="00A80DFA"/>
    <w:rsid w:val="00A80ECF"/>
    <w:rsid w:val="00A80F36"/>
    <w:rsid w:val="00A80FA2"/>
    <w:rsid w:val="00A81064"/>
    <w:rsid w:val="00A810BD"/>
    <w:rsid w:val="00A8125D"/>
    <w:rsid w:val="00A81371"/>
    <w:rsid w:val="00A8141D"/>
    <w:rsid w:val="00A8155E"/>
    <w:rsid w:val="00A81575"/>
    <w:rsid w:val="00A81613"/>
    <w:rsid w:val="00A81616"/>
    <w:rsid w:val="00A81676"/>
    <w:rsid w:val="00A81729"/>
    <w:rsid w:val="00A817AE"/>
    <w:rsid w:val="00A81880"/>
    <w:rsid w:val="00A818D8"/>
    <w:rsid w:val="00A81A9C"/>
    <w:rsid w:val="00A81AB5"/>
    <w:rsid w:val="00A81AF8"/>
    <w:rsid w:val="00A81B57"/>
    <w:rsid w:val="00A81BC9"/>
    <w:rsid w:val="00A81CA4"/>
    <w:rsid w:val="00A81CBD"/>
    <w:rsid w:val="00A81CC1"/>
    <w:rsid w:val="00A82138"/>
    <w:rsid w:val="00A82168"/>
    <w:rsid w:val="00A822C6"/>
    <w:rsid w:val="00A823F1"/>
    <w:rsid w:val="00A8242D"/>
    <w:rsid w:val="00A82436"/>
    <w:rsid w:val="00A82454"/>
    <w:rsid w:val="00A824C1"/>
    <w:rsid w:val="00A82682"/>
    <w:rsid w:val="00A826B5"/>
    <w:rsid w:val="00A82723"/>
    <w:rsid w:val="00A8272F"/>
    <w:rsid w:val="00A827EA"/>
    <w:rsid w:val="00A82811"/>
    <w:rsid w:val="00A82AE3"/>
    <w:rsid w:val="00A82BB8"/>
    <w:rsid w:val="00A82BD3"/>
    <w:rsid w:val="00A82BE7"/>
    <w:rsid w:val="00A82D27"/>
    <w:rsid w:val="00A82D68"/>
    <w:rsid w:val="00A82D87"/>
    <w:rsid w:val="00A82FB1"/>
    <w:rsid w:val="00A83006"/>
    <w:rsid w:val="00A83119"/>
    <w:rsid w:val="00A83122"/>
    <w:rsid w:val="00A83194"/>
    <w:rsid w:val="00A8320B"/>
    <w:rsid w:val="00A83299"/>
    <w:rsid w:val="00A83306"/>
    <w:rsid w:val="00A83374"/>
    <w:rsid w:val="00A83696"/>
    <w:rsid w:val="00A836C6"/>
    <w:rsid w:val="00A83782"/>
    <w:rsid w:val="00A83791"/>
    <w:rsid w:val="00A837D2"/>
    <w:rsid w:val="00A83838"/>
    <w:rsid w:val="00A838A0"/>
    <w:rsid w:val="00A838EA"/>
    <w:rsid w:val="00A83914"/>
    <w:rsid w:val="00A83963"/>
    <w:rsid w:val="00A83992"/>
    <w:rsid w:val="00A8399E"/>
    <w:rsid w:val="00A839B3"/>
    <w:rsid w:val="00A83A21"/>
    <w:rsid w:val="00A83B76"/>
    <w:rsid w:val="00A83C19"/>
    <w:rsid w:val="00A83C53"/>
    <w:rsid w:val="00A83C85"/>
    <w:rsid w:val="00A83D8D"/>
    <w:rsid w:val="00A83D96"/>
    <w:rsid w:val="00A8400F"/>
    <w:rsid w:val="00A8402B"/>
    <w:rsid w:val="00A840BC"/>
    <w:rsid w:val="00A84164"/>
    <w:rsid w:val="00A841B4"/>
    <w:rsid w:val="00A841D5"/>
    <w:rsid w:val="00A842F0"/>
    <w:rsid w:val="00A8443D"/>
    <w:rsid w:val="00A84764"/>
    <w:rsid w:val="00A84899"/>
    <w:rsid w:val="00A84ADD"/>
    <w:rsid w:val="00A84C1A"/>
    <w:rsid w:val="00A84D7E"/>
    <w:rsid w:val="00A84DF7"/>
    <w:rsid w:val="00A84F3F"/>
    <w:rsid w:val="00A84FE7"/>
    <w:rsid w:val="00A853FD"/>
    <w:rsid w:val="00A8540F"/>
    <w:rsid w:val="00A85433"/>
    <w:rsid w:val="00A85576"/>
    <w:rsid w:val="00A856AF"/>
    <w:rsid w:val="00A85757"/>
    <w:rsid w:val="00A8581D"/>
    <w:rsid w:val="00A859C7"/>
    <w:rsid w:val="00A85B10"/>
    <w:rsid w:val="00A85BE3"/>
    <w:rsid w:val="00A85C7B"/>
    <w:rsid w:val="00A85C88"/>
    <w:rsid w:val="00A85DC7"/>
    <w:rsid w:val="00A85E1A"/>
    <w:rsid w:val="00A8609D"/>
    <w:rsid w:val="00A8609E"/>
    <w:rsid w:val="00A860A0"/>
    <w:rsid w:val="00A860C1"/>
    <w:rsid w:val="00A86351"/>
    <w:rsid w:val="00A86372"/>
    <w:rsid w:val="00A86434"/>
    <w:rsid w:val="00A86521"/>
    <w:rsid w:val="00A8655B"/>
    <w:rsid w:val="00A8658C"/>
    <w:rsid w:val="00A866B9"/>
    <w:rsid w:val="00A8677E"/>
    <w:rsid w:val="00A867BB"/>
    <w:rsid w:val="00A8685D"/>
    <w:rsid w:val="00A869DC"/>
    <w:rsid w:val="00A869F2"/>
    <w:rsid w:val="00A86B86"/>
    <w:rsid w:val="00A86C04"/>
    <w:rsid w:val="00A86ED5"/>
    <w:rsid w:val="00A86F7B"/>
    <w:rsid w:val="00A86FAD"/>
    <w:rsid w:val="00A86FE6"/>
    <w:rsid w:val="00A870E2"/>
    <w:rsid w:val="00A87164"/>
    <w:rsid w:val="00A87169"/>
    <w:rsid w:val="00A871BD"/>
    <w:rsid w:val="00A87208"/>
    <w:rsid w:val="00A87221"/>
    <w:rsid w:val="00A87279"/>
    <w:rsid w:val="00A872A6"/>
    <w:rsid w:val="00A8733B"/>
    <w:rsid w:val="00A873D3"/>
    <w:rsid w:val="00A8766F"/>
    <w:rsid w:val="00A877B1"/>
    <w:rsid w:val="00A87825"/>
    <w:rsid w:val="00A87882"/>
    <w:rsid w:val="00A87A28"/>
    <w:rsid w:val="00A87C35"/>
    <w:rsid w:val="00A87C4C"/>
    <w:rsid w:val="00A87CFA"/>
    <w:rsid w:val="00A87D70"/>
    <w:rsid w:val="00A87DCC"/>
    <w:rsid w:val="00A87E05"/>
    <w:rsid w:val="00A87F22"/>
    <w:rsid w:val="00A87FBA"/>
    <w:rsid w:val="00A9031F"/>
    <w:rsid w:val="00A90389"/>
    <w:rsid w:val="00A903D6"/>
    <w:rsid w:val="00A90480"/>
    <w:rsid w:val="00A904ED"/>
    <w:rsid w:val="00A90513"/>
    <w:rsid w:val="00A9051A"/>
    <w:rsid w:val="00A9053A"/>
    <w:rsid w:val="00A90561"/>
    <w:rsid w:val="00A9059B"/>
    <w:rsid w:val="00A906CB"/>
    <w:rsid w:val="00A9070D"/>
    <w:rsid w:val="00A90790"/>
    <w:rsid w:val="00A907D9"/>
    <w:rsid w:val="00A908A6"/>
    <w:rsid w:val="00A908AE"/>
    <w:rsid w:val="00A9095F"/>
    <w:rsid w:val="00A909A9"/>
    <w:rsid w:val="00A90AAB"/>
    <w:rsid w:val="00A90BC9"/>
    <w:rsid w:val="00A90C37"/>
    <w:rsid w:val="00A90CB5"/>
    <w:rsid w:val="00A90CCD"/>
    <w:rsid w:val="00A90D8D"/>
    <w:rsid w:val="00A90EC4"/>
    <w:rsid w:val="00A9102A"/>
    <w:rsid w:val="00A910BE"/>
    <w:rsid w:val="00A910D5"/>
    <w:rsid w:val="00A91381"/>
    <w:rsid w:val="00A91387"/>
    <w:rsid w:val="00A91575"/>
    <w:rsid w:val="00A915DC"/>
    <w:rsid w:val="00A91798"/>
    <w:rsid w:val="00A91875"/>
    <w:rsid w:val="00A9194B"/>
    <w:rsid w:val="00A91999"/>
    <w:rsid w:val="00A919AB"/>
    <w:rsid w:val="00A919C6"/>
    <w:rsid w:val="00A91B30"/>
    <w:rsid w:val="00A91B84"/>
    <w:rsid w:val="00A91C5E"/>
    <w:rsid w:val="00A91C7D"/>
    <w:rsid w:val="00A91D23"/>
    <w:rsid w:val="00A91D33"/>
    <w:rsid w:val="00A91D5F"/>
    <w:rsid w:val="00A91EBC"/>
    <w:rsid w:val="00A920CE"/>
    <w:rsid w:val="00A92148"/>
    <w:rsid w:val="00A92174"/>
    <w:rsid w:val="00A92381"/>
    <w:rsid w:val="00A92440"/>
    <w:rsid w:val="00A92472"/>
    <w:rsid w:val="00A924B5"/>
    <w:rsid w:val="00A9256E"/>
    <w:rsid w:val="00A925BD"/>
    <w:rsid w:val="00A9261E"/>
    <w:rsid w:val="00A92683"/>
    <w:rsid w:val="00A926B6"/>
    <w:rsid w:val="00A926D1"/>
    <w:rsid w:val="00A9277A"/>
    <w:rsid w:val="00A92872"/>
    <w:rsid w:val="00A92940"/>
    <w:rsid w:val="00A92A13"/>
    <w:rsid w:val="00A92BB5"/>
    <w:rsid w:val="00A92BCA"/>
    <w:rsid w:val="00A92BD5"/>
    <w:rsid w:val="00A92E46"/>
    <w:rsid w:val="00A92E8A"/>
    <w:rsid w:val="00A92F0E"/>
    <w:rsid w:val="00A92FA2"/>
    <w:rsid w:val="00A92FA5"/>
    <w:rsid w:val="00A92FFD"/>
    <w:rsid w:val="00A9303C"/>
    <w:rsid w:val="00A930AF"/>
    <w:rsid w:val="00A931A6"/>
    <w:rsid w:val="00A931DF"/>
    <w:rsid w:val="00A93251"/>
    <w:rsid w:val="00A932CB"/>
    <w:rsid w:val="00A932DD"/>
    <w:rsid w:val="00A9331A"/>
    <w:rsid w:val="00A93480"/>
    <w:rsid w:val="00A934A1"/>
    <w:rsid w:val="00A9371D"/>
    <w:rsid w:val="00A9375F"/>
    <w:rsid w:val="00A937CC"/>
    <w:rsid w:val="00A937DF"/>
    <w:rsid w:val="00A938F7"/>
    <w:rsid w:val="00A93922"/>
    <w:rsid w:val="00A93B3E"/>
    <w:rsid w:val="00A93C54"/>
    <w:rsid w:val="00A93C95"/>
    <w:rsid w:val="00A93D0A"/>
    <w:rsid w:val="00A93E29"/>
    <w:rsid w:val="00A93E42"/>
    <w:rsid w:val="00A93E7C"/>
    <w:rsid w:val="00A93FDC"/>
    <w:rsid w:val="00A940D5"/>
    <w:rsid w:val="00A94167"/>
    <w:rsid w:val="00A942CA"/>
    <w:rsid w:val="00A94339"/>
    <w:rsid w:val="00A94364"/>
    <w:rsid w:val="00A944E7"/>
    <w:rsid w:val="00A946C0"/>
    <w:rsid w:val="00A94738"/>
    <w:rsid w:val="00A9479B"/>
    <w:rsid w:val="00A947CE"/>
    <w:rsid w:val="00A947D3"/>
    <w:rsid w:val="00A947F1"/>
    <w:rsid w:val="00A94936"/>
    <w:rsid w:val="00A949F1"/>
    <w:rsid w:val="00A94A6B"/>
    <w:rsid w:val="00A94BB0"/>
    <w:rsid w:val="00A94C0F"/>
    <w:rsid w:val="00A94D20"/>
    <w:rsid w:val="00A94D52"/>
    <w:rsid w:val="00A94EC7"/>
    <w:rsid w:val="00A94EFA"/>
    <w:rsid w:val="00A94F1C"/>
    <w:rsid w:val="00A951E3"/>
    <w:rsid w:val="00A95217"/>
    <w:rsid w:val="00A952CF"/>
    <w:rsid w:val="00A95577"/>
    <w:rsid w:val="00A9564E"/>
    <w:rsid w:val="00A9566D"/>
    <w:rsid w:val="00A9568B"/>
    <w:rsid w:val="00A9569E"/>
    <w:rsid w:val="00A959D1"/>
    <w:rsid w:val="00A95B38"/>
    <w:rsid w:val="00A95D70"/>
    <w:rsid w:val="00A95E75"/>
    <w:rsid w:val="00A95E7D"/>
    <w:rsid w:val="00A95E9A"/>
    <w:rsid w:val="00A95ED7"/>
    <w:rsid w:val="00A95F91"/>
    <w:rsid w:val="00A95F95"/>
    <w:rsid w:val="00A9602D"/>
    <w:rsid w:val="00A96094"/>
    <w:rsid w:val="00A9609D"/>
    <w:rsid w:val="00A9610D"/>
    <w:rsid w:val="00A9612F"/>
    <w:rsid w:val="00A9616D"/>
    <w:rsid w:val="00A961EB"/>
    <w:rsid w:val="00A9622A"/>
    <w:rsid w:val="00A962BD"/>
    <w:rsid w:val="00A962F0"/>
    <w:rsid w:val="00A96447"/>
    <w:rsid w:val="00A964C4"/>
    <w:rsid w:val="00A9659D"/>
    <w:rsid w:val="00A96643"/>
    <w:rsid w:val="00A96674"/>
    <w:rsid w:val="00A96686"/>
    <w:rsid w:val="00A966ED"/>
    <w:rsid w:val="00A96776"/>
    <w:rsid w:val="00A967CB"/>
    <w:rsid w:val="00A96839"/>
    <w:rsid w:val="00A969FF"/>
    <w:rsid w:val="00A96A1E"/>
    <w:rsid w:val="00A96A69"/>
    <w:rsid w:val="00A96C37"/>
    <w:rsid w:val="00A96CB4"/>
    <w:rsid w:val="00A96D75"/>
    <w:rsid w:val="00A96DAC"/>
    <w:rsid w:val="00A96E5B"/>
    <w:rsid w:val="00A96EEE"/>
    <w:rsid w:val="00A97040"/>
    <w:rsid w:val="00A97166"/>
    <w:rsid w:val="00A97167"/>
    <w:rsid w:val="00A97338"/>
    <w:rsid w:val="00A973E7"/>
    <w:rsid w:val="00A97432"/>
    <w:rsid w:val="00A97463"/>
    <w:rsid w:val="00A97497"/>
    <w:rsid w:val="00A97530"/>
    <w:rsid w:val="00A97552"/>
    <w:rsid w:val="00A97579"/>
    <w:rsid w:val="00A976BD"/>
    <w:rsid w:val="00A9777A"/>
    <w:rsid w:val="00A978D9"/>
    <w:rsid w:val="00A979C5"/>
    <w:rsid w:val="00A97A25"/>
    <w:rsid w:val="00A97B0F"/>
    <w:rsid w:val="00A97BB4"/>
    <w:rsid w:val="00A97DA5"/>
    <w:rsid w:val="00A97DE0"/>
    <w:rsid w:val="00A97E81"/>
    <w:rsid w:val="00A97F70"/>
    <w:rsid w:val="00A97F98"/>
    <w:rsid w:val="00A97FBC"/>
    <w:rsid w:val="00A97FDB"/>
    <w:rsid w:val="00A97FFA"/>
    <w:rsid w:val="00AA000A"/>
    <w:rsid w:val="00AA0010"/>
    <w:rsid w:val="00AA027C"/>
    <w:rsid w:val="00AA0318"/>
    <w:rsid w:val="00AA033F"/>
    <w:rsid w:val="00AA0418"/>
    <w:rsid w:val="00AA0453"/>
    <w:rsid w:val="00AA0455"/>
    <w:rsid w:val="00AA05F7"/>
    <w:rsid w:val="00AA06A4"/>
    <w:rsid w:val="00AA06B7"/>
    <w:rsid w:val="00AA06C4"/>
    <w:rsid w:val="00AA06EB"/>
    <w:rsid w:val="00AA06FC"/>
    <w:rsid w:val="00AA0813"/>
    <w:rsid w:val="00AA0880"/>
    <w:rsid w:val="00AA08F6"/>
    <w:rsid w:val="00AA0906"/>
    <w:rsid w:val="00AA095E"/>
    <w:rsid w:val="00AA09A5"/>
    <w:rsid w:val="00AA0A37"/>
    <w:rsid w:val="00AA0B2B"/>
    <w:rsid w:val="00AA0BCB"/>
    <w:rsid w:val="00AA0C8A"/>
    <w:rsid w:val="00AA0D59"/>
    <w:rsid w:val="00AA0E25"/>
    <w:rsid w:val="00AA0E2B"/>
    <w:rsid w:val="00AA0E63"/>
    <w:rsid w:val="00AA0EA9"/>
    <w:rsid w:val="00AA0F00"/>
    <w:rsid w:val="00AA0FB2"/>
    <w:rsid w:val="00AA0FE4"/>
    <w:rsid w:val="00AA107F"/>
    <w:rsid w:val="00AA11B5"/>
    <w:rsid w:val="00AA122E"/>
    <w:rsid w:val="00AA1251"/>
    <w:rsid w:val="00AA1284"/>
    <w:rsid w:val="00AA12FB"/>
    <w:rsid w:val="00AA1420"/>
    <w:rsid w:val="00AA1457"/>
    <w:rsid w:val="00AA1512"/>
    <w:rsid w:val="00AA1554"/>
    <w:rsid w:val="00AA15C8"/>
    <w:rsid w:val="00AA168E"/>
    <w:rsid w:val="00AA174E"/>
    <w:rsid w:val="00AA178A"/>
    <w:rsid w:val="00AA1884"/>
    <w:rsid w:val="00AA18CD"/>
    <w:rsid w:val="00AA1965"/>
    <w:rsid w:val="00AA1A39"/>
    <w:rsid w:val="00AA1A4B"/>
    <w:rsid w:val="00AA1B00"/>
    <w:rsid w:val="00AA1BE8"/>
    <w:rsid w:val="00AA1C43"/>
    <w:rsid w:val="00AA1CAE"/>
    <w:rsid w:val="00AA1CD0"/>
    <w:rsid w:val="00AA1E4A"/>
    <w:rsid w:val="00AA1E9C"/>
    <w:rsid w:val="00AA1FF9"/>
    <w:rsid w:val="00AA2093"/>
    <w:rsid w:val="00AA20C0"/>
    <w:rsid w:val="00AA20C1"/>
    <w:rsid w:val="00AA20C7"/>
    <w:rsid w:val="00AA20F7"/>
    <w:rsid w:val="00AA2153"/>
    <w:rsid w:val="00AA2191"/>
    <w:rsid w:val="00AA2395"/>
    <w:rsid w:val="00AA23A3"/>
    <w:rsid w:val="00AA23D5"/>
    <w:rsid w:val="00AA253E"/>
    <w:rsid w:val="00AA2542"/>
    <w:rsid w:val="00AA2579"/>
    <w:rsid w:val="00AA27AF"/>
    <w:rsid w:val="00AA2B30"/>
    <w:rsid w:val="00AA2B62"/>
    <w:rsid w:val="00AA2B88"/>
    <w:rsid w:val="00AA2C4C"/>
    <w:rsid w:val="00AA2E34"/>
    <w:rsid w:val="00AA2E9E"/>
    <w:rsid w:val="00AA2ECD"/>
    <w:rsid w:val="00AA2F51"/>
    <w:rsid w:val="00AA2F58"/>
    <w:rsid w:val="00AA2F65"/>
    <w:rsid w:val="00AA2F66"/>
    <w:rsid w:val="00AA2FB2"/>
    <w:rsid w:val="00AA2FC0"/>
    <w:rsid w:val="00AA303B"/>
    <w:rsid w:val="00AA30D0"/>
    <w:rsid w:val="00AA321B"/>
    <w:rsid w:val="00AA3353"/>
    <w:rsid w:val="00AA3499"/>
    <w:rsid w:val="00AA34BB"/>
    <w:rsid w:val="00AA35AD"/>
    <w:rsid w:val="00AA35C1"/>
    <w:rsid w:val="00AA3663"/>
    <w:rsid w:val="00AA370D"/>
    <w:rsid w:val="00AA3738"/>
    <w:rsid w:val="00AA3779"/>
    <w:rsid w:val="00AA38B8"/>
    <w:rsid w:val="00AA396E"/>
    <w:rsid w:val="00AA3A3A"/>
    <w:rsid w:val="00AA3C24"/>
    <w:rsid w:val="00AA3DB8"/>
    <w:rsid w:val="00AA3DF5"/>
    <w:rsid w:val="00AA3F16"/>
    <w:rsid w:val="00AA3F19"/>
    <w:rsid w:val="00AA3FF5"/>
    <w:rsid w:val="00AA3FFE"/>
    <w:rsid w:val="00AA407C"/>
    <w:rsid w:val="00AA41A0"/>
    <w:rsid w:val="00AA42E5"/>
    <w:rsid w:val="00AA42F4"/>
    <w:rsid w:val="00AA434B"/>
    <w:rsid w:val="00AA437F"/>
    <w:rsid w:val="00AA4485"/>
    <w:rsid w:val="00AA45A4"/>
    <w:rsid w:val="00AA45D2"/>
    <w:rsid w:val="00AA4671"/>
    <w:rsid w:val="00AA468F"/>
    <w:rsid w:val="00AA46A6"/>
    <w:rsid w:val="00AA46EE"/>
    <w:rsid w:val="00AA47E4"/>
    <w:rsid w:val="00AA4850"/>
    <w:rsid w:val="00AA4992"/>
    <w:rsid w:val="00AA4A51"/>
    <w:rsid w:val="00AA4CA9"/>
    <w:rsid w:val="00AA4D80"/>
    <w:rsid w:val="00AA4EA3"/>
    <w:rsid w:val="00AA4FB8"/>
    <w:rsid w:val="00AA4FD6"/>
    <w:rsid w:val="00AA50C2"/>
    <w:rsid w:val="00AA51A0"/>
    <w:rsid w:val="00AA5208"/>
    <w:rsid w:val="00AA520F"/>
    <w:rsid w:val="00AA521D"/>
    <w:rsid w:val="00AA5273"/>
    <w:rsid w:val="00AA52DA"/>
    <w:rsid w:val="00AA52E5"/>
    <w:rsid w:val="00AA538B"/>
    <w:rsid w:val="00AA542B"/>
    <w:rsid w:val="00AA54FB"/>
    <w:rsid w:val="00AA550B"/>
    <w:rsid w:val="00AA5602"/>
    <w:rsid w:val="00AA5606"/>
    <w:rsid w:val="00AA5618"/>
    <w:rsid w:val="00AA573D"/>
    <w:rsid w:val="00AA58F9"/>
    <w:rsid w:val="00AA5967"/>
    <w:rsid w:val="00AA5ABA"/>
    <w:rsid w:val="00AA5B60"/>
    <w:rsid w:val="00AA5C52"/>
    <w:rsid w:val="00AA5CD4"/>
    <w:rsid w:val="00AA5DA2"/>
    <w:rsid w:val="00AA5E72"/>
    <w:rsid w:val="00AA5FC0"/>
    <w:rsid w:val="00AA5FD9"/>
    <w:rsid w:val="00AA603F"/>
    <w:rsid w:val="00AA6052"/>
    <w:rsid w:val="00AA606E"/>
    <w:rsid w:val="00AA60FC"/>
    <w:rsid w:val="00AA6131"/>
    <w:rsid w:val="00AA6197"/>
    <w:rsid w:val="00AA619F"/>
    <w:rsid w:val="00AA621D"/>
    <w:rsid w:val="00AA62A6"/>
    <w:rsid w:val="00AA63B6"/>
    <w:rsid w:val="00AA63D9"/>
    <w:rsid w:val="00AA653A"/>
    <w:rsid w:val="00AA6700"/>
    <w:rsid w:val="00AA68F5"/>
    <w:rsid w:val="00AA69E2"/>
    <w:rsid w:val="00AA6ABC"/>
    <w:rsid w:val="00AA6B17"/>
    <w:rsid w:val="00AA6C8A"/>
    <w:rsid w:val="00AA6CC7"/>
    <w:rsid w:val="00AA7100"/>
    <w:rsid w:val="00AA71C8"/>
    <w:rsid w:val="00AA71F3"/>
    <w:rsid w:val="00AA7269"/>
    <w:rsid w:val="00AA7290"/>
    <w:rsid w:val="00AA72AE"/>
    <w:rsid w:val="00AA7301"/>
    <w:rsid w:val="00AA730D"/>
    <w:rsid w:val="00AA7563"/>
    <w:rsid w:val="00AA7599"/>
    <w:rsid w:val="00AA75D4"/>
    <w:rsid w:val="00AA76E9"/>
    <w:rsid w:val="00AA7852"/>
    <w:rsid w:val="00AA7881"/>
    <w:rsid w:val="00AA788D"/>
    <w:rsid w:val="00AA791B"/>
    <w:rsid w:val="00AA79B3"/>
    <w:rsid w:val="00AA7B30"/>
    <w:rsid w:val="00AA7C0C"/>
    <w:rsid w:val="00AA7E14"/>
    <w:rsid w:val="00AA7ED7"/>
    <w:rsid w:val="00AA7F08"/>
    <w:rsid w:val="00AB0168"/>
    <w:rsid w:val="00AB01C9"/>
    <w:rsid w:val="00AB0260"/>
    <w:rsid w:val="00AB041E"/>
    <w:rsid w:val="00AB0423"/>
    <w:rsid w:val="00AB0431"/>
    <w:rsid w:val="00AB047B"/>
    <w:rsid w:val="00AB04AD"/>
    <w:rsid w:val="00AB04DC"/>
    <w:rsid w:val="00AB058F"/>
    <w:rsid w:val="00AB05B0"/>
    <w:rsid w:val="00AB06EB"/>
    <w:rsid w:val="00AB0733"/>
    <w:rsid w:val="00AB0839"/>
    <w:rsid w:val="00AB09E3"/>
    <w:rsid w:val="00AB0AE7"/>
    <w:rsid w:val="00AB0D2A"/>
    <w:rsid w:val="00AB0D57"/>
    <w:rsid w:val="00AB0DB6"/>
    <w:rsid w:val="00AB0F58"/>
    <w:rsid w:val="00AB0FB3"/>
    <w:rsid w:val="00AB1103"/>
    <w:rsid w:val="00AB1105"/>
    <w:rsid w:val="00AB1227"/>
    <w:rsid w:val="00AB12A1"/>
    <w:rsid w:val="00AB140D"/>
    <w:rsid w:val="00AB1411"/>
    <w:rsid w:val="00AB1503"/>
    <w:rsid w:val="00AB15AC"/>
    <w:rsid w:val="00AB1773"/>
    <w:rsid w:val="00AB195B"/>
    <w:rsid w:val="00AB1A58"/>
    <w:rsid w:val="00AB1B0E"/>
    <w:rsid w:val="00AB1B33"/>
    <w:rsid w:val="00AB1B46"/>
    <w:rsid w:val="00AB1B5C"/>
    <w:rsid w:val="00AB1B85"/>
    <w:rsid w:val="00AB1D37"/>
    <w:rsid w:val="00AB1D79"/>
    <w:rsid w:val="00AB1D85"/>
    <w:rsid w:val="00AB1DA2"/>
    <w:rsid w:val="00AB1F00"/>
    <w:rsid w:val="00AB203B"/>
    <w:rsid w:val="00AB2061"/>
    <w:rsid w:val="00AB2242"/>
    <w:rsid w:val="00AB2377"/>
    <w:rsid w:val="00AB23B1"/>
    <w:rsid w:val="00AB2439"/>
    <w:rsid w:val="00AB2481"/>
    <w:rsid w:val="00AB24A5"/>
    <w:rsid w:val="00AB253E"/>
    <w:rsid w:val="00AB2574"/>
    <w:rsid w:val="00AB257D"/>
    <w:rsid w:val="00AB27E6"/>
    <w:rsid w:val="00AB28A1"/>
    <w:rsid w:val="00AB2A5E"/>
    <w:rsid w:val="00AB2A7D"/>
    <w:rsid w:val="00AB2AC2"/>
    <w:rsid w:val="00AB2B89"/>
    <w:rsid w:val="00AB2BC5"/>
    <w:rsid w:val="00AB2D16"/>
    <w:rsid w:val="00AB2D3F"/>
    <w:rsid w:val="00AB2DDE"/>
    <w:rsid w:val="00AB2DF1"/>
    <w:rsid w:val="00AB2E5B"/>
    <w:rsid w:val="00AB2E9C"/>
    <w:rsid w:val="00AB2EC3"/>
    <w:rsid w:val="00AB2F64"/>
    <w:rsid w:val="00AB3076"/>
    <w:rsid w:val="00AB3112"/>
    <w:rsid w:val="00AB3140"/>
    <w:rsid w:val="00AB3187"/>
    <w:rsid w:val="00AB334F"/>
    <w:rsid w:val="00AB3398"/>
    <w:rsid w:val="00AB3560"/>
    <w:rsid w:val="00AB3592"/>
    <w:rsid w:val="00AB3615"/>
    <w:rsid w:val="00AB3633"/>
    <w:rsid w:val="00AB365B"/>
    <w:rsid w:val="00AB36DA"/>
    <w:rsid w:val="00AB36F6"/>
    <w:rsid w:val="00AB37C5"/>
    <w:rsid w:val="00AB37DB"/>
    <w:rsid w:val="00AB385C"/>
    <w:rsid w:val="00AB3A11"/>
    <w:rsid w:val="00AB3B2C"/>
    <w:rsid w:val="00AB3B74"/>
    <w:rsid w:val="00AB3D0B"/>
    <w:rsid w:val="00AB3DB1"/>
    <w:rsid w:val="00AB3DCB"/>
    <w:rsid w:val="00AB3E10"/>
    <w:rsid w:val="00AB3E46"/>
    <w:rsid w:val="00AB3E6F"/>
    <w:rsid w:val="00AB3E95"/>
    <w:rsid w:val="00AB3E97"/>
    <w:rsid w:val="00AB3EC1"/>
    <w:rsid w:val="00AB3ECA"/>
    <w:rsid w:val="00AB3F78"/>
    <w:rsid w:val="00AB3FF8"/>
    <w:rsid w:val="00AB4036"/>
    <w:rsid w:val="00AB41D6"/>
    <w:rsid w:val="00AB4300"/>
    <w:rsid w:val="00AB44E1"/>
    <w:rsid w:val="00AB450D"/>
    <w:rsid w:val="00AB45D2"/>
    <w:rsid w:val="00AB46B4"/>
    <w:rsid w:val="00AB4738"/>
    <w:rsid w:val="00AB49B1"/>
    <w:rsid w:val="00AB49D8"/>
    <w:rsid w:val="00AB4A1A"/>
    <w:rsid w:val="00AB4B46"/>
    <w:rsid w:val="00AB4B5B"/>
    <w:rsid w:val="00AB4B8A"/>
    <w:rsid w:val="00AB4B8C"/>
    <w:rsid w:val="00AB4C06"/>
    <w:rsid w:val="00AB4C81"/>
    <w:rsid w:val="00AB4CE2"/>
    <w:rsid w:val="00AB4DB4"/>
    <w:rsid w:val="00AB4E70"/>
    <w:rsid w:val="00AB4EBE"/>
    <w:rsid w:val="00AB4ECE"/>
    <w:rsid w:val="00AB4F9B"/>
    <w:rsid w:val="00AB50E8"/>
    <w:rsid w:val="00AB51F3"/>
    <w:rsid w:val="00AB52C3"/>
    <w:rsid w:val="00AB530B"/>
    <w:rsid w:val="00AB5314"/>
    <w:rsid w:val="00AB5896"/>
    <w:rsid w:val="00AB5915"/>
    <w:rsid w:val="00AB591C"/>
    <w:rsid w:val="00AB5A0B"/>
    <w:rsid w:val="00AB5B56"/>
    <w:rsid w:val="00AB5B92"/>
    <w:rsid w:val="00AB5FDA"/>
    <w:rsid w:val="00AB60C8"/>
    <w:rsid w:val="00AB6328"/>
    <w:rsid w:val="00AB6346"/>
    <w:rsid w:val="00AB65BC"/>
    <w:rsid w:val="00AB65F7"/>
    <w:rsid w:val="00AB661E"/>
    <w:rsid w:val="00AB689B"/>
    <w:rsid w:val="00AB69B6"/>
    <w:rsid w:val="00AB69CC"/>
    <w:rsid w:val="00AB69E9"/>
    <w:rsid w:val="00AB6A39"/>
    <w:rsid w:val="00AB6BB5"/>
    <w:rsid w:val="00AB6DAE"/>
    <w:rsid w:val="00AB6DBE"/>
    <w:rsid w:val="00AB6DD1"/>
    <w:rsid w:val="00AB6E6C"/>
    <w:rsid w:val="00AB6F97"/>
    <w:rsid w:val="00AB6FEE"/>
    <w:rsid w:val="00AB700D"/>
    <w:rsid w:val="00AB7262"/>
    <w:rsid w:val="00AB7289"/>
    <w:rsid w:val="00AB72B8"/>
    <w:rsid w:val="00AB72CE"/>
    <w:rsid w:val="00AB7349"/>
    <w:rsid w:val="00AB7354"/>
    <w:rsid w:val="00AB7394"/>
    <w:rsid w:val="00AB74D1"/>
    <w:rsid w:val="00AB759D"/>
    <w:rsid w:val="00AB759E"/>
    <w:rsid w:val="00AB75CB"/>
    <w:rsid w:val="00AB774F"/>
    <w:rsid w:val="00AB7776"/>
    <w:rsid w:val="00AB77BD"/>
    <w:rsid w:val="00AB77F1"/>
    <w:rsid w:val="00AB78A4"/>
    <w:rsid w:val="00AB79DD"/>
    <w:rsid w:val="00AB79E6"/>
    <w:rsid w:val="00AB7A0D"/>
    <w:rsid w:val="00AB7A7F"/>
    <w:rsid w:val="00AB7C12"/>
    <w:rsid w:val="00AB7D70"/>
    <w:rsid w:val="00AB7DF3"/>
    <w:rsid w:val="00AB7F8E"/>
    <w:rsid w:val="00AC0680"/>
    <w:rsid w:val="00AC06EE"/>
    <w:rsid w:val="00AC07D2"/>
    <w:rsid w:val="00AC0AAB"/>
    <w:rsid w:val="00AC0B4F"/>
    <w:rsid w:val="00AC0C31"/>
    <w:rsid w:val="00AC0C66"/>
    <w:rsid w:val="00AC0D04"/>
    <w:rsid w:val="00AC0DC3"/>
    <w:rsid w:val="00AC0EBF"/>
    <w:rsid w:val="00AC0F5D"/>
    <w:rsid w:val="00AC0F9D"/>
    <w:rsid w:val="00AC0FCC"/>
    <w:rsid w:val="00AC11C0"/>
    <w:rsid w:val="00AC12F2"/>
    <w:rsid w:val="00AC1314"/>
    <w:rsid w:val="00AC142A"/>
    <w:rsid w:val="00AC147D"/>
    <w:rsid w:val="00AC1481"/>
    <w:rsid w:val="00AC1583"/>
    <w:rsid w:val="00AC15D0"/>
    <w:rsid w:val="00AC16AE"/>
    <w:rsid w:val="00AC16CF"/>
    <w:rsid w:val="00AC17BD"/>
    <w:rsid w:val="00AC1868"/>
    <w:rsid w:val="00AC19FC"/>
    <w:rsid w:val="00AC1BAB"/>
    <w:rsid w:val="00AC1BD0"/>
    <w:rsid w:val="00AC1CDE"/>
    <w:rsid w:val="00AC1D3F"/>
    <w:rsid w:val="00AC1D54"/>
    <w:rsid w:val="00AC1D6D"/>
    <w:rsid w:val="00AC1DF6"/>
    <w:rsid w:val="00AC1E2A"/>
    <w:rsid w:val="00AC1F56"/>
    <w:rsid w:val="00AC1FAE"/>
    <w:rsid w:val="00AC1FB0"/>
    <w:rsid w:val="00AC210B"/>
    <w:rsid w:val="00AC216D"/>
    <w:rsid w:val="00AC235E"/>
    <w:rsid w:val="00AC23B1"/>
    <w:rsid w:val="00AC2418"/>
    <w:rsid w:val="00AC242E"/>
    <w:rsid w:val="00AC24A3"/>
    <w:rsid w:val="00AC24B1"/>
    <w:rsid w:val="00AC253A"/>
    <w:rsid w:val="00AC2646"/>
    <w:rsid w:val="00AC27AE"/>
    <w:rsid w:val="00AC2823"/>
    <w:rsid w:val="00AC2925"/>
    <w:rsid w:val="00AC2991"/>
    <w:rsid w:val="00AC2ABE"/>
    <w:rsid w:val="00AC2C95"/>
    <w:rsid w:val="00AC2D73"/>
    <w:rsid w:val="00AC2E5C"/>
    <w:rsid w:val="00AC2E9F"/>
    <w:rsid w:val="00AC2F81"/>
    <w:rsid w:val="00AC307C"/>
    <w:rsid w:val="00AC30BA"/>
    <w:rsid w:val="00AC3273"/>
    <w:rsid w:val="00AC32CA"/>
    <w:rsid w:val="00AC33E8"/>
    <w:rsid w:val="00AC344D"/>
    <w:rsid w:val="00AC3475"/>
    <w:rsid w:val="00AC349A"/>
    <w:rsid w:val="00AC371F"/>
    <w:rsid w:val="00AC3724"/>
    <w:rsid w:val="00AC37AB"/>
    <w:rsid w:val="00AC381C"/>
    <w:rsid w:val="00AC381F"/>
    <w:rsid w:val="00AC3847"/>
    <w:rsid w:val="00AC388E"/>
    <w:rsid w:val="00AC38E9"/>
    <w:rsid w:val="00AC39AD"/>
    <w:rsid w:val="00AC3A8C"/>
    <w:rsid w:val="00AC3B80"/>
    <w:rsid w:val="00AC3BFE"/>
    <w:rsid w:val="00AC3C2E"/>
    <w:rsid w:val="00AC3C5F"/>
    <w:rsid w:val="00AC3D0B"/>
    <w:rsid w:val="00AC3D3E"/>
    <w:rsid w:val="00AC3D66"/>
    <w:rsid w:val="00AC3DD9"/>
    <w:rsid w:val="00AC3E39"/>
    <w:rsid w:val="00AC3F14"/>
    <w:rsid w:val="00AC3F34"/>
    <w:rsid w:val="00AC3F58"/>
    <w:rsid w:val="00AC41EA"/>
    <w:rsid w:val="00AC4202"/>
    <w:rsid w:val="00AC4269"/>
    <w:rsid w:val="00AC42D9"/>
    <w:rsid w:val="00AC4313"/>
    <w:rsid w:val="00AC436E"/>
    <w:rsid w:val="00AC4382"/>
    <w:rsid w:val="00AC4496"/>
    <w:rsid w:val="00AC454E"/>
    <w:rsid w:val="00AC4578"/>
    <w:rsid w:val="00AC469A"/>
    <w:rsid w:val="00AC46B9"/>
    <w:rsid w:val="00AC4771"/>
    <w:rsid w:val="00AC47A7"/>
    <w:rsid w:val="00AC47AA"/>
    <w:rsid w:val="00AC481B"/>
    <w:rsid w:val="00AC4832"/>
    <w:rsid w:val="00AC48BA"/>
    <w:rsid w:val="00AC494B"/>
    <w:rsid w:val="00AC4963"/>
    <w:rsid w:val="00AC49DE"/>
    <w:rsid w:val="00AC4A56"/>
    <w:rsid w:val="00AC4D15"/>
    <w:rsid w:val="00AC4DFA"/>
    <w:rsid w:val="00AC4E95"/>
    <w:rsid w:val="00AC4ECE"/>
    <w:rsid w:val="00AC4F01"/>
    <w:rsid w:val="00AC5030"/>
    <w:rsid w:val="00AC518B"/>
    <w:rsid w:val="00AC51DF"/>
    <w:rsid w:val="00AC5204"/>
    <w:rsid w:val="00AC52AA"/>
    <w:rsid w:val="00AC52D3"/>
    <w:rsid w:val="00AC5365"/>
    <w:rsid w:val="00AC5392"/>
    <w:rsid w:val="00AC53D6"/>
    <w:rsid w:val="00AC5547"/>
    <w:rsid w:val="00AC5736"/>
    <w:rsid w:val="00AC5939"/>
    <w:rsid w:val="00AC5985"/>
    <w:rsid w:val="00AC5A71"/>
    <w:rsid w:val="00AC5AAF"/>
    <w:rsid w:val="00AC5CAE"/>
    <w:rsid w:val="00AC5D8F"/>
    <w:rsid w:val="00AC5E0A"/>
    <w:rsid w:val="00AC5E16"/>
    <w:rsid w:val="00AC5E40"/>
    <w:rsid w:val="00AC5F24"/>
    <w:rsid w:val="00AC5FA3"/>
    <w:rsid w:val="00AC61D8"/>
    <w:rsid w:val="00AC689E"/>
    <w:rsid w:val="00AC68D8"/>
    <w:rsid w:val="00AC6944"/>
    <w:rsid w:val="00AC6A2C"/>
    <w:rsid w:val="00AC6B3C"/>
    <w:rsid w:val="00AC6B43"/>
    <w:rsid w:val="00AC6C1A"/>
    <w:rsid w:val="00AC6C3A"/>
    <w:rsid w:val="00AC6D17"/>
    <w:rsid w:val="00AC6D7D"/>
    <w:rsid w:val="00AC6E5B"/>
    <w:rsid w:val="00AC6E7D"/>
    <w:rsid w:val="00AC6ED3"/>
    <w:rsid w:val="00AC6FA6"/>
    <w:rsid w:val="00AC6FD7"/>
    <w:rsid w:val="00AC6FF1"/>
    <w:rsid w:val="00AC719E"/>
    <w:rsid w:val="00AC728A"/>
    <w:rsid w:val="00AC7296"/>
    <w:rsid w:val="00AC7321"/>
    <w:rsid w:val="00AC7373"/>
    <w:rsid w:val="00AC738C"/>
    <w:rsid w:val="00AC73B0"/>
    <w:rsid w:val="00AC7532"/>
    <w:rsid w:val="00AC785E"/>
    <w:rsid w:val="00AC78BC"/>
    <w:rsid w:val="00AC7915"/>
    <w:rsid w:val="00AC79E4"/>
    <w:rsid w:val="00AC7A0D"/>
    <w:rsid w:val="00AC7A42"/>
    <w:rsid w:val="00AC7A5D"/>
    <w:rsid w:val="00AC7AA0"/>
    <w:rsid w:val="00AC7BC6"/>
    <w:rsid w:val="00AC7BEA"/>
    <w:rsid w:val="00AC7C44"/>
    <w:rsid w:val="00AC7CF4"/>
    <w:rsid w:val="00AC7DB4"/>
    <w:rsid w:val="00ACB5E2"/>
    <w:rsid w:val="00AD0213"/>
    <w:rsid w:val="00AD021D"/>
    <w:rsid w:val="00AD0420"/>
    <w:rsid w:val="00AD04DB"/>
    <w:rsid w:val="00AD057B"/>
    <w:rsid w:val="00AD0581"/>
    <w:rsid w:val="00AD05BA"/>
    <w:rsid w:val="00AD05DC"/>
    <w:rsid w:val="00AD0719"/>
    <w:rsid w:val="00AD08B8"/>
    <w:rsid w:val="00AD08F0"/>
    <w:rsid w:val="00AD0918"/>
    <w:rsid w:val="00AD0B1B"/>
    <w:rsid w:val="00AD0C11"/>
    <w:rsid w:val="00AD0CFC"/>
    <w:rsid w:val="00AD0D02"/>
    <w:rsid w:val="00AD0D25"/>
    <w:rsid w:val="00AD0D66"/>
    <w:rsid w:val="00AD0E08"/>
    <w:rsid w:val="00AD0E64"/>
    <w:rsid w:val="00AD0EA2"/>
    <w:rsid w:val="00AD0F55"/>
    <w:rsid w:val="00AD11A7"/>
    <w:rsid w:val="00AD11CC"/>
    <w:rsid w:val="00AD11DE"/>
    <w:rsid w:val="00AD129A"/>
    <w:rsid w:val="00AD13F4"/>
    <w:rsid w:val="00AD14B8"/>
    <w:rsid w:val="00AD14F0"/>
    <w:rsid w:val="00AD15E0"/>
    <w:rsid w:val="00AD17C0"/>
    <w:rsid w:val="00AD17E1"/>
    <w:rsid w:val="00AD189D"/>
    <w:rsid w:val="00AD1902"/>
    <w:rsid w:val="00AD1959"/>
    <w:rsid w:val="00AD1963"/>
    <w:rsid w:val="00AD19CE"/>
    <w:rsid w:val="00AD1BFB"/>
    <w:rsid w:val="00AD1C4E"/>
    <w:rsid w:val="00AD1C77"/>
    <w:rsid w:val="00AD1D8A"/>
    <w:rsid w:val="00AD1D9D"/>
    <w:rsid w:val="00AD1DAD"/>
    <w:rsid w:val="00AD1F22"/>
    <w:rsid w:val="00AD21DE"/>
    <w:rsid w:val="00AD21E1"/>
    <w:rsid w:val="00AD2200"/>
    <w:rsid w:val="00AD22BF"/>
    <w:rsid w:val="00AD2472"/>
    <w:rsid w:val="00AD24B9"/>
    <w:rsid w:val="00AD24C0"/>
    <w:rsid w:val="00AD24EA"/>
    <w:rsid w:val="00AD2508"/>
    <w:rsid w:val="00AD250D"/>
    <w:rsid w:val="00AD257E"/>
    <w:rsid w:val="00AD258C"/>
    <w:rsid w:val="00AD2613"/>
    <w:rsid w:val="00AD26B9"/>
    <w:rsid w:val="00AD27DA"/>
    <w:rsid w:val="00AD28A9"/>
    <w:rsid w:val="00AD28F4"/>
    <w:rsid w:val="00AD2A5A"/>
    <w:rsid w:val="00AD2A92"/>
    <w:rsid w:val="00AD2C95"/>
    <w:rsid w:val="00AD2D29"/>
    <w:rsid w:val="00AD2DFD"/>
    <w:rsid w:val="00AD2E7A"/>
    <w:rsid w:val="00AD2E82"/>
    <w:rsid w:val="00AD2F33"/>
    <w:rsid w:val="00AD2F35"/>
    <w:rsid w:val="00AD2FC9"/>
    <w:rsid w:val="00AD321D"/>
    <w:rsid w:val="00AD32F3"/>
    <w:rsid w:val="00AD337C"/>
    <w:rsid w:val="00AD3425"/>
    <w:rsid w:val="00AD34DA"/>
    <w:rsid w:val="00AD355B"/>
    <w:rsid w:val="00AD366E"/>
    <w:rsid w:val="00AD3680"/>
    <w:rsid w:val="00AD36EC"/>
    <w:rsid w:val="00AD36FD"/>
    <w:rsid w:val="00AD3724"/>
    <w:rsid w:val="00AD38F9"/>
    <w:rsid w:val="00AD397D"/>
    <w:rsid w:val="00AD3A30"/>
    <w:rsid w:val="00AD3A63"/>
    <w:rsid w:val="00AD3A6A"/>
    <w:rsid w:val="00AD3AF3"/>
    <w:rsid w:val="00AD3B33"/>
    <w:rsid w:val="00AD3B35"/>
    <w:rsid w:val="00AD3BDD"/>
    <w:rsid w:val="00AD3D82"/>
    <w:rsid w:val="00AD3FBB"/>
    <w:rsid w:val="00AD3FEB"/>
    <w:rsid w:val="00AD4315"/>
    <w:rsid w:val="00AD4345"/>
    <w:rsid w:val="00AD4422"/>
    <w:rsid w:val="00AD44F6"/>
    <w:rsid w:val="00AD4640"/>
    <w:rsid w:val="00AD4709"/>
    <w:rsid w:val="00AD4752"/>
    <w:rsid w:val="00AD48CD"/>
    <w:rsid w:val="00AD4978"/>
    <w:rsid w:val="00AD4A62"/>
    <w:rsid w:val="00AD4A89"/>
    <w:rsid w:val="00AD4B20"/>
    <w:rsid w:val="00AD4D1A"/>
    <w:rsid w:val="00AD4D4F"/>
    <w:rsid w:val="00AD4D54"/>
    <w:rsid w:val="00AD4DC5"/>
    <w:rsid w:val="00AD4E27"/>
    <w:rsid w:val="00AD4EA7"/>
    <w:rsid w:val="00AD4F6A"/>
    <w:rsid w:val="00AD500C"/>
    <w:rsid w:val="00AD5085"/>
    <w:rsid w:val="00AD5121"/>
    <w:rsid w:val="00AD51AD"/>
    <w:rsid w:val="00AD51C5"/>
    <w:rsid w:val="00AD522E"/>
    <w:rsid w:val="00AD5231"/>
    <w:rsid w:val="00AD54A5"/>
    <w:rsid w:val="00AD597F"/>
    <w:rsid w:val="00AD5AA1"/>
    <w:rsid w:val="00AD5B7C"/>
    <w:rsid w:val="00AD5B82"/>
    <w:rsid w:val="00AD5C02"/>
    <w:rsid w:val="00AD5D71"/>
    <w:rsid w:val="00AD5E93"/>
    <w:rsid w:val="00AD5ED1"/>
    <w:rsid w:val="00AD5F2D"/>
    <w:rsid w:val="00AD5F74"/>
    <w:rsid w:val="00AD5F7C"/>
    <w:rsid w:val="00AD5FAB"/>
    <w:rsid w:val="00AD5FD6"/>
    <w:rsid w:val="00AD6032"/>
    <w:rsid w:val="00AD6066"/>
    <w:rsid w:val="00AD60A6"/>
    <w:rsid w:val="00AD60A8"/>
    <w:rsid w:val="00AD62F6"/>
    <w:rsid w:val="00AD6540"/>
    <w:rsid w:val="00AD6605"/>
    <w:rsid w:val="00AD67B5"/>
    <w:rsid w:val="00AD6869"/>
    <w:rsid w:val="00AD6AF6"/>
    <w:rsid w:val="00AD6B2C"/>
    <w:rsid w:val="00AD6DFC"/>
    <w:rsid w:val="00AD6E9C"/>
    <w:rsid w:val="00AD6F57"/>
    <w:rsid w:val="00AD705B"/>
    <w:rsid w:val="00AD70B1"/>
    <w:rsid w:val="00AD7163"/>
    <w:rsid w:val="00AD73AA"/>
    <w:rsid w:val="00AD73E0"/>
    <w:rsid w:val="00AD741C"/>
    <w:rsid w:val="00AD7520"/>
    <w:rsid w:val="00AD77F2"/>
    <w:rsid w:val="00AD785D"/>
    <w:rsid w:val="00AD78E4"/>
    <w:rsid w:val="00AD78E6"/>
    <w:rsid w:val="00AD7911"/>
    <w:rsid w:val="00AD7B57"/>
    <w:rsid w:val="00AD7E20"/>
    <w:rsid w:val="00AD7E4B"/>
    <w:rsid w:val="00AD7E54"/>
    <w:rsid w:val="00AD7F5E"/>
    <w:rsid w:val="00AE0031"/>
    <w:rsid w:val="00AE00E2"/>
    <w:rsid w:val="00AE01A3"/>
    <w:rsid w:val="00AE0349"/>
    <w:rsid w:val="00AE0410"/>
    <w:rsid w:val="00AE04B3"/>
    <w:rsid w:val="00AE070C"/>
    <w:rsid w:val="00AE07A3"/>
    <w:rsid w:val="00AE09B9"/>
    <w:rsid w:val="00AE0AE3"/>
    <w:rsid w:val="00AE0BDF"/>
    <w:rsid w:val="00AE0C21"/>
    <w:rsid w:val="00AE0C52"/>
    <w:rsid w:val="00AE0CE9"/>
    <w:rsid w:val="00AE0DBC"/>
    <w:rsid w:val="00AE0DC6"/>
    <w:rsid w:val="00AE0DCE"/>
    <w:rsid w:val="00AE0E20"/>
    <w:rsid w:val="00AE0F71"/>
    <w:rsid w:val="00AE12E7"/>
    <w:rsid w:val="00AE13B5"/>
    <w:rsid w:val="00AE13EF"/>
    <w:rsid w:val="00AE1410"/>
    <w:rsid w:val="00AE1584"/>
    <w:rsid w:val="00AE15AC"/>
    <w:rsid w:val="00AE15F0"/>
    <w:rsid w:val="00AE16A6"/>
    <w:rsid w:val="00AE16A9"/>
    <w:rsid w:val="00AE176C"/>
    <w:rsid w:val="00AE17C9"/>
    <w:rsid w:val="00AE17EA"/>
    <w:rsid w:val="00AE1802"/>
    <w:rsid w:val="00AE1806"/>
    <w:rsid w:val="00AE18A7"/>
    <w:rsid w:val="00AE18D0"/>
    <w:rsid w:val="00AE18E5"/>
    <w:rsid w:val="00AE1938"/>
    <w:rsid w:val="00AE193D"/>
    <w:rsid w:val="00AE1966"/>
    <w:rsid w:val="00AE197B"/>
    <w:rsid w:val="00AE1AB0"/>
    <w:rsid w:val="00AE1B25"/>
    <w:rsid w:val="00AE1B31"/>
    <w:rsid w:val="00AE1C19"/>
    <w:rsid w:val="00AE1EE6"/>
    <w:rsid w:val="00AE1FD8"/>
    <w:rsid w:val="00AE2071"/>
    <w:rsid w:val="00AE211B"/>
    <w:rsid w:val="00AE2237"/>
    <w:rsid w:val="00AE2277"/>
    <w:rsid w:val="00AE2337"/>
    <w:rsid w:val="00AE2493"/>
    <w:rsid w:val="00AE24A5"/>
    <w:rsid w:val="00AE24B4"/>
    <w:rsid w:val="00AE24CD"/>
    <w:rsid w:val="00AE256A"/>
    <w:rsid w:val="00AE260A"/>
    <w:rsid w:val="00AE26B5"/>
    <w:rsid w:val="00AE2757"/>
    <w:rsid w:val="00AE2815"/>
    <w:rsid w:val="00AE284C"/>
    <w:rsid w:val="00AE2893"/>
    <w:rsid w:val="00AE2910"/>
    <w:rsid w:val="00AE2BD4"/>
    <w:rsid w:val="00AE2C4F"/>
    <w:rsid w:val="00AE2C7C"/>
    <w:rsid w:val="00AE2C9F"/>
    <w:rsid w:val="00AE2CC5"/>
    <w:rsid w:val="00AE2D53"/>
    <w:rsid w:val="00AE2DBA"/>
    <w:rsid w:val="00AE2ED3"/>
    <w:rsid w:val="00AE2F10"/>
    <w:rsid w:val="00AE2F73"/>
    <w:rsid w:val="00AE2F84"/>
    <w:rsid w:val="00AE300B"/>
    <w:rsid w:val="00AE3033"/>
    <w:rsid w:val="00AE30D1"/>
    <w:rsid w:val="00AE30F1"/>
    <w:rsid w:val="00AE3110"/>
    <w:rsid w:val="00AE312D"/>
    <w:rsid w:val="00AE31BC"/>
    <w:rsid w:val="00AE3263"/>
    <w:rsid w:val="00AE348B"/>
    <w:rsid w:val="00AE3508"/>
    <w:rsid w:val="00AE3641"/>
    <w:rsid w:val="00AE3869"/>
    <w:rsid w:val="00AE3901"/>
    <w:rsid w:val="00AE3976"/>
    <w:rsid w:val="00AE3A69"/>
    <w:rsid w:val="00AE3B63"/>
    <w:rsid w:val="00AE3BA1"/>
    <w:rsid w:val="00AE3BE7"/>
    <w:rsid w:val="00AE3BFE"/>
    <w:rsid w:val="00AE3D97"/>
    <w:rsid w:val="00AE3D9E"/>
    <w:rsid w:val="00AE3F3F"/>
    <w:rsid w:val="00AE406F"/>
    <w:rsid w:val="00AE40F6"/>
    <w:rsid w:val="00AE4163"/>
    <w:rsid w:val="00AE42E4"/>
    <w:rsid w:val="00AE4490"/>
    <w:rsid w:val="00AE4525"/>
    <w:rsid w:val="00AE4B5D"/>
    <w:rsid w:val="00AE4BFA"/>
    <w:rsid w:val="00AE4C09"/>
    <w:rsid w:val="00AE4EFF"/>
    <w:rsid w:val="00AE4FE9"/>
    <w:rsid w:val="00AE5022"/>
    <w:rsid w:val="00AE5117"/>
    <w:rsid w:val="00AE5141"/>
    <w:rsid w:val="00AE51E7"/>
    <w:rsid w:val="00AE521D"/>
    <w:rsid w:val="00AE5252"/>
    <w:rsid w:val="00AE537D"/>
    <w:rsid w:val="00AE5550"/>
    <w:rsid w:val="00AE5583"/>
    <w:rsid w:val="00AE55AA"/>
    <w:rsid w:val="00AE55B9"/>
    <w:rsid w:val="00AE574E"/>
    <w:rsid w:val="00AE579B"/>
    <w:rsid w:val="00AE579D"/>
    <w:rsid w:val="00AE57AD"/>
    <w:rsid w:val="00AE5908"/>
    <w:rsid w:val="00AE5A58"/>
    <w:rsid w:val="00AE5A67"/>
    <w:rsid w:val="00AE5B27"/>
    <w:rsid w:val="00AE5E8E"/>
    <w:rsid w:val="00AE5EB8"/>
    <w:rsid w:val="00AE5F25"/>
    <w:rsid w:val="00AE60A3"/>
    <w:rsid w:val="00AE60A8"/>
    <w:rsid w:val="00AE615C"/>
    <w:rsid w:val="00AE62E2"/>
    <w:rsid w:val="00AE639B"/>
    <w:rsid w:val="00AE641E"/>
    <w:rsid w:val="00AE6451"/>
    <w:rsid w:val="00AE6457"/>
    <w:rsid w:val="00AE64B9"/>
    <w:rsid w:val="00AE64C3"/>
    <w:rsid w:val="00AE65C5"/>
    <w:rsid w:val="00AE6630"/>
    <w:rsid w:val="00AE66D3"/>
    <w:rsid w:val="00AE66FF"/>
    <w:rsid w:val="00AE6890"/>
    <w:rsid w:val="00AE6B55"/>
    <w:rsid w:val="00AE6BB1"/>
    <w:rsid w:val="00AE6BF6"/>
    <w:rsid w:val="00AE6CDD"/>
    <w:rsid w:val="00AE6CF8"/>
    <w:rsid w:val="00AE6CFB"/>
    <w:rsid w:val="00AE6D0D"/>
    <w:rsid w:val="00AE6DC8"/>
    <w:rsid w:val="00AE6FAA"/>
    <w:rsid w:val="00AE70C6"/>
    <w:rsid w:val="00AE711A"/>
    <w:rsid w:val="00AE71F1"/>
    <w:rsid w:val="00AE720B"/>
    <w:rsid w:val="00AE722A"/>
    <w:rsid w:val="00AE724D"/>
    <w:rsid w:val="00AE72A3"/>
    <w:rsid w:val="00AE7385"/>
    <w:rsid w:val="00AE7479"/>
    <w:rsid w:val="00AE7603"/>
    <w:rsid w:val="00AE76AA"/>
    <w:rsid w:val="00AE77E6"/>
    <w:rsid w:val="00AE7800"/>
    <w:rsid w:val="00AE7807"/>
    <w:rsid w:val="00AE7868"/>
    <w:rsid w:val="00AE792D"/>
    <w:rsid w:val="00AE798F"/>
    <w:rsid w:val="00AE7AB2"/>
    <w:rsid w:val="00AE7C88"/>
    <w:rsid w:val="00AE7E18"/>
    <w:rsid w:val="00AE7E6D"/>
    <w:rsid w:val="00AE969C"/>
    <w:rsid w:val="00AF015C"/>
    <w:rsid w:val="00AF03E2"/>
    <w:rsid w:val="00AF0433"/>
    <w:rsid w:val="00AF0476"/>
    <w:rsid w:val="00AF05D0"/>
    <w:rsid w:val="00AF06CD"/>
    <w:rsid w:val="00AF0864"/>
    <w:rsid w:val="00AF0872"/>
    <w:rsid w:val="00AF08B4"/>
    <w:rsid w:val="00AF0961"/>
    <w:rsid w:val="00AF09CD"/>
    <w:rsid w:val="00AF09EC"/>
    <w:rsid w:val="00AF0A4D"/>
    <w:rsid w:val="00AF0AB6"/>
    <w:rsid w:val="00AF0AF8"/>
    <w:rsid w:val="00AF0DFF"/>
    <w:rsid w:val="00AF0E36"/>
    <w:rsid w:val="00AF10D0"/>
    <w:rsid w:val="00AF114E"/>
    <w:rsid w:val="00AF12E7"/>
    <w:rsid w:val="00AF13E6"/>
    <w:rsid w:val="00AF13FE"/>
    <w:rsid w:val="00AF156E"/>
    <w:rsid w:val="00AF17DF"/>
    <w:rsid w:val="00AF1992"/>
    <w:rsid w:val="00AF1D22"/>
    <w:rsid w:val="00AF1D60"/>
    <w:rsid w:val="00AF1DD8"/>
    <w:rsid w:val="00AF1E5E"/>
    <w:rsid w:val="00AF1ED2"/>
    <w:rsid w:val="00AF2026"/>
    <w:rsid w:val="00AF2048"/>
    <w:rsid w:val="00AF20DE"/>
    <w:rsid w:val="00AF2139"/>
    <w:rsid w:val="00AF213A"/>
    <w:rsid w:val="00AF21A2"/>
    <w:rsid w:val="00AF21A4"/>
    <w:rsid w:val="00AF2227"/>
    <w:rsid w:val="00AF2239"/>
    <w:rsid w:val="00AF2274"/>
    <w:rsid w:val="00AF2381"/>
    <w:rsid w:val="00AF23BC"/>
    <w:rsid w:val="00AF2488"/>
    <w:rsid w:val="00AF248B"/>
    <w:rsid w:val="00AF24DD"/>
    <w:rsid w:val="00AF256B"/>
    <w:rsid w:val="00AF2588"/>
    <w:rsid w:val="00AF265C"/>
    <w:rsid w:val="00AF26D5"/>
    <w:rsid w:val="00AF2736"/>
    <w:rsid w:val="00AF2897"/>
    <w:rsid w:val="00AF28E2"/>
    <w:rsid w:val="00AF2ABC"/>
    <w:rsid w:val="00AF2AFF"/>
    <w:rsid w:val="00AF2BA1"/>
    <w:rsid w:val="00AF2C6A"/>
    <w:rsid w:val="00AF2CBD"/>
    <w:rsid w:val="00AF2D77"/>
    <w:rsid w:val="00AF2E66"/>
    <w:rsid w:val="00AF2F99"/>
    <w:rsid w:val="00AF30CD"/>
    <w:rsid w:val="00AF30E5"/>
    <w:rsid w:val="00AF310D"/>
    <w:rsid w:val="00AF3135"/>
    <w:rsid w:val="00AF31E9"/>
    <w:rsid w:val="00AF33D9"/>
    <w:rsid w:val="00AF3410"/>
    <w:rsid w:val="00AF3483"/>
    <w:rsid w:val="00AF34A6"/>
    <w:rsid w:val="00AF3593"/>
    <w:rsid w:val="00AF35CA"/>
    <w:rsid w:val="00AF3622"/>
    <w:rsid w:val="00AF366A"/>
    <w:rsid w:val="00AF3680"/>
    <w:rsid w:val="00AF3691"/>
    <w:rsid w:val="00AF37EB"/>
    <w:rsid w:val="00AF3870"/>
    <w:rsid w:val="00AF38D6"/>
    <w:rsid w:val="00AF3A26"/>
    <w:rsid w:val="00AF3AA5"/>
    <w:rsid w:val="00AF3AD2"/>
    <w:rsid w:val="00AF3B15"/>
    <w:rsid w:val="00AF3B24"/>
    <w:rsid w:val="00AF3B71"/>
    <w:rsid w:val="00AF3B75"/>
    <w:rsid w:val="00AF3C28"/>
    <w:rsid w:val="00AF3CBD"/>
    <w:rsid w:val="00AF3CE9"/>
    <w:rsid w:val="00AF3D31"/>
    <w:rsid w:val="00AF3D3D"/>
    <w:rsid w:val="00AF3D82"/>
    <w:rsid w:val="00AF3D8D"/>
    <w:rsid w:val="00AF3EBB"/>
    <w:rsid w:val="00AF3F8F"/>
    <w:rsid w:val="00AF3F9C"/>
    <w:rsid w:val="00AF3FC6"/>
    <w:rsid w:val="00AF4017"/>
    <w:rsid w:val="00AF401A"/>
    <w:rsid w:val="00AF41CF"/>
    <w:rsid w:val="00AF4205"/>
    <w:rsid w:val="00AF42D7"/>
    <w:rsid w:val="00AF459E"/>
    <w:rsid w:val="00AF45AF"/>
    <w:rsid w:val="00AF45B0"/>
    <w:rsid w:val="00AF45E6"/>
    <w:rsid w:val="00AF46BF"/>
    <w:rsid w:val="00AF4846"/>
    <w:rsid w:val="00AF4949"/>
    <w:rsid w:val="00AF4969"/>
    <w:rsid w:val="00AF49AC"/>
    <w:rsid w:val="00AF4A50"/>
    <w:rsid w:val="00AF4A7D"/>
    <w:rsid w:val="00AF4BF6"/>
    <w:rsid w:val="00AF4CBE"/>
    <w:rsid w:val="00AF4D89"/>
    <w:rsid w:val="00AF4DCF"/>
    <w:rsid w:val="00AF4E54"/>
    <w:rsid w:val="00AF4F9D"/>
    <w:rsid w:val="00AF4FF1"/>
    <w:rsid w:val="00AF5078"/>
    <w:rsid w:val="00AF5122"/>
    <w:rsid w:val="00AF51AF"/>
    <w:rsid w:val="00AF51F9"/>
    <w:rsid w:val="00AF53AE"/>
    <w:rsid w:val="00AF53ED"/>
    <w:rsid w:val="00AF53FA"/>
    <w:rsid w:val="00AF5422"/>
    <w:rsid w:val="00AF5467"/>
    <w:rsid w:val="00AF54F7"/>
    <w:rsid w:val="00AF550C"/>
    <w:rsid w:val="00AF5528"/>
    <w:rsid w:val="00AF5548"/>
    <w:rsid w:val="00AF561B"/>
    <w:rsid w:val="00AF56FE"/>
    <w:rsid w:val="00AF57F9"/>
    <w:rsid w:val="00AF588E"/>
    <w:rsid w:val="00AF58BD"/>
    <w:rsid w:val="00AF5987"/>
    <w:rsid w:val="00AF598B"/>
    <w:rsid w:val="00AF59F1"/>
    <w:rsid w:val="00AF5A92"/>
    <w:rsid w:val="00AF5A9B"/>
    <w:rsid w:val="00AF5C50"/>
    <w:rsid w:val="00AF5D42"/>
    <w:rsid w:val="00AF5DFF"/>
    <w:rsid w:val="00AF5E94"/>
    <w:rsid w:val="00AF5FBA"/>
    <w:rsid w:val="00AF603C"/>
    <w:rsid w:val="00AF6151"/>
    <w:rsid w:val="00AF6280"/>
    <w:rsid w:val="00AF62A5"/>
    <w:rsid w:val="00AF635D"/>
    <w:rsid w:val="00AF63C5"/>
    <w:rsid w:val="00AF64F0"/>
    <w:rsid w:val="00AF6522"/>
    <w:rsid w:val="00AF6545"/>
    <w:rsid w:val="00AF659A"/>
    <w:rsid w:val="00AF66A3"/>
    <w:rsid w:val="00AF66F8"/>
    <w:rsid w:val="00AF673A"/>
    <w:rsid w:val="00AF67C0"/>
    <w:rsid w:val="00AF67D0"/>
    <w:rsid w:val="00AF680E"/>
    <w:rsid w:val="00AF68A7"/>
    <w:rsid w:val="00AF6926"/>
    <w:rsid w:val="00AF6951"/>
    <w:rsid w:val="00AF699B"/>
    <w:rsid w:val="00AF6A31"/>
    <w:rsid w:val="00AF6A52"/>
    <w:rsid w:val="00AF6C40"/>
    <w:rsid w:val="00AF6E19"/>
    <w:rsid w:val="00AF6E7F"/>
    <w:rsid w:val="00AF6EBA"/>
    <w:rsid w:val="00AF6F1B"/>
    <w:rsid w:val="00AF6FF3"/>
    <w:rsid w:val="00AF70B0"/>
    <w:rsid w:val="00AF7135"/>
    <w:rsid w:val="00AF713C"/>
    <w:rsid w:val="00AF7170"/>
    <w:rsid w:val="00AF719F"/>
    <w:rsid w:val="00AF7300"/>
    <w:rsid w:val="00AF73B7"/>
    <w:rsid w:val="00AF7469"/>
    <w:rsid w:val="00AF74C0"/>
    <w:rsid w:val="00AF751F"/>
    <w:rsid w:val="00AF7531"/>
    <w:rsid w:val="00AF75FB"/>
    <w:rsid w:val="00AF7606"/>
    <w:rsid w:val="00AF76CA"/>
    <w:rsid w:val="00AF7716"/>
    <w:rsid w:val="00AF78A4"/>
    <w:rsid w:val="00AF7903"/>
    <w:rsid w:val="00AF796C"/>
    <w:rsid w:val="00AF7A97"/>
    <w:rsid w:val="00AF7AE8"/>
    <w:rsid w:val="00AF7B02"/>
    <w:rsid w:val="00AF7B08"/>
    <w:rsid w:val="00AF7C24"/>
    <w:rsid w:val="00AF7CA3"/>
    <w:rsid w:val="00AF7D64"/>
    <w:rsid w:val="00AF7D96"/>
    <w:rsid w:val="00AF7E6E"/>
    <w:rsid w:val="00AF7ED2"/>
    <w:rsid w:val="00AF7EE2"/>
    <w:rsid w:val="00AF7EF8"/>
    <w:rsid w:val="00AF7FA6"/>
    <w:rsid w:val="00B000C2"/>
    <w:rsid w:val="00B0010E"/>
    <w:rsid w:val="00B0021F"/>
    <w:rsid w:val="00B00489"/>
    <w:rsid w:val="00B004A1"/>
    <w:rsid w:val="00B0050F"/>
    <w:rsid w:val="00B007C2"/>
    <w:rsid w:val="00B008F0"/>
    <w:rsid w:val="00B0093A"/>
    <w:rsid w:val="00B00ACB"/>
    <w:rsid w:val="00B00B97"/>
    <w:rsid w:val="00B00BC1"/>
    <w:rsid w:val="00B00BCD"/>
    <w:rsid w:val="00B00C3B"/>
    <w:rsid w:val="00B00C47"/>
    <w:rsid w:val="00B00D59"/>
    <w:rsid w:val="00B01009"/>
    <w:rsid w:val="00B011AA"/>
    <w:rsid w:val="00B01274"/>
    <w:rsid w:val="00B012D0"/>
    <w:rsid w:val="00B0136F"/>
    <w:rsid w:val="00B0180A"/>
    <w:rsid w:val="00B01888"/>
    <w:rsid w:val="00B018F7"/>
    <w:rsid w:val="00B01918"/>
    <w:rsid w:val="00B019EE"/>
    <w:rsid w:val="00B01A29"/>
    <w:rsid w:val="00B01A37"/>
    <w:rsid w:val="00B01AEB"/>
    <w:rsid w:val="00B01AF1"/>
    <w:rsid w:val="00B01B13"/>
    <w:rsid w:val="00B01C73"/>
    <w:rsid w:val="00B01DEC"/>
    <w:rsid w:val="00B01EB5"/>
    <w:rsid w:val="00B02093"/>
    <w:rsid w:val="00B022BB"/>
    <w:rsid w:val="00B022D8"/>
    <w:rsid w:val="00B023F4"/>
    <w:rsid w:val="00B024F8"/>
    <w:rsid w:val="00B0257E"/>
    <w:rsid w:val="00B025C3"/>
    <w:rsid w:val="00B025C6"/>
    <w:rsid w:val="00B026B0"/>
    <w:rsid w:val="00B0275D"/>
    <w:rsid w:val="00B028BD"/>
    <w:rsid w:val="00B0292A"/>
    <w:rsid w:val="00B02B76"/>
    <w:rsid w:val="00B02C2A"/>
    <w:rsid w:val="00B02D9F"/>
    <w:rsid w:val="00B02DA3"/>
    <w:rsid w:val="00B02DDB"/>
    <w:rsid w:val="00B02EAD"/>
    <w:rsid w:val="00B02F64"/>
    <w:rsid w:val="00B02FC0"/>
    <w:rsid w:val="00B03031"/>
    <w:rsid w:val="00B0324B"/>
    <w:rsid w:val="00B034B7"/>
    <w:rsid w:val="00B03535"/>
    <w:rsid w:val="00B0355D"/>
    <w:rsid w:val="00B035B4"/>
    <w:rsid w:val="00B036EC"/>
    <w:rsid w:val="00B037F3"/>
    <w:rsid w:val="00B0397D"/>
    <w:rsid w:val="00B039C0"/>
    <w:rsid w:val="00B03B57"/>
    <w:rsid w:val="00B03B6D"/>
    <w:rsid w:val="00B03C09"/>
    <w:rsid w:val="00B03C57"/>
    <w:rsid w:val="00B03C96"/>
    <w:rsid w:val="00B03E9D"/>
    <w:rsid w:val="00B03F24"/>
    <w:rsid w:val="00B03FB8"/>
    <w:rsid w:val="00B0401D"/>
    <w:rsid w:val="00B040CE"/>
    <w:rsid w:val="00B0414E"/>
    <w:rsid w:val="00B042CB"/>
    <w:rsid w:val="00B04352"/>
    <w:rsid w:val="00B043AD"/>
    <w:rsid w:val="00B04499"/>
    <w:rsid w:val="00B044AA"/>
    <w:rsid w:val="00B044EA"/>
    <w:rsid w:val="00B045E8"/>
    <w:rsid w:val="00B04614"/>
    <w:rsid w:val="00B04625"/>
    <w:rsid w:val="00B04626"/>
    <w:rsid w:val="00B047D5"/>
    <w:rsid w:val="00B047F3"/>
    <w:rsid w:val="00B048D7"/>
    <w:rsid w:val="00B04A55"/>
    <w:rsid w:val="00B04A6C"/>
    <w:rsid w:val="00B04DD6"/>
    <w:rsid w:val="00B04DE5"/>
    <w:rsid w:val="00B04E57"/>
    <w:rsid w:val="00B04E5F"/>
    <w:rsid w:val="00B04E70"/>
    <w:rsid w:val="00B04F69"/>
    <w:rsid w:val="00B050B8"/>
    <w:rsid w:val="00B0517F"/>
    <w:rsid w:val="00B051AF"/>
    <w:rsid w:val="00B052B4"/>
    <w:rsid w:val="00B05388"/>
    <w:rsid w:val="00B0539C"/>
    <w:rsid w:val="00B0545D"/>
    <w:rsid w:val="00B055BB"/>
    <w:rsid w:val="00B0562C"/>
    <w:rsid w:val="00B05686"/>
    <w:rsid w:val="00B059D4"/>
    <w:rsid w:val="00B05B3F"/>
    <w:rsid w:val="00B05B81"/>
    <w:rsid w:val="00B05CD6"/>
    <w:rsid w:val="00B05D59"/>
    <w:rsid w:val="00B05D87"/>
    <w:rsid w:val="00B05F23"/>
    <w:rsid w:val="00B05F5C"/>
    <w:rsid w:val="00B05F71"/>
    <w:rsid w:val="00B05FD4"/>
    <w:rsid w:val="00B0621A"/>
    <w:rsid w:val="00B0627E"/>
    <w:rsid w:val="00B0628C"/>
    <w:rsid w:val="00B062A3"/>
    <w:rsid w:val="00B063BB"/>
    <w:rsid w:val="00B06406"/>
    <w:rsid w:val="00B0646C"/>
    <w:rsid w:val="00B066F9"/>
    <w:rsid w:val="00B067B7"/>
    <w:rsid w:val="00B068F6"/>
    <w:rsid w:val="00B06918"/>
    <w:rsid w:val="00B069B4"/>
    <w:rsid w:val="00B06A4C"/>
    <w:rsid w:val="00B06AC2"/>
    <w:rsid w:val="00B06AED"/>
    <w:rsid w:val="00B06F01"/>
    <w:rsid w:val="00B06F17"/>
    <w:rsid w:val="00B0708B"/>
    <w:rsid w:val="00B070AD"/>
    <w:rsid w:val="00B0715C"/>
    <w:rsid w:val="00B0741F"/>
    <w:rsid w:val="00B0748D"/>
    <w:rsid w:val="00B07521"/>
    <w:rsid w:val="00B075C3"/>
    <w:rsid w:val="00B075F5"/>
    <w:rsid w:val="00B07615"/>
    <w:rsid w:val="00B07635"/>
    <w:rsid w:val="00B07684"/>
    <w:rsid w:val="00B077A3"/>
    <w:rsid w:val="00B077D2"/>
    <w:rsid w:val="00B0783D"/>
    <w:rsid w:val="00B078E9"/>
    <w:rsid w:val="00B07A1D"/>
    <w:rsid w:val="00B07B06"/>
    <w:rsid w:val="00B07B15"/>
    <w:rsid w:val="00B07B53"/>
    <w:rsid w:val="00B07BA3"/>
    <w:rsid w:val="00B07BD2"/>
    <w:rsid w:val="00B07BE7"/>
    <w:rsid w:val="00B07EC9"/>
    <w:rsid w:val="00B10048"/>
    <w:rsid w:val="00B100AC"/>
    <w:rsid w:val="00B1031C"/>
    <w:rsid w:val="00B103B5"/>
    <w:rsid w:val="00B103B8"/>
    <w:rsid w:val="00B10470"/>
    <w:rsid w:val="00B104C6"/>
    <w:rsid w:val="00B104D6"/>
    <w:rsid w:val="00B10585"/>
    <w:rsid w:val="00B105D8"/>
    <w:rsid w:val="00B1061E"/>
    <w:rsid w:val="00B10778"/>
    <w:rsid w:val="00B1094D"/>
    <w:rsid w:val="00B10977"/>
    <w:rsid w:val="00B109BA"/>
    <w:rsid w:val="00B10C27"/>
    <w:rsid w:val="00B10C39"/>
    <w:rsid w:val="00B10CFA"/>
    <w:rsid w:val="00B10D59"/>
    <w:rsid w:val="00B10EFD"/>
    <w:rsid w:val="00B11074"/>
    <w:rsid w:val="00B11123"/>
    <w:rsid w:val="00B111F4"/>
    <w:rsid w:val="00B11298"/>
    <w:rsid w:val="00B112ED"/>
    <w:rsid w:val="00B113CA"/>
    <w:rsid w:val="00B11455"/>
    <w:rsid w:val="00B1166D"/>
    <w:rsid w:val="00B11761"/>
    <w:rsid w:val="00B117CB"/>
    <w:rsid w:val="00B117DA"/>
    <w:rsid w:val="00B118BA"/>
    <w:rsid w:val="00B118C1"/>
    <w:rsid w:val="00B118D4"/>
    <w:rsid w:val="00B11948"/>
    <w:rsid w:val="00B11B20"/>
    <w:rsid w:val="00B11CA9"/>
    <w:rsid w:val="00B120A2"/>
    <w:rsid w:val="00B12106"/>
    <w:rsid w:val="00B12167"/>
    <w:rsid w:val="00B1216D"/>
    <w:rsid w:val="00B1225E"/>
    <w:rsid w:val="00B122CD"/>
    <w:rsid w:val="00B122EE"/>
    <w:rsid w:val="00B1230C"/>
    <w:rsid w:val="00B12343"/>
    <w:rsid w:val="00B123D2"/>
    <w:rsid w:val="00B12656"/>
    <w:rsid w:val="00B12872"/>
    <w:rsid w:val="00B1296B"/>
    <w:rsid w:val="00B12B1B"/>
    <w:rsid w:val="00B12BA4"/>
    <w:rsid w:val="00B12C3E"/>
    <w:rsid w:val="00B12C64"/>
    <w:rsid w:val="00B12D29"/>
    <w:rsid w:val="00B12E2A"/>
    <w:rsid w:val="00B12EA5"/>
    <w:rsid w:val="00B12EBA"/>
    <w:rsid w:val="00B12F13"/>
    <w:rsid w:val="00B12F15"/>
    <w:rsid w:val="00B12F6C"/>
    <w:rsid w:val="00B12F8C"/>
    <w:rsid w:val="00B12FA6"/>
    <w:rsid w:val="00B12FBB"/>
    <w:rsid w:val="00B12FCE"/>
    <w:rsid w:val="00B130BA"/>
    <w:rsid w:val="00B1318B"/>
    <w:rsid w:val="00B1323F"/>
    <w:rsid w:val="00B133C2"/>
    <w:rsid w:val="00B1346F"/>
    <w:rsid w:val="00B135F3"/>
    <w:rsid w:val="00B137A3"/>
    <w:rsid w:val="00B13802"/>
    <w:rsid w:val="00B13823"/>
    <w:rsid w:val="00B138D3"/>
    <w:rsid w:val="00B13939"/>
    <w:rsid w:val="00B13AA6"/>
    <w:rsid w:val="00B13AC0"/>
    <w:rsid w:val="00B13B11"/>
    <w:rsid w:val="00B13B86"/>
    <w:rsid w:val="00B13BBB"/>
    <w:rsid w:val="00B13C31"/>
    <w:rsid w:val="00B13D9F"/>
    <w:rsid w:val="00B13E5F"/>
    <w:rsid w:val="00B13F11"/>
    <w:rsid w:val="00B13F5C"/>
    <w:rsid w:val="00B14019"/>
    <w:rsid w:val="00B14060"/>
    <w:rsid w:val="00B140BC"/>
    <w:rsid w:val="00B141B0"/>
    <w:rsid w:val="00B141BA"/>
    <w:rsid w:val="00B141EC"/>
    <w:rsid w:val="00B14200"/>
    <w:rsid w:val="00B14218"/>
    <w:rsid w:val="00B1423D"/>
    <w:rsid w:val="00B1425D"/>
    <w:rsid w:val="00B14405"/>
    <w:rsid w:val="00B14453"/>
    <w:rsid w:val="00B144C1"/>
    <w:rsid w:val="00B144E1"/>
    <w:rsid w:val="00B14509"/>
    <w:rsid w:val="00B14557"/>
    <w:rsid w:val="00B14589"/>
    <w:rsid w:val="00B14625"/>
    <w:rsid w:val="00B14726"/>
    <w:rsid w:val="00B14884"/>
    <w:rsid w:val="00B14AEB"/>
    <w:rsid w:val="00B14BC4"/>
    <w:rsid w:val="00B14BE9"/>
    <w:rsid w:val="00B14D10"/>
    <w:rsid w:val="00B14EAC"/>
    <w:rsid w:val="00B14F6E"/>
    <w:rsid w:val="00B15162"/>
    <w:rsid w:val="00B15210"/>
    <w:rsid w:val="00B15232"/>
    <w:rsid w:val="00B152E7"/>
    <w:rsid w:val="00B15334"/>
    <w:rsid w:val="00B1536D"/>
    <w:rsid w:val="00B15577"/>
    <w:rsid w:val="00B15675"/>
    <w:rsid w:val="00B15731"/>
    <w:rsid w:val="00B157BD"/>
    <w:rsid w:val="00B158E0"/>
    <w:rsid w:val="00B159A0"/>
    <w:rsid w:val="00B159EA"/>
    <w:rsid w:val="00B15A9F"/>
    <w:rsid w:val="00B15B01"/>
    <w:rsid w:val="00B15B45"/>
    <w:rsid w:val="00B15B85"/>
    <w:rsid w:val="00B15B97"/>
    <w:rsid w:val="00B15C89"/>
    <w:rsid w:val="00B15C8E"/>
    <w:rsid w:val="00B15D4E"/>
    <w:rsid w:val="00B1608B"/>
    <w:rsid w:val="00B160CF"/>
    <w:rsid w:val="00B160DE"/>
    <w:rsid w:val="00B160E8"/>
    <w:rsid w:val="00B16104"/>
    <w:rsid w:val="00B16210"/>
    <w:rsid w:val="00B1621C"/>
    <w:rsid w:val="00B163EE"/>
    <w:rsid w:val="00B165D5"/>
    <w:rsid w:val="00B16683"/>
    <w:rsid w:val="00B167C2"/>
    <w:rsid w:val="00B16875"/>
    <w:rsid w:val="00B1689F"/>
    <w:rsid w:val="00B168B7"/>
    <w:rsid w:val="00B16AA3"/>
    <w:rsid w:val="00B16AEA"/>
    <w:rsid w:val="00B16B0C"/>
    <w:rsid w:val="00B16C25"/>
    <w:rsid w:val="00B16C5D"/>
    <w:rsid w:val="00B16CB0"/>
    <w:rsid w:val="00B16CE0"/>
    <w:rsid w:val="00B16D7B"/>
    <w:rsid w:val="00B16ECF"/>
    <w:rsid w:val="00B17020"/>
    <w:rsid w:val="00B170B1"/>
    <w:rsid w:val="00B171EF"/>
    <w:rsid w:val="00B173DC"/>
    <w:rsid w:val="00B17416"/>
    <w:rsid w:val="00B17419"/>
    <w:rsid w:val="00B1757F"/>
    <w:rsid w:val="00B175C3"/>
    <w:rsid w:val="00B1762E"/>
    <w:rsid w:val="00B17726"/>
    <w:rsid w:val="00B17746"/>
    <w:rsid w:val="00B1784F"/>
    <w:rsid w:val="00B17870"/>
    <w:rsid w:val="00B1789E"/>
    <w:rsid w:val="00B17936"/>
    <w:rsid w:val="00B17B8C"/>
    <w:rsid w:val="00B17BC6"/>
    <w:rsid w:val="00B17BC9"/>
    <w:rsid w:val="00B17C8F"/>
    <w:rsid w:val="00B17D3C"/>
    <w:rsid w:val="00B17DC5"/>
    <w:rsid w:val="00B17E1C"/>
    <w:rsid w:val="00B17E26"/>
    <w:rsid w:val="00B17E34"/>
    <w:rsid w:val="00B17F6C"/>
    <w:rsid w:val="00B17FA7"/>
    <w:rsid w:val="00B20021"/>
    <w:rsid w:val="00B201C8"/>
    <w:rsid w:val="00B20270"/>
    <w:rsid w:val="00B20292"/>
    <w:rsid w:val="00B2042D"/>
    <w:rsid w:val="00B20473"/>
    <w:rsid w:val="00B204F9"/>
    <w:rsid w:val="00B205D8"/>
    <w:rsid w:val="00B20646"/>
    <w:rsid w:val="00B2069F"/>
    <w:rsid w:val="00B20769"/>
    <w:rsid w:val="00B20796"/>
    <w:rsid w:val="00B208D0"/>
    <w:rsid w:val="00B209AD"/>
    <w:rsid w:val="00B209BD"/>
    <w:rsid w:val="00B20A11"/>
    <w:rsid w:val="00B20AFC"/>
    <w:rsid w:val="00B20C80"/>
    <w:rsid w:val="00B20CA9"/>
    <w:rsid w:val="00B20EA8"/>
    <w:rsid w:val="00B20F67"/>
    <w:rsid w:val="00B21016"/>
    <w:rsid w:val="00B21099"/>
    <w:rsid w:val="00B21157"/>
    <w:rsid w:val="00B211D9"/>
    <w:rsid w:val="00B212F5"/>
    <w:rsid w:val="00B212FD"/>
    <w:rsid w:val="00B21402"/>
    <w:rsid w:val="00B2142C"/>
    <w:rsid w:val="00B21462"/>
    <w:rsid w:val="00B21492"/>
    <w:rsid w:val="00B214F6"/>
    <w:rsid w:val="00B21631"/>
    <w:rsid w:val="00B216E3"/>
    <w:rsid w:val="00B217C0"/>
    <w:rsid w:val="00B217F1"/>
    <w:rsid w:val="00B2187C"/>
    <w:rsid w:val="00B218C3"/>
    <w:rsid w:val="00B21B27"/>
    <w:rsid w:val="00B21B2E"/>
    <w:rsid w:val="00B21B7A"/>
    <w:rsid w:val="00B21BF2"/>
    <w:rsid w:val="00B21D18"/>
    <w:rsid w:val="00B21D49"/>
    <w:rsid w:val="00B21D87"/>
    <w:rsid w:val="00B21F74"/>
    <w:rsid w:val="00B21FBF"/>
    <w:rsid w:val="00B22268"/>
    <w:rsid w:val="00B22300"/>
    <w:rsid w:val="00B22389"/>
    <w:rsid w:val="00B2252D"/>
    <w:rsid w:val="00B2259B"/>
    <w:rsid w:val="00B22645"/>
    <w:rsid w:val="00B2290F"/>
    <w:rsid w:val="00B22962"/>
    <w:rsid w:val="00B229F1"/>
    <w:rsid w:val="00B22C53"/>
    <w:rsid w:val="00B22CDB"/>
    <w:rsid w:val="00B22E67"/>
    <w:rsid w:val="00B22EAD"/>
    <w:rsid w:val="00B22F32"/>
    <w:rsid w:val="00B23224"/>
    <w:rsid w:val="00B23273"/>
    <w:rsid w:val="00B2335C"/>
    <w:rsid w:val="00B2337E"/>
    <w:rsid w:val="00B233C1"/>
    <w:rsid w:val="00B235FC"/>
    <w:rsid w:val="00B236A7"/>
    <w:rsid w:val="00B236BF"/>
    <w:rsid w:val="00B238B6"/>
    <w:rsid w:val="00B238C6"/>
    <w:rsid w:val="00B23966"/>
    <w:rsid w:val="00B23A06"/>
    <w:rsid w:val="00B23A9E"/>
    <w:rsid w:val="00B23AE5"/>
    <w:rsid w:val="00B23B70"/>
    <w:rsid w:val="00B23BBA"/>
    <w:rsid w:val="00B23C22"/>
    <w:rsid w:val="00B23C4E"/>
    <w:rsid w:val="00B23C5B"/>
    <w:rsid w:val="00B23C6D"/>
    <w:rsid w:val="00B23CCD"/>
    <w:rsid w:val="00B23D29"/>
    <w:rsid w:val="00B23E84"/>
    <w:rsid w:val="00B23EC8"/>
    <w:rsid w:val="00B24020"/>
    <w:rsid w:val="00B2409D"/>
    <w:rsid w:val="00B2411E"/>
    <w:rsid w:val="00B2417D"/>
    <w:rsid w:val="00B2421F"/>
    <w:rsid w:val="00B24360"/>
    <w:rsid w:val="00B2437D"/>
    <w:rsid w:val="00B24439"/>
    <w:rsid w:val="00B24475"/>
    <w:rsid w:val="00B244EF"/>
    <w:rsid w:val="00B244F6"/>
    <w:rsid w:val="00B2461C"/>
    <w:rsid w:val="00B24832"/>
    <w:rsid w:val="00B24B23"/>
    <w:rsid w:val="00B24B5A"/>
    <w:rsid w:val="00B24B86"/>
    <w:rsid w:val="00B24C81"/>
    <w:rsid w:val="00B24CE3"/>
    <w:rsid w:val="00B24D5E"/>
    <w:rsid w:val="00B24DF3"/>
    <w:rsid w:val="00B24E36"/>
    <w:rsid w:val="00B24E45"/>
    <w:rsid w:val="00B24E97"/>
    <w:rsid w:val="00B24F1D"/>
    <w:rsid w:val="00B24FE1"/>
    <w:rsid w:val="00B25015"/>
    <w:rsid w:val="00B2514B"/>
    <w:rsid w:val="00B25165"/>
    <w:rsid w:val="00B25237"/>
    <w:rsid w:val="00B2523B"/>
    <w:rsid w:val="00B2536D"/>
    <w:rsid w:val="00B253F7"/>
    <w:rsid w:val="00B254ED"/>
    <w:rsid w:val="00B2576D"/>
    <w:rsid w:val="00B25A6D"/>
    <w:rsid w:val="00B25B9E"/>
    <w:rsid w:val="00B25D56"/>
    <w:rsid w:val="00B25DDB"/>
    <w:rsid w:val="00B25DE0"/>
    <w:rsid w:val="00B25E07"/>
    <w:rsid w:val="00B25F42"/>
    <w:rsid w:val="00B26083"/>
    <w:rsid w:val="00B2613E"/>
    <w:rsid w:val="00B26188"/>
    <w:rsid w:val="00B26422"/>
    <w:rsid w:val="00B264DD"/>
    <w:rsid w:val="00B26603"/>
    <w:rsid w:val="00B26691"/>
    <w:rsid w:val="00B266FE"/>
    <w:rsid w:val="00B26905"/>
    <w:rsid w:val="00B2691A"/>
    <w:rsid w:val="00B26986"/>
    <w:rsid w:val="00B26A9C"/>
    <w:rsid w:val="00B26C60"/>
    <w:rsid w:val="00B26D59"/>
    <w:rsid w:val="00B26DC4"/>
    <w:rsid w:val="00B26EAE"/>
    <w:rsid w:val="00B270E9"/>
    <w:rsid w:val="00B270F8"/>
    <w:rsid w:val="00B27417"/>
    <w:rsid w:val="00B27498"/>
    <w:rsid w:val="00B276F8"/>
    <w:rsid w:val="00B27766"/>
    <w:rsid w:val="00B277B7"/>
    <w:rsid w:val="00B277E0"/>
    <w:rsid w:val="00B2780A"/>
    <w:rsid w:val="00B27903"/>
    <w:rsid w:val="00B27965"/>
    <w:rsid w:val="00B279B5"/>
    <w:rsid w:val="00B279D5"/>
    <w:rsid w:val="00B27A27"/>
    <w:rsid w:val="00B27A96"/>
    <w:rsid w:val="00B27B2A"/>
    <w:rsid w:val="00B27B2C"/>
    <w:rsid w:val="00B27BED"/>
    <w:rsid w:val="00B27C1F"/>
    <w:rsid w:val="00B27D59"/>
    <w:rsid w:val="00B27DA5"/>
    <w:rsid w:val="00B27E39"/>
    <w:rsid w:val="00B27F55"/>
    <w:rsid w:val="00B300AA"/>
    <w:rsid w:val="00B300CA"/>
    <w:rsid w:val="00B300D4"/>
    <w:rsid w:val="00B30249"/>
    <w:rsid w:val="00B3026E"/>
    <w:rsid w:val="00B302B2"/>
    <w:rsid w:val="00B30428"/>
    <w:rsid w:val="00B3056B"/>
    <w:rsid w:val="00B305C5"/>
    <w:rsid w:val="00B3061F"/>
    <w:rsid w:val="00B30757"/>
    <w:rsid w:val="00B30905"/>
    <w:rsid w:val="00B30960"/>
    <w:rsid w:val="00B30A16"/>
    <w:rsid w:val="00B30A1C"/>
    <w:rsid w:val="00B30ACA"/>
    <w:rsid w:val="00B30B4D"/>
    <w:rsid w:val="00B30B8E"/>
    <w:rsid w:val="00B30C10"/>
    <w:rsid w:val="00B30CC9"/>
    <w:rsid w:val="00B30D6B"/>
    <w:rsid w:val="00B30E72"/>
    <w:rsid w:val="00B30F68"/>
    <w:rsid w:val="00B30FBC"/>
    <w:rsid w:val="00B31018"/>
    <w:rsid w:val="00B3102A"/>
    <w:rsid w:val="00B312F0"/>
    <w:rsid w:val="00B312FA"/>
    <w:rsid w:val="00B31378"/>
    <w:rsid w:val="00B3140D"/>
    <w:rsid w:val="00B314A1"/>
    <w:rsid w:val="00B314D4"/>
    <w:rsid w:val="00B31769"/>
    <w:rsid w:val="00B317AF"/>
    <w:rsid w:val="00B318A7"/>
    <w:rsid w:val="00B318B3"/>
    <w:rsid w:val="00B31918"/>
    <w:rsid w:val="00B31969"/>
    <w:rsid w:val="00B31B76"/>
    <w:rsid w:val="00B31BB4"/>
    <w:rsid w:val="00B31BC7"/>
    <w:rsid w:val="00B31BD6"/>
    <w:rsid w:val="00B31C5E"/>
    <w:rsid w:val="00B31D44"/>
    <w:rsid w:val="00B31E62"/>
    <w:rsid w:val="00B31EC6"/>
    <w:rsid w:val="00B31F30"/>
    <w:rsid w:val="00B31F64"/>
    <w:rsid w:val="00B320E1"/>
    <w:rsid w:val="00B3211E"/>
    <w:rsid w:val="00B32161"/>
    <w:rsid w:val="00B321AB"/>
    <w:rsid w:val="00B32205"/>
    <w:rsid w:val="00B322BC"/>
    <w:rsid w:val="00B32468"/>
    <w:rsid w:val="00B324FA"/>
    <w:rsid w:val="00B32554"/>
    <w:rsid w:val="00B325D9"/>
    <w:rsid w:val="00B325DB"/>
    <w:rsid w:val="00B32620"/>
    <w:rsid w:val="00B32778"/>
    <w:rsid w:val="00B32805"/>
    <w:rsid w:val="00B328C8"/>
    <w:rsid w:val="00B32941"/>
    <w:rsid w:val="00B32BE4"/>
    <w:rsid w:val="00B32C2F"/>
    <w:rsid w:val="00B32E19"/>
    <w:rsid w:val="00B32E2B"/>
    <w:rsid w:val="00B32E80"/>
    <w:rsid w:val="00B32F14"/>
    <w:rsid w:val="00B3308E"/>
    <w:rsid w:val="00B33099"/>
    <w:rsid w:val="00B33158"/>
    <w:rsid w:val="00B331BF"/>
    <w:rsid w:val="00B33468"/>
    <w:rsid w:val="00B336A4"/>
    <w:rsid w:val="00B336CF"/>
    <w:rsid w:val="00B33773"/>
    <w:rsid w:val="00B33851"/>
    <w:rsid w:val="00B338DB"/>
    <w:rsid w:val="00B33A1C"/>
    <w:rsid w:val="00B33A2E"/>
    <w:rsid w:val="00B33BA2"/>
    <w:rsid w:val="00B33C08"/>
    <w:rsid w:val="00B33D94"/>
    <w:rsid w:val="00B33DED"/>
    <w:rsid w:val="00B33E88"/>
    <w:rsid w:val="00B33EB8"/>
    <w:rsid w:val="00B33EE4"/>
    <w:rsid w:val="00B33F3E"/>
    <w:rsid w:val="00B33FE2"/>
    <w:rsid w:val="00B3415D"/>
    <w:rsid w:val="00B34275"/>
    <w:rsid w:val="00B34299"/>
    <w:rsid w:val="00B3431B"/>
    <w:rsid w:val="00B34335"/>
    <w:rsid w:val="00B3435B"/>
    <w:rsid w:val="00B34378"/>
    <w:rsid w:val="00B343F7"/>
    <w:rsid w:val="00B346DD"/>
    <w:rsid w:val="00B346F8"/>
    <w:rsid w:val="00B34712"/>
    <w:rsid w:val="00B34785"/>
    <w:rsid w:val="00B347E3"/>
    <w:rsid w:val="00B34A2A"/>
    <w:rsid w:val="00B34A3C"/>
    <w:rsid w:val="00B34B2E"/>
    <w:rsid w:val="00B34C69"/>
    <w:rsid w:val="00B34CD3"/>
    <w:rsid w:val="00B34D57"/>
    <w:rsid w:val="00B35037"/>
    <w:rsid w:val="00B35075"/>
    <w:rsid w:val="00B351CF"/>
    <w:rsid w:val="00B352AC"/>
    <w:rsid w:val="00B352DF"/>
    <w:rsid w:val="00B354AD"/>
    <w:rsid w:val="00B354C9"/>
    <w:rsid w:val="00B3555C"/>
    <w:rsid w:val="00B3569D"/>
    <w:rsid w:val="00B35709"/>
    <w:rsid w:val="00B3573B"/>
    <w:rsid w:val="00B35848"/>
    <w:rsid w:val="00B35966"/>
    <w:rsid w:val="00B359C4"/>
    <w:rsid w:val="00B35BA7"/>
    <w:rsid w:val="00B35C76"/>
    <w:rsid w:val="00B35D02"/>
    <w:rsid w:val="00B35D8D"/>
    <w:rsid w:val="00B35EA5"/>
    <w:rsid w:val="00B35F01"/>
    <w:rsid w:val="00B35F65"/>
    <w:rsid w:val="00B35FB5"/>
    <w:rsid w:val="00B36014"/>
    <w:rsid w:val="00B36017"/>
    <w:rsid w:val="00B3604D"/>
    <w:rsid w:val="00B3609E"/>
    <w:rsid w:val="00B36270"/>
    <w:rsid w:val="00B36510"/>
    <w:rsid w:val="00B36578"/>
    <w:rsid w:val="00B365A4"/>
    <w:rsid w:val="00B365B0"/>
    <w:rsid w:val="00B365B2"/>
    <w:rsid w:val="00B3662E"/>
    <w:rsid w:val="00B366FF"/>
    <w:rsid w:val="00B3694D"/>
    <w:rsid w:val="00B36976"/>
    <w:rsid w:val="00B369A0"/>
    <w:rsid w:val="00B369EC"/>
    <w:rsid w:val="00B36AD7"/>
    <w:rsid w:val="00B36D45"/>
    <w:rsid w:val="00B36F0C"/>
    <w:rsid w:val="00B36F58"/>
    <w:rsid w:val="00B36F9E"/>
    <w:rsid w:val="00B370D6"/>
    <w:rsid w:val="00B373A1"/>
    <w:rsid w:val="00B37423"/>
    <w:rsid w:val="00B374CD"/>
    <w:rsid w:val="00B3750C"/>
    <w:rsid w:val="00B37593"/>
    <w:rsid w:val="00B3761B"/>
    <w:rsid w:val="00B3768F"/>
    <w:rsid w:val="00B3771D"/>
    <w:rsid w:val="00B377CE"/>
    <w:rsid w:val="00B377D0"/>
    <w:rsid w:val="00B3782C"/>
    <w:rsid w:val="00B37838"/>
    <w:rsid w:val="00B37891"/>
    <w:rsid w:val="00B378E9"/>
    <w:rsid w:val="00B37BDC"/>
    <w:rsid w:val="00B37C6A"/>
    <w:rsid w:val="00B40002"/>
    <w:rsid w:val="00B4001C"/>
    <w:rsid w:val="00B4003A"/>
    <w:rsid w:val="00B40099"/>
    <w:rsid w:val="00B40106"/>
    <w:rsid w:val="00B402A0"/>
    <w:rsid w:val="00B402F3"/>
    <w:rsid w:val="00B4035F"/>
    <w:rsid w:val="00B40423"/>
    <w:rsid w:val="00B40433"/>
    <w:rsid w:val="00B40452"/>
    <w:rsid w:val="00B40583"/>
    <w:rsid w:val="00B40779"/>
    <w:rsid w:val="00B40925"/>
    <w:rsid w:val="00B4095A"/>
    <w:rsid w:val="00B40B2E"/>
    <w:rsid w:val="00B40B83"/>
    <w:rsid w:val="00B40C20"/>
    <w:rsid w:val="00B40D42"/>
    <w:rsid w:val="00B40D53"/>
    <w:rsid w:val="00B40DB2"/>
    <w:rsid w:val="00B40DDB"/>
    <w:rsid w:val="00B40E30"/>
    <w:rsid w:val="00B41084"/>
    <w:rsid w:val="00B411F6"/>
    <w:rsid w:val="00B4122D"/>
    <w:rsid w:val="00B41290"/>
    <w:rsid w:val="00B412C7"/>
    <w:rsid w:val="00B412EA"/>
    <w:rsid w:val="00B4133E"/>
    <w:rsid w:val="00B41383"/>
    <w:rsid w:val="00B413A8"/>
    <w:rsid w:val="00B4145A"/>
    <w:rsid w:val="00B4146A"/>
    <w:rsid w:val="00B4148F"/>
    <w:rsid w:val="00B41634"/>
    <w:rsid w:val="00B4163F"/>
    <w:rsid w:val="00B416DB"/>
    <w:rsid w:val="00B416FF"/>
    <w:rsid w:val="00B4179D"/>
    <w:rsid w:val="00B41878"/>
    <w:rsid w:val="00B4188B"/>
    <w:rsid w:val="00B4191E"/>
    <w:rsid w:val="00B4192F"/>
    <w:rsid w:val="00B41988"/>
    <w:rsid w:val="00B4198E"/>
    <w:rsid w:val="00B41A02"/>
    <w:rsid w:val="00B41CBD"/>
    <w:rsid w:val="00B41E79"/>
    <w:rsid w:val="00B41E97"/>
    <w:rsid w:val="00B42068"/>
    <w:rsid w:val="00B420D3"/>
    <w:rsid w:val="00B42100"/>
    <w:rsid w:val="00B42173"/>
    <w:rsid w:val="00B421C3"/>
    <w:rsid w:val="00B421F7"/>
    <w:rsid w:val="00B423D5"/>
    <w:rsid w:val="00B4256D"/>
    <w:rsid w:val="00B42579"/>
    <w:rsid w:val="00B42726"/>
    <w:rsid w:val="00B42808"/>
    <w:rsid w:val="00B42815"/>
    <w:rsid w:val="00B428D1"/>
    <w:rsid w:val="00B429F1"/>
    <w:rsid w:val="00B42A4D"/>
    <w:rsid w:val="00B42EF1"/>
    <w:rsid w:val="00B42FA3"/>
    <w:rsid w:val="00B43161"/>
    <w:rsid w:val="00B431B7"/>
    <w:rsid w:val="00B431F5"/>
    <w:rsid w:val="00B43266"/>
    <w:rsid w:val="00B43334"/>
    <w:rsid w:val="00B43420"/>
    <w:rsid w:val="00B435D4"/>
    <w:rsid w:val="00B4365E"/>
    <w:rsid w:val="00B43678"/>
    <w:rsid w:val="00B437AC"/>
    <w:rsid w:val="00B4382B"/>
    <w:rsid w:val="00B4396B"/>
    <w:rsid w:val="00B43A04"/>
    <w:rsid w:val="00B43A16"/>
    <w:rsid w:val="00B43A60"/>
    <w:rsid w:val="00B43B02"/>
    <w:rsid w:val="00B43C02"/>
    <w:rsid w:val="00B43C49"/>
    <w:rsid w:val="00B43C5C"/>
    <w:rsid w:val="00B43CAB"/>
    <w:rsid w:val="00B43CDF"/>
    <w:rsid w:val="00B43F29"/>
    <w:rsid w:val="00B4416E"/>
    <w:rsid w:val="00B441E3"/>
    <w:rsid w:val="00B4424C"/>
    <w:rsid w:val="00B442E5"/>
    <w:rsid w:val="00B44498"/>
    <w:rsid w:val="00B444D1"/>
    <w:rsid w:val="00B44512"/>
    <w:rsid w:val="00B4455E"/>
    <w:rsid w:val="00B44563"/>
    <w:rsid w:val="00B446B0"/>
    <w:rsid w:val="00B446DE"/>
    <w:rsid w:val="00B44736"/>
    <w:rsid w:val="00B44778"/>
    <w:rsid w:val="00B44799"/>
    <w:rsid w:val="00B44851"/>
    <w:rsid w:val="00B4490B"/>
    <w:rsid w:val="00B4493C"/>
    <w:rsid w:val="00B44955"/>
    <w:rsid w:val="00B44A2A"/>
    <w:rsid w:val="00B44A9F"/>
    <w:rsid w:val="00B44B01"/>
    <w:rsid w:val="00B44B05"/>
    <w:rsid w:val="00B44BAC"/>
    <w:rsid w:val="00B44BCF"/>
    <w:rsid w:val="00B44C01"/>
    <w:rsid w:val="00B44C0C"/>
    <w:rsid w:val="00B44C33"/>
    <w:rsid w:val="00B44D4C"/>
    <w:rsid w:val="00B44DDA"/>
    <w:rsid w:val="00B44DF0"/>
    <w:rsid w:val="00B44E35"/>
    <w:rsid w:val="00B44EFB"/>
    <w:rsid w:val="00B45137"/>
    <w:rsid w:val="00B45241"/>
    <w:rsid w:val="00B452C9"/>
    <w:rsid w:val="00B4536C"/>
    <w:rsid w:val="00B453BA"/>
    <w:rsid w:val="00B453CD"/>
    <w:rsid w:val="00B45403"/>
    <w:rsid w:val="00B4544B"/>
    <w:rsid w:val="00B455FD"/>
    <w:rsid w:val="00B45725"/>
    <w:rsid w:val="00B4577C"/>
    <w:rsid w:val="00B45790"/>
    <w:rsid w:val="00B45806"/>
    <w:rsid w:val="00B45889"/>
    <w:rsid w:val="00B45920"/>
    <w:rsid w:val="00B45928"/>
    <w:rsid w:val="00B459A4"/>
    <w:rsid w:val="00B45A0F"/>
    <w:rsid w:val="00B45A4C"/>
    <w:rsid w:val="00B45BEE"/>
    <w:rsid w:val="00B45CBB"/>
    <w:rsid w:val="00B45EAD"/>
    <w:rsid w:val="00B45F80"/>
    <w:rsid w:val="00B45FA2"/>
    <w:rsid w:val="00B45FD6"/>
    <w:rsid w:val="00B46012"/>
    <w:rsid w:val="00B46084"/>
    <w:rsid w:val="00B461F7"/>
    <w:rsid w:val="00B4620A"/>
    <w:rsid w:val="00B462B7"/>
    <w:rsid w:val="00B4630B"/>
    <w:rsid w:val="00B4632C"/>
    <w:rsid w:val="00B46356"/>
    <w:rsid w:val="00B463CD"/>
    <w:rsid w:val="00B4653B"/>
    <w:rsid w:val="00B46669"/>
    <w:rsid w:val="00B466EA"/>
    <w:rsid w:val="00B466F9"/>
    <w:rsid w:val="00B468DD"/>
    <w:rsid w:val="00B4691B"/>
    <w:rsid w:val="00B46947"/>
    <w:rsid w:val="00B46A56"/>
    <w:rsid w:val="00B46C00"/>
    <w:rsid w:val="00B46C10"/>
    <w:rsid w:val="00B46C2A"/>
    <w:rsid w:val="00B46D30"/>
    <w:rsid w:val="00B46DD1"/>
    <w:rsid w:val="00B46E5B"/>
    <w:rsid w:val="00B46E90"/>
    <w:rsid w:val="00B46ED9"/>
    <w:rsid w:val="00B46F6E"/>
    <w:rsid w:val="00B471DF"/>
    <w:rsid w:val="00B472A7"/>
    <w:rsid w:val="00B472BC"/>
    <w:rsid w:val="00B473AB"/>
    <w:rsid w:val="00B47488"/>
    <w:rsid w:val="00B474AB"/>
    <w:rsid w:val="00B475AF"/>
    <w:rsid w:val="00B4765D"/>
    <w:rsid w:val="00B47676"/>
    <w:rsid w:val="00B47758"/>
    <w:rsid w:val="00B477F5"/>
    <w:rsid w:val="00B47835"/>
    <w:rsid w:val="00B47854"/>
    <w:rsid w:val="00B4799E"/>
    <w:rsid w:val="00B47A12"/>
    <w:rsid w:val="00B47B95"/>
    <w:rsid w:val="00B47D36"/>
    <w:rsid w:val="00B47D4F"/>
    <w:rsid w:val="00B47D56"/>
    <w:rsid w:val="00B47D93"/>
    <w:rsid w:val="00B47D94"/>
    <w:rsid w:val="00B47E55"/>
    <w:rsid w:val="00B47F1A"/>
    <w:rsid w:val="00B47F39"/>
    <w:rsid w:val="00B500BA"/>
    <w:rsid w:val="00B500C7"/>
    <w:rsid w:val="00B50141"/>
    <w:rsid w:val="00B50160"/>
    <w:rsid w:val="00B501AB"/>
    <w:rsid w:val="00B5020E"/>
    <w:rsid w:val="00B5024A"/>
    <w:rsid w:val="00B5039A"/>
    <w:rsid w:val="00B503FF"/>
    <w:rsid w:val="00B50417"/>
    <w:rsid w:val="00B5045F"/>
    <w:rsid w:val="00B505FE"/>
    <w:rsid w:val="00B50631"/>
    <w:rsid w:val="00B5079F"/>
    <w:rsid w:val="00B5099E"/>
    <w:rsid w:val="00B50B3A"/>
    <w:rsid w:val="00B50B4A"/>
    <w:rsid w:val="00B50B8A"/>
    <w:rsid w:val="00B50C8A"/>
    <w:rsid w:val="00B50E7E"/>
    <w:rsid w:val="00B51005"/>
    <w:rsid w:val="00B5109F"/>
    <w:rsid w:val="00B510D4"/>
    <w:rsid w:val="00B51254"/>
    <w:rsid w:val="00B51337"/>
    <w:rsid w:val="00B5137E"/>
    <w:rsid w:val="00B51410"/>
    <w:rsid w:val="00B5142C"/>
    <w:rsid w:val="00B51441"/>
    <w:rsid w:val="00B514AD"/>
    <w:rsid w:val="00B51581"/>
    <w:rsid w:val="00B515CA"/>
    <w:rsid w:val="00B516E5"/>
    <w:rsid w:val="00B517B0"/>
    <w:rsid w:val="00B517F2"/>
    <w:rsid w:val="00B518D4"/>
    <w:rsid w:val="00B519BD"/>
    <w:rsid w:val="00B519FD"/>
    <w:rsid w:val="00B51C24"/>
    <w:rsid w:val="00B51CA7"/>
    <w:rsid w:val="00B51DAA"/>
    <w:rsid w:val="00B51EF0"/>
    <w:rsid w:val="00B51F79"/>
    <w:rsid w:val="00B52057"/>
    <w:rsid w:val="00B5210C"/>
    <w:rsid w:val="00B522ED"/>
    <w:rsid w:val="00B52653"/>
    <w:rsid w:val="00B527EA"/>
    <w:rsid w:val="00B52842"/>
    <w:rsid w:val="00B5291E"/>
    <w:rsid w:val="00B5293B"/>
    <w:rsid w:val="00B529A0"/>
    <w:rsid w:val="00B529DB"/>
    <w:rsid w:val="00B529F8"/>
    <w:rsid w:val="00B52A12"/>
    <w:rsid w:val="00B52B92"/>
    <w:rsid w:val="00B52CBB"/>
    <w:rsid w:val="00B52D10"/>
    <w:rsid w:val="00B52D3A"/>
    <w:rsid w:val="00B52D5B"/>
    <w:rsid w:val="00B52D65"/>
    <w:rsid w:val="00B52DAF"/>
    <w:rsid w:val="00B52EE6"/>
    <w:rsid w:val="00B52F68"/>
    <w:rsid w:val="00B52FCD"/>
    <w:rsid w:val="00B530A9"/>
    <w:rsid w:val="00B53189"/>
    <w:rsid w:val="00B532D2"/>
    <w:rsid w:val="00B53365"/>
    <w:rsid w:val="00B5336B"/>
    <w:rsid w:val="00B534E1"/>
    <w:rsid w:val="00B53562"/>
    <w:rsid w:val="00B537FC"/>
    <w:rsid w:val="00B53922"/>
    <w:rsid w:val="00B5398A"/>
    <w:rsid w:val="00B539D2"/>
    <w:rsid w:val="00B53A1E"/>
    <w:rsid w:val="00B53A2F"/>
    <w:rsid w:val="00B53ACA"/>
    <w:rsid w:val="00B53AF9"/>
    <w:rsid w:val="00B53BB1"/>
    <w:rsid w:val="00B53C0B"/>
    <w:rsid w:val="00B53CCF"/>
    <w:rsid w:val="00B53E8B"/>
    <w:rsid w:val="00B53EC4"/>
    <w:rsid w:val="00B53FBA"/>
    <w:rsid w:val="00B53FE3"/>
    <w:rsid w:val="00B5405E"/>
    <w:rsid w:val="00B5405F"/>
    <w:rsid w:val="00B540F4"/>
    <w:rsid w:val="00B5414B"/>
    <w:rsid w:val="00B54297"/>
    <w:rsid w:val="00B5429D"/>
    <w:rsid w:val="00B54311"/>
    <w:rsid w:val="00B5438B"/>
    <w:rsid w:val="00B543FA"/>
    <w:rsid w:val="00B5443F"/>
    <w:rsid w:val="00B54448"/>
    <w:rsid w:val="00B54487"/>
    <w:rsid w:val="00B546D8"/>
    <w:rsid w:val="00B54717"/>
    <w:rsid w:val="00B5496B"/>
    <w:rsid w:val="00B549CF"/>
    <w:rsid w:val="00B54AAC"/>
    <w:rsid w:val="00B54B29"/>
    <w:rsid w:val="00B54CD3"/>
    <w:rsid w:val="00B54DF4"/>
    <w:rsid w:val="00B54F44"/>
    <w:rsid w:val="00B54F7A"/>
    <w:rsid w:val="00B54FE4"/>
    <w:rsid w:val="00B55034"/>
    <w:rsid w:val="00B5504A"/>
    <w:rsid w:val="00B5509F"/>
    <w:rsid w:val="00B550BB"/>
    <w:rsid w:val="00B55134"/>
    <w:rsid w:val="00B5516E"/>
    <w:rsid w:val="00B551FB"/>
    <w:rsid w:val="00B55329"/>
    <w:rsid w:val="00B5538A"/>
    <w:rsid w:val="00B553BC"/>
    <w:rsid w:val="00B55434"/>
    <w:rsid w:val="00B55542"/>
    <w:rsid w:val="00B5566A"/>
    <w:rsid w:val="00B556BB"/>
    <w:rsid w:val="00B556CF"/>
    <w:rsid w:val="00B55732"/>
    <w:rsid w:val="00B55792"/>
    <w:rsid w:val="00B55BF3"/>
    <w:rsid w:val="00B55D09"/>
    <w:rsid w:val="00B55DED"/>
    <w:rsid w:val="00B55E31"/>
    <w:rsid w:val="00B55F59"/>
    <w:rsid w:val="00B56066"/>
    <w:rsid w:val="00B560E8"/>
    <w:rsid w:val="00B5613F"/>
    <w:rsid w:val="00B5623C"/>
    <w:rsid w:val="00B562E4"/>
    <w:rsid w:val="00B56360"/>
    <w:rsid w:val="00B56406"/>
    <w:rsid w:val="00B56581"/>
    <w:rsid w:val="00B566C8"/>
    <w:rsid w:val="00B56734"/>
    <w:rsid w:val="00B5677C"/>
    <w:rsid w:val="00B56780"/>
    <w:rsid w:val="00B567C4"/>
    <w:rsid w:val="00B56847"/>
    <w:rsid w:val="00B5692D"/>
    <w:rsid w:val="00B5697B"/>
    <w:rsid w:val="00B56AAB"/>
    <w:rsid w:val="00B56B77"/>
    <w:rsid w:val="00B56C04"/>
    <w:rsid w:val="00B56CA0"/>
    <w:rsid w:val="00B56DAC"/>
    <w:rsid w:val="00B56E38"/>
    <w:rsid w:val="00B56EB9"/>
    <w:rsid w:val="00B56F4C"/>
    <w:rsid w:val="00B56F6E"/>
    <w:rsid w:val="00B5700C"/>
    <w:rsid w:val="00B57017"/>
    <w:rsid w:val="00B570DA"/>
    <w:rsid w:val="00B57100"/>
    <w:rsid w:val="00B5720B"/>
    <w:rsid w:val="00B574A8"/>
    <w:rsid w:val="00B574A9"/>
    <w:rsid w:val="00B5753A"/>
    <w:rsid w:val="00B5782E"/>
    <w:rsid w:val="00B57994"/>
    <w:rsid w:val="00B57A4D"/>
    <w:rsid w:val="00B57AE1"/>
    <w:rsid w:val="00B57B2E"/>
    <w:rsid w:val="00B57CBA"/>
    <w:rsid w:val="00B57D96"/>
    <w:rsid w:val="00B57DCD"/>
    <w:rsid w:val="00B57E12"/>
    <w:rsid w:val="00B57E47"/>
    <w:rsid w:val="00B57E72"/>
    <w:rsid w:val="00B57EE9"/>
    <w:rsid w:val="00B6000A"/>
    <w:rsid w:val="00B60060"/>
    <w:rsid w:val="00B60224"/>
    <w:rsid w:val="00B602E9"/>
    <w:rsid w:val="00B603A8"/>
    <w:rsid w:val="00B603D2"/>
    <w:rsid w:val="00B603E3"/>
    <w:rsid w:val="00B605A7"/>
    <w:rsid w:val="00B6061B"/>
    <w:rsid w:val="00B6066B"/>
    <w:rsid w:val="00B60885"/>
    <w:rsid w:val="00B608A5"/>
    <w:rsid w:val="00B609FD"/>
    <w:rsid w:val="00B60A81"/>
    <w:rsid w:val="00B60AB9"/>
    <w:rsid w:val="00B60AF9"/>
    <w:rsid w:val="00B60B26"/>
    <w:rsid w:val="00B60BAB"/>
    <w:rsid w:val="00B60BBA"/>
    <w:rsid w:val="00B60C48"/>
    <w:rsid w:val="00B60CDF"/>
    <w:rsid w:val="00B60D29"/>
    <w:rsid w:val="00B60D6E"/>
    <w:rsid w:val="00B60DE2"/>
    <w:rsid w:val="00B60EC2"/>
    <w:rsid w:val="00B60F0A"/>
    <w:rsid w:val="00B60F66"/>
    <w:rsid w:val="00B60FEF"/>
    <w:rsid w:val="00B61050"/>
    <w:rsid w:val="00B610A9"/>
    <w:rsid w:val="00B610CF"/>
    <w:rsid w:val="00B61296"/>
    <w:rsid w:val="00B612EE"/>
    <w:rsid w:val="00B61313"/>
    <w:rsid w:val="00B61422"/>
    <w:rsid w:val="00B61446"/>
    <w:rsid w:val="00B61574"/>
    <w:rsid w:val="00B616F7"/>
    <w:rsid w:val="00B617C1"/>
    <w:rsid w:val="00B61971"/>
    <w:rsid w:val="00B619DE"/>
    <w:rsid w:val="00B61A58"/>
    <w:rsid w:val="00B61ACB"/>
    <w:rsid w:val="00B61D88"/>
    <w:rsid w:val="00B61E82"/>
    <w:rsid w:val="00B61FD3"/>
    <w:rsid w:val="00B61FE5"/>
    <w:rsid w:val="00B6207B"/>
    <w:rsid w:val="00B620B6"/>
    <w:rsid w:val="00B6216F"/>
    <w:rsid w:val="00B62289"/>
    <w:rsid w:val="00B622AB"/>
    <w:rsid w:val="00B62372"/>
    <w:rsid w:val="00B623A3"/>
    <w:rsid w:val="00B623C0"/>
    <w:rsid w:val="00B624AB"/>
    <w:rsid w:val="00B624CF"/>
    <w:rsid w:val="00B62575"/>
    <w:rsid w:val="00B62671"/>
    <w:rsid w:val="00B626D6"/>
    <w:rsid w:val="00B6299B"/>
    <w:rsid w:val="00B62AA0"/>
    <w:rsid w:val="00B62BBA"/>
    <w:rsid w:val="00B62BF1"/>
    <w:rsid w:val="00B62C8F"/>
    <w:rsid w:val="00B62D62"/>
    <w:rsid w:val="00B62EEA"/>
    <w:rsid w:val="00B62F19"/>
    <w:rsid w:val="00B62F29"/>
    <w:rsid w:val="00B63033"/>
    <w:rsid w:val="00B6307D"/>
    <w:rsid w:val="00B63236"/>
    <w:rsid w:val="00B63260"/>
    <w:rsid w:val="00B63297"/>
    <w:rsid w:val="00B63573"/>
    <w:rsid w:val="00B63640"/>
    <w:rsid w:val="00B6377F"/>
    <w:rsid w:val="00B637FB"/>
    <w:rsid w:val="00B63951"/>
    <w:rsid w:val="00B63BA0"/>
    <w:rsid w:val="00B63C2F"/>
    <w:rsid w:val="00B63CE9"/>
    <w:rsid w:val="00B63EFC"/>
    <w:rsid w:val="00B63F72"/>
    <w:rsid w:val="00B6405A"/>
    <w:rsid w:val="00B640A2"/>
    <w:rsid w:val="00B6412D"/>
    <w:rsid w:val="00B643BC"/>
    <w:rsid w:val="00B644A5"/>
    <w:rsid w:val="00B64591"/>
    <w:rsid w:val="00B64612"/>
    <w:rsid w:val="00B646D4"/>
    <w:rsid w:val="00B647B6"/>
    <w:rsid w:val="00B64810"/>
    <w:rsid w:val="00B64AC7"/>
    <w:rsid w:val="00B64B9E"/>
    <w:rsid w:val="00B64D8E"/>
    <w:rsid w:val="00B64DF8"/>
    <w:rsid w:val="00B64E00"/>
    <w:rsid w:val="00B64E9B"/>
    <w:rsid w:val="00B64EE5"/>
    <w:rsid w:val="00B64F47"/>
    <w:rsid w:val="00B64FB1"/>
    <w:rsid w:val="00B65055"/>
    <w:rsid w:val="00B650D3"/>
    <w:rsid w:val="00B6510A"/>
    <w:rsid w:val="00B65223"/>
    <w:rsid w:val="00B652D7"/>
    <w:rsid w:val="00B6533B"/>
    <w:rsid w:val="00B65367"/>
    <w:rsid w:val="00B65372"/>
    <w:rsid w:val="00B653B5"/>
    <w:rsid w:val="00B653EB"/>
    <w:rsid w:val="00B653F0"/>
    <w:rsid w:val="00B65471"/>
    <w:rsid w:val="00B65523"/>
    <w:rsid w:val="00B65633"/>
    <w:rsid w:val="00B656CC"/>
    <w:rsid w:val="00B65709"/>
    <w:rsid w:val="00B65779"/>
    <w:rsid w:val="00B65859"/>
    <w:rsid w:val="00B65A0D"/>
    <w:rsid w:val="00B65A30"/>
    <w:rsid w:val="00B65C34"/>
    <w:rsid w:val="00B65C89"/>
    <w:rsid w:val="00B65CFC"/>
    <w:rsid w:val="00B65D60"/>
    <w:rsid w:val="00B65D86"/>
    <w:rsid w:val="00B66009"/>
    <w:rsid w:val="00B660A4"/>
    <w:rsid w:val="00B661A1"/>
    <w:rsid w:val="00B661E4"/>
    <w:rsid w:val="00B661FB"/>
    <w:rsid w:val="00B66230"/>
    <w:rsid w:val="00B66265"/>
    <w:rsid w:val="00B663C2"/>
    <w:rsid w:val="00B663FA"/>
    <w:rsid w:val="00B6660E"/>
    <w:rsid w:val="00B6661A"/>
    <w:rsid w:val="00B66781"/>
    <w:rsid w:val="00B667E9"/>
    <w:rsid w:val="00B667FA"/>
    <w:rsid w:val="00B66803"/>
    <w:rsid w:val="00B6692F"/>
    <w:rsid w:val="00B66A47"/>
    <w:rsid w:val="00B66A48"/>
    <w:rsid w:val="00B66A7B"/>
    <w:rsid w:val="00B66B12"/>
    <w:rsid w:val="00B66B53"/>
    <w:rsid w:val="00B66B60"/>
    <w:rsid w:val="00B66B7E"/>
    <w:rsid w:val="00B66C40"/>
    <w:rsid w:val="00B66C5D"/>
    <w:rsid w:val="00B66CF2"/>
    <w:rsid w:val="00B66DCD"/>
    <w:rsid w:val="00B66FE4"/>
    <w:rsid w:val="00B670BE"/>
    <w:rsid w:val="00B67120"/>
    <w:rsid w:val="00B67243"/>
    <w:rsid w:val="00B672B4"/>
    <w:rsid w:val="00B67343"/>
    <w:rsid w:val="00B67357"/>
    <w:rsid w:val="00B67427"/>
    <w:rsid w:val="00B67432"/>
    <w:rsid w:val="00B67518"/>
    <w:rsid w:val="00B6760E"/>
    <w:rsid w:val="00B677FB"/>
    <w:rsid w:val="00B67860"/>
    <w:rsid w:val="00B678B4"/>
    <w:rsid w:val="00B679D2"/>
    <w:rsid w:val="00B67A0A"/>
    <w:rsid w:val="00B67A4A"/>
    <w:rsid w:val="00B67C10"/>
    <w:rsid w:val="00B67D25"/>
    <w:rsid w:val="00B67DA2"/>
    <w:rsid w:val="00B67E90"/>
    <w:rsid w:val="00B67F22"/>
    <w:rsid w:val="00B67F5D"/>
    <w:rsid w:val="00B67FA5"/>
    <w:rsid w:val="00B6E28B"/>
    <w:rsid w:val="00B7012B"/>
    <w:rsid w:val="00B701A3"/>
    <w:rsid w:val="00B7027D"/>
    <w:rsid w:val="00B7030D"/>
    <w:rsid w:val="00B70409"/>
    <w:rsid w:val="00B70422"/>
    <w:rsid w:val="00B704D9"/>
    <w:rsid w:val="00B705F2"/>
    <w:rsid w:val="00B70619"/>
    <w:rsid w:val="00B70643"/>
    <w:rsid w:val="00B7066D"/>
    <w:rsid w:val="00B70864"/>
    <w:rsid w:val="00B7086D"/>
    <w:rsid w:val="00B70886"/>
    <w:rsid w:val="00B70894"/>
    <w:rsid w:val="00B708EB"/>
    <w:rsid w:val="00B709E8"/>
    <w:rsid w:val="00B70A8D"/>
    <w:rsid w:val="00B70A9C"/>
    <w:rsid w:val="00B70ABA"/>
    <w:rsid w:val="00B70ACF"/>
    <w:rsid w:val="00B70C05"/>
    <w:rsid w:val="00B70C46"/>
    <w:rsid w:val="00B70E27"/>
    <w:rsid w:val="00B71069"/>
    <w:rsid w:val="00B71086"/>
    <w:rsid w:val="00B711FE"/>
    <w:rsid w:val="00B7129C"/>
    <w:rsid w:val="00B712D6"/>
    <w:rsid w:val="00B71321"/>
    <w:rsid w:val="00B7132D"/>
    <w:rsid w:val="00B7133F"/>
    <w:rsid w:val="00B71355"/>
    <w:rsid w:val="00B71584"/>
    <w:rsid w:val="00B715D9"/>
    <w:rsid w:val="00B715E6"/>
    <w:rsid w:val="00B715F7"/>
    <w:rsid w:val="00B71798"/>
    <w:rsid w:val="00B7180D"/>
    <w:rsid w:val="00B71897"/>
    <w:rsid w:val="00B71920"/>
    <w:rsid w:val="00B71923"/>
    <w:rsid w:val="00B71928"/>
    <w:rsid w:val="00B71A6C"/>
    <w:rsid w:val="00B71A80"/>
    <w:rsid w:val="00B71C25"/>
    <w:rsid w:val="00B71C5F"/>
    <w:rsid w:val="00B71CD6"/>
    <w:rsid w:val="00B71CF1"/>
    <w:rsid w:val="00B71F17"/>
    <w:rsid w:val="00B71F9B"/>
    <w:rsid w:val="00B72143"/>
    <w:rsid w:val="00B721C2"/>
    <w:rsid w:val="00B721EE"/>
    <w:rsid w:val="00B72245"/>
    <w:rsid w:val="00B722A0"/>
    <w:rsid w:val="00B722CE"/>
    <w:rsid w:val="00B7234E"/>
    <w:rsid w:val="00B72407"/>
    <w:rsid w:val="00B724A0"/>
    <w:rsid w:val="00B724D6"/>
    <w:rsid w:val="00B72500"/>
    <w:rsid w:val="00B7253C"/>
    <w:rsid w:val="00B7253E"/>
    <w:rsid w:val="00B72566"/>
    <w:rsid w:val="00B72724"/>
    <w:rsid w:val="00B72749"/>
    <w:rsid w:val="00B72771"/>
    <w:rsid w:val="00B727FD"/>
    <w:rsid w:val="00B7282C"/>
    <w:rsid w:val="00B7289C"/>
    <w:rsid w:val="00B728CE"/>
    <w:rsid w:val="00B72985"/>
    <w:rsid w:val="00B72A4E"/>
    <w:rsid w:val="00B72A94"/>
    <w:rsid w:val="00B72BDD"/>
    <w:rsid w:val="00B72D4B"/>
    <w:rsid w:val="00B72FCC"/>
    <w:rsid w:val="00B730CE"/>
    <w:rsid w:val="00B730E9"/>
    <w:rsid w:val="00B731A7"/>
    <w:rsid w:val="00B7335B"/>
    <w:rsid w:val="00B733EF"/>
    <w:rsid w:val="00B7348A"/>
    <w:rsid w:val="00B73529"/>
    <w:rsid w:val="00B73531"/>
    <w:rsid w:val="00B73637"/>
    <w:rsid w:val="00B73694"/>
    <w:rsid w:val="00B736D4"/>
    <w:rsid w:val="00B73739"/>
    <w:rsid w:val="00B7378F"/>
    <w:rsid w:val="00B737DC"/>
    <w:rsid w:val="00B7380B"/>
    <w:rsid w:val="00B7384A"/>
    <w:rsid w:val="00B738E0"/>
    <w:rsid w:val="00B73946"/>
    <w:rsid w:val="00B73A05"/>
    <w:rsid w:val="00B73A63"/>
    <w:rsid w:val="00B73AF2"/>
    <w:rsid w:val="00B73B9F"/>
    <w:rsid w:val="00B73BD1"/>
    <w:rsid w:val="00B73C98"/>
    <w:rsid w:val="00B73D3A"/>
    <w:rsid w:val="00B73E33"/>
    <w:rsid w:val="00B73ECB"/>
    <w:rsid w:val="00B740D4"/>
    <w:rsid w:val="00B74118"/>
    <w:rsid w:val="00B7418F"/>
    <w:rsid w:val="00B7419C"/>
    <w:rsid w:val="00B7424E"/>
    <w:rsid w:val="00B74251"/>
    <w:rsid w:val="00B7429A"/>
    <w:rsid w:val="00B742A3"/>
    <w:rsid w:val="00B743B0"/>
    <w:rsid w:val="00B74474"/>
    <w:rsid w:val="00B745BF"/>
    <w:rsid w:val="00B74610"/>
    <w:rsid w:val="00B7462F"/>
    <w:rsid w:val="00B746F4"/>
    <w:rsid w:val="00B74734"/>
    <w:rsid w:val="00B748A2"/>
    <w:rsid w:val="00B749AB"/>
    <w:rsid w:val="00B74A04"/>
    <w:rsid w:val="00B74A0C"/>
    <w:rsid w:val="00B74A65"/>
    <w:rsid w:val="00B74AF5"/>
    <w:rsid w:val="00B74B39"/>
    <w:rsid w:val="00B74C2E"/>
    <w:rsid w:val="00B74DAE"/>
    <w:rsid w:val="00B74E04"/>
    <w:rsid w:val="00B74E6E"/>
    <w:rsid w:val="00B74E96"/>
    <w:rsid w:val="00B74E98"/>
    <w:rsid w:val="00B74F35"/>
    <w:rsid w:val="00B74F7A"/>
    <w:rsid w:val="00B74FDF"/>
    <w:rsid w:val="00B7500A"/>
    <w:rsid w:val="00B75040"/>
    <w:rsid w:val="00B7517E"/>
    <w:rsid w:val="00B7523F"/>
    <w:rsid w:val="00B75387"/>
    <w:rsid w:val="00B7538D"/>
    <w:rsid w:val="00B753D5"/>
    <w:rsid w:val="00B753EF"/>
    <w:rsid w:val="00B754C7"/>
    <w:rsid w:val="00B75608"/>
    <w:rsid w:val="00B7570C"/>
    <w:rsid w:val="00B75794"/>
    <w:rsid w:val="00B75948"/>
    <w:rsid w:val="00B759C7"/>
    <w:rsid w:val="00B75A46"/>
    <w:rsid w:val="00B75C37"/>
    <w:rsid w:val="00B75C89"/>
    <w:rsid w:val="00B75EDE"/>
    <w:rsid w:val="00B75FC1"/>
    <w:rsid w:val="00B76018"/>
    <w:rsid w:val="00B76059"/>
    <w:rsid w:val="00B76104"/>
    <w:rsid w:val="00B7616D"/>
    <w:rsid w:val="00B76295"/>
    <w:rsid w:val="00B7642F"/>
    <w:rsid w:val="00B764BB"/>
    <w:rsid w:val="00B765D4"/>
    <w:rsid w:val="00B766BF"/>
    <w:rsid w:val="00B7681A"/>
    <w:rsid w:val="00B76870"/>
    <w:rsid w:val="00B7697A"/>
    <w:rsid w:val="00B76B00"/>
    <w:rsid w:val="00B76C27"/>
    <w:rsid w:val="00B76D6D"/>
    <w:rsid w:val="00B76D7E"/>
    <w:rsid w:val="00B76EA0"/>
    <w:rsid w:val="00B770F0"/>
    <w:rsid w:val="00B77222"/>
    <w:rsid w:val="00B7724B"/>
    <w:rsid w:val="00B7727E"/>
    <w:rsid w:val="00B77383"/>
    <w:rsid w:val="00B77415"/>
    <w:rsid w:val="00B77448"/>
    <w:rsid w:val="00B77453"/>
    <w:rsid w:val="00B77519"/>
    <w:rsid w:val="00B7764D"/>
    <w:rsid w:val="00B77695"/>
    <w:rsid w:val="00B7769E"/>
    <w:rsid w:val="00B777F4"/>
    <w:rsid w:val="00B77972"/>
    <w:rsid w:val="00B77BA7"/>
    <w:rsid w:val="00B77BC7"/>
    <w:rsid w:val="00B77C2A"/>
    <w:rsid w:val="00B77CE3"/>
    <w:rsid w:val="00B77D33"/>
    <w:rsid w:val="00B77D47"/>
    <w:rsid w:val="00B77E63"/>
    <w:rsid w:val="00B77E80"/>
    <w:rsid w:val="00B8022E"/>
    <w:rsid w:val="00B802E8"/>
    <w:rsid w:val="00B802F4"/>
    <w:rsid w:val="00B804E0"/>
    <w:rsid w:val="00B804EC"/>
    <w:rsid w:val="00B8076E"/>
    <w:rsid w:val="00B8079D"/>
    <w:rsid w:val="00B80934"/>
    <w:rsid w:val="00B8098F"/>
    <w:rsid w:val="00B80A98"/>
    <w:rsid w:val="00B80AC0"/>
    <w:rsid w:val="00B80B31"/>
    <w:rsid w:val="00B80BAC"/>
    <w:rsid w:val="00B80CBA"/>
    <w:rsid w:val="00B80D01"/>
    <w:rsid w:val="00B80E11"/>
    <w:rsid w:val="00B80E9E"/>
    <w:rsid w:val="00B80EE1"/>
    <w:rsid w:val="00B80EF6"/>
    <w:rsid w:val="00B80F51"/>
    <w:rsid w:val="00B80F92"/>
    <w:rsid w:val="00B81039"/>
    <w:rsid w:val="00B810C4"/>
    <w:rsid w:val="00B8113D"/>
    <w:rsid w:val="00B81156"/>
    <w:rsid w:val="00B812E3"/>
    <w:rsid w:val="00B81372"/>
    <w:rsid w:val="00B813D5"/>
    <w:rsid w:val="00B8142B"/>
    <w:rsid w:val="00B818A4"/>
    <w:rsid w:val="00B818F6"/>
    <w:rsid w:val="00B819ED"/>
    <w:rsid w:val="00B81A76"/>
    <w:rsid w:val="00B81AF7"/>
    <w:rsid w:val="00B81CAF"/>
    <w:rsid w:val="00B81DAD"/>
    <w:rsid w:val="00B81E27"/>
    <w:rsid w:val="00B81E5F"/>
    <w:rsid w:val="00B81E64"/>
    <w:rsid w:val="00B81EAD"/>
    <w:rsid w:val="00B81F1B"/>
    <w:rsid w:val="00B81F51"/>
    <w:rsid w:val="00B81F9A"/>
    <w:rsid w:val="00B82182"/>
    <w:rsid w:val="00B82292"/>
    <w:rsid w:val="00B82396"/>
    <w:rsid w:val="00B823B7"/>
    <w:rsid w:val="00B8274B"/>
    <w:rsid w:val="00B8275D"/>
    <w:rsid w:val="00B82824"/>
    <w:rsid w:val="00B82861"/>
    <w:rsid w:val="00B82888"/>
    <w:rsid w:val="00B82909"/>
    <w:rsid w:val="00B829A0"/>
    <w:rsid w:val="00B82A21"/>
    <w:rsid w:val="00B82AB7"/>
    <w:rsid w:val="00B82AD1"/>
    <w:rsid w:val="00B82DF2"/>
    <w:rsid w:val="00B82E97"/>
    <w:rsid w:val="00B8301F"/>
    <w:rsid w:val="00B8304C"/>
    <w:rsid w:val="00B83082"/>
    <w:rsid w:val="00B830DF"/>
    <w:rsid w:val="00B83205"/>
    <w:rsid w:val="00B83228"/>
    <w:rsid w:val="00B832F5"/>
    <w:rsid w:val="00B833CB"/>
    <w:rsid w:val="00B8349D"/>
    <w:rsid w:val="00B834D9"/>
    <w:rsid w:val="00B83512"/>
    <w:rsid w:val="00B83569"/>
    <w:rsid w:val="00B835D0"/>
    <w:rsid w:val="00B8363C"/>
    <w:rsid w:val="00B83653"/>
    <w:rsid w:val="00B83725"/>
    <w:rsid w:val="00B8377E"/>
    <w:rsid w:val="00B83832"/>
    <w:rsid w:val="00B839E8"/>
    <w:rsid w:val="00B83A82"/>
    <w:rsid w:val="00B83B2A"/>
    <w:rsid w:val="00B83B87"/>
    <w:rsid w:val="00B83C01"/>
    <w:rsid w:val="00B83F0D"/>
    <w:rsid w:val="00B83F39"/>
    <w:rsid w:val="00B83FF7"/>
    <w:rsid w:val="00B84031"/>
    <w:rsid w:val="00B840A8"/>
    <w:rsid w:val="00B84117"/>
    <w:rsid w:val="00B84167"/>
    <w:rsid w:val="00B841A0"/>
    <w:rsid w:val="00B8429E"/>
    <w:rsid w:val="00B842A5"/>
    <w:rsid w:val="00B8432C"/>
    <w:rsid w:val="00B84360"/>
    <w:rsid w:val="00B8436F"/>
    <w:rsid w:val="00B844C3"/>
    <w:rsid w:val="00B845E0"/>
    <w:rsid w:val="00B8461C"/>
    <w:rsid w:val="00B84635"/>
    <w:rsid w:val="00B8466E"/>
    <w:rsid w:val="00B84682"/>
    <w:rsid w:val="00B846BE"/>
    <w:rsid w:val="00B8484C"/>
    <w:rsid w:val="00B848EE"/>
    <w:rsid w:val="00B84916"/>
    <w:rsid w:val="00B84A58"/>
    <w:rsid w:val="00B84B6A"/>
    <w:rsid w:val="00B84B77"/>
    <w:rsid w:val="00B84B9E"/>
    <w:rsid w:val="00B84BB5"/>
    <w:rsid w:val="00B84D08"/>
    <w:rsid w:val="00B84DA8"/>
    <w:rsid w:val="00B84DDD"/>
    <w:rsid w:val="00B84DE4"/>
    <w:rsid w:val="00B84E92"/>
    <w:rsid w:val="00B84FF9"/>
    <w:rsid w:val="00B85017"/>
    <w:rsid w:val="00B851EE"/>
    <w:rsid w:val="00B85254"/>
    <w:rsid w:val="00B8536A"/>
    <w:rsid w:val="00B8547F"/>
    <w:rsid w:val="00B8554D"/>
    <w:rsid w:val="00B85555"/>
    <w:rsid w:val="00B85807"/>
    <w:rsid w:val="00B8583C"/>
    <w:rsid w:val="00B858CC"/>
    <w:rsid w:val="00B858D1"/>
    <w:rsid w:val="00B85A08"/>
    <w:rsid w:val="00B85A77"/>
    <w:rsid w:val="00B85B86"/>
    <w:rsid w:val="00B85C90"/>
    <w:rsid w:val="00B85D69"/>
    <w:rsid w:val="00B85DEE"/>
    <w:rsid w:val="00B85E63"/>
    <w:rsid w:val="00B85F0C"/>
    <w:rsid w:val="00B85F71"/>
    <w:rsid w:val="00B85F89"/>
    <w:rsid w:val="00B85FD8"/>
    <w:rsid w:val="00B85FF8"/>
    <w:rsid w:val="00B86099"/>
    <w:rsid w:val="00B862BA"/>
    <w:rsid w:val="00B86493"/>
    <w:rsid w:val="00B86539"/>
    <w:rsid w:val="00B8653F"/>
    <w:rsid w:val="00B86551"/>
    <w:rsid w:val="00B86652"/>
    <w:rsid w:val="00B86794"/>
    <w:rsid w:val="00B8687C"/>
    <w:rsid w:val="00B869CD"/>
    <w:rsid w:val="00B86B8C"/>
    <w:rsid w:val="00B86C4B"/>
    <w:rsid w:val="00B86C4D"/>
    <w:rsid w:val="00B86C59"/>
    <w:rsid w:val="00B86DEB"/>
    <w:rsid w:val="00B86E2D"/>
    <w:rsid w:val="00B8705A"/>
    <w:rsid w:val="00B870D2"/>
    <w:rsid w:val="00B870E9"/>
    <w:rsid w:val="00B87234"/>
    <w:rsid w:val="00B87282"/>
    <w:rsid w:val="00B872B0"/>
    <w:rsid w:val="00B87465"/>
    <w:rsid w:val="00B87471"/>
    <w:rsid w:val="00B8750E"/>
    <w:rsid w:val="00B8751C"/>
    <w:rsid w:val="00B87600"/>
    <w:rsid w:val="00B8774B"/>
    <w:rsid w:val="00B87859"/>
    <w:rsid w:val="00B87876"/>
    <w:rsid w:val="00B87886"/>
    <w:rsid w:val="00B878CB"/>
    <w:rsid w:val="00B87927"/>
    <w:rsid w:val="00B87B4A"/>
    <w:rsid w:val="00B87B70"/>
    <w:rsid w:val="00B87BB8"/>
    <w:rsid w:val="00B87C14"/>
    <w:rsid w:val="00B87C89"/>
    <w:rsid w:val="00B87E9F"/>
    <w:rsid w:val="00B87EE5"/>
    <w:rsid w:val="00B87F0F"/>
    <w:rsid w:val="00B87F50"/>
    <w:rsid w:val="00B87FB9"/>
    <w:rsid w:val="00B90028"/>
    <w:rsid w:val="00B900DF"/>
    <w:rsid w:val="00B90169"/>
    <w:rsid w:val="00B9021A"/>
    <w:rsid w:val="00B90270"/>
    <w:rsid w:val="00B902EC"/>
    <w:rsid w:val="00B903EA"/>
    <w:rsid w:val="00B90401"/>
    <w:rsid w:val="00B90545"/>
    <w:rsid w:val="00B90654"/>
    <w:rsid w:val="00B907D2"/>
    <w:rsid w:val="00B90870"/>
    <w:rsid w:val="00B90939"/>
    <w:rsid w:val="00B909A4"/>
    <w:rsid w:val="00B90A55"/>
    <w:rsid w:val="00B90AC8"/>
    <w:rsid w:val="00B90BBC"/>
    <w:rsid w:val="00B90C81"/>
    <w:rsid w:val="00B90F22"/>
    <w:rsid w:val="00B90FD3"/>
    <w:rsid w:val="00B9101A"/>
    <w:rsid w:val="00B91075"/>
    <w:rsid w:val="00B9112B"/>
    <w:rsid w:val="00B9125D"/>
    <w:rsid w:val="00B91567"/>
    <w:rsid w:val="00B91704"/>
    <w:rsid w:val="00B91927"/>
    <w:rsid w:val="00B9198C"/>
    <w:rsid w:val="00B91999"/>
    <w:rsid w:val="00B91AAC"/>
    <w:rsid w:val="00B91B3B"/>
    <w:rsid w:val="00B91B6D"/>
    <w:rsid w:val="00B91B7E"/>
    <w:rsid w:val="00B91CB3"/>
    <w:rsid w:val="00B91CFB"/>
    <w:rsid w:val="00B91D0B"/>
    <w:rsid w:val="00B91D5B"/>
    <w:rsid w:val="00B91DD2"/>
    <w:rsid w:val="00B91E60"/>
    <w:rsid w:val="00B91F62"/>
    <w:rsid w:val="00B91FF6"/>
    <w:rsid w:val="00B92013"/>
    <w:rsid w:val="00B92127"/>
    <w:rsid w:val="00B922FB"/>
    <w:rsid w:val="00B92530"/>
    <w:rsid w:val="00B925C2"/>
    <w:rsid w:val="00B92605"/>
    <w:rsid w:val="00B927E9"/>
    <w:rsid w:val="00B928F7"/>
    <w:rsid w:val="00B9291C"/>
    <w:rsid w:val="00B929FB"/>
    <w:rsid w:val="00B92B54"/>
    <w:rsid w:val="00B92CD7"/>
    <w:rsid w:val="00B92D1C"/>
    <w:rsid w:val="00B92DF4"/>
    <w:rsid w:val="00B92EB3"/>
    <w:rsid w:val="00B92EEC"/>
    <w:rsid w:val="00B92FF3"/>
    <w:rsid w:val="00B93258"/>
    <w:rsid w:val="00B9328C"/>
    <w:rsid w:val="00B93350"/>
    <w:rsid w:val="00B93387"/>
    <w:rsid w:val="00B933FF"/>
    <w:rsid w:val="00B93407"/>
    <w:rsid w:val="00B9343E"/>
    <w:rsid w:val="00B93488"/>
    <w:rsid w:val="00B9356A"/>
    <w:rsid w:val="00B935F3"/>
    <w:rsid w:val="00B93640"/>
    <w:rsid w:val="00B936DD"/>
    <w:rsid w:val="00B9370D"/>
    <w:rsid w:val="00B9374B"/>
    <w:rsid w:val="00B9386C"/>
    <w:rsid w:val="00B93877"/>
    <w:rsid w:val="00B938CC"/>
    <w:rsid w:val="00B939B1"/>
    <w:rsid w:val="00B939B6"/>
    <w:rsid w:val="00B93C3E"/>
    <w:rsid w:val="00B93C8C"/>
    <w:rsid w:val="00B93D3B"/>
    <w:rsid w:val="00B93D66"/>
    <w:rsid w:val="00B93DAC"/>
    <w:rsid w:val="00B93DD6"/>
    <w:rsid w:val="00B93E3D"/>
    <w:rsid w:val="00B93EB5"/>
    <w:rsid w:val="00B93EDC"/>
    <w:rsid w:val="00B93F95"/>
    <w:rsid w:val="00B9408E"/>
    <w:rsid w:val="00B94242"/>
    <w:rsid w:val="00B94360"/>
    <w:rsid w:val="00B944FD"/>
    <w:rsid w:val="00B94585"/>
    <w:rsid w:val="00B948DB"/>
    <w:rsid w:val="00B948EF"/>
    <w:rsid w:val="00B9493A"/>
    <w:rsid w:val="00B94A90"/>
    <w:rsid w:val="00B94C51"/>
    <w:rsid w:val="00B94C5D"/>
    <w:rsid w:val="00B94DCA"/>
    <w:rsid w:val="00B94F0F"/>
    <w:rsid w:val="00B950CE"/>
    <w:rsid w:val="00B95206"/>
    <w:rsid w:val="00B95298"/>
    <w:rsid w:val="00B95409"/>
    <w:rsid w:val="00B958E3"/>
    <w:rsid w:val="00B9595C"/>
    <w:rsid w:val="00B959C4"/>
    <w:rsid w:val="00B95B0F"/>
    <w:rsid w:val="00B95B30"/>
    <w:rsid w:val="00B95DB3"/>
    <w:rsid w:val="00B95E48"/>
    <w:rsid w:val="00B95E57"/>
    <w:rsid w:val="00B95F4B"/>
    <w:rsid w:val="00B95FB0"/>
    <w:rsid w:val="00B96011"/>
    <w:rsid w:val="00B96069"/>
    <w:rsid w:val="00B9619F"/>
    <w:rsid w:val="00B96216"/>
    <w:rsid w:val="00B962BF"/>
    <w:rsid w:val="00B9635E"/>
    <w:rsid w:val="00B963FF"/>
    <w:rsid w:val="00B96441"/>
    <w:rsid w:val="00B96442"/>
    <w:rsid w:val="00B964E1"/>
    <w:rsid w:val="00B96614"/>
    <w:rsid w:val="00B96734"/>
    <w:rsid w:val="00B96755"/>
    <w:rsid w:val="00B96780"/>
    <w:rsid w:val="00B96876"/>
    <w:rsid w:val="00B968F6"/>
    <w:rsid w:val="00B9694C"/>
    <w:rsid w:val="00B96AF4"/>
    <w:rsid w:val="00B96D8B"/>
    <w:rsid w:val="00B96E2F"/>
    <w:rsid w:val="00B96EEC"/>
    <w:rsid w:val="00B96F50"/>
    <w:rsid w:val="00B96FBA"/>
    <w:rsid w:val="00B97263"/>
    <w:rsid w:val="00B972F8"/>
    <w:rsid w:val="00B9733F"/>
    <w:rsid w:val="00B9739C"/>
    <w:rsid w:val="00B973A7"/>
    <w:rsid w:val="00B9750A"/>
    <w:rsid w:val="00B97513"/>
    <w:rsid w:val="00B97530"/>
    <w:rsid w:val="00B97587"/>
    <w:rsid w:val="00B9758E"/>
    <w:rsid w:val="00B97751"/>
    <w:rsid w:val="00B977A9"/>
    <w:rsid w:val="00B9789C"/>
    <w:rsid w:val="00B978A8"/>
    <w:rsid w:val="00B9792C"/>
    <w:rsid w:val="00B97979"/>
    <w:rsid w:val="00B979B2"/>
    <w:rsid w:val="00B979B9"/>
    <w:rsid w:val="00B97B81"/>
    <w:rsid w:val="00B97C09"/>
    <w:rsid w:val="00B97C19"/>
    <w:rsid w:val="00B97C24"/>
    <w:rsid w:val="00B97CAC"/>
    <w:rsid w:val="00BA0018"/>
    <w:rsid w:val="00BA0133"/>
    <w:rsid w:val="00BA0227"/>
    <w:rsid w:val="00BA02A0"/>
    <w:rsid w:val="00BA02A5"/>
    <w:rsid w:val="00BA02D5"/>
    <w:rsid w:val="00BA02EE"/>
    <w:rsid w:val="00BA04E2"/>
    <w:rsid w:val="00BA05BB"/>
    <w:rsid w:val="00BA06C3"/>
    <w:rsid w:val="00BA074C"/>
    <w:rsid w:val="00BA0759"/>
    <w:rsid w:val="00BA0795"/>
    <w:rsid w:val="00BA082A"/>
    <w:rsid w:val="00BA0A4F"/>
    <w:rsid w:val="00BA0A81"/>
    <w:rsid w:val="00BA0C90"/>
    <w:rsid w:val="00BA0E0E"/>
    <w:rsid w:val="00BA0F36"/>
    <w:rsid w:val="00BA0FA6"/>
    <w:rsid w:val="00BA1036"/>
    <w:rsid w:val="00BA103C"/>
    <w:rsid w:val="00BA10C4"/>
    <w:rsid w:val="00BA1113"/>
    <w:rsid w:val="00BA1341"/>
    <w:rsid w:val="00BA1376"/>
    <w:rsid w:val="00BA1451"/>
    <w:rsid w:val="00BA157E"/>
    <w:rsid w:val="00BA161A"/>
    <w:rsid w:val="00BA1637"/>
    <w:rsid w:val="00BA1668"/>
    <w:rsid w:val="00BA16D5"/>
    <w:rsid w:val="00BA1707"/>
    <w:rsid w:val="00BA1764"/>
    <w:rsid w:val="00BA1793"/>
    <w:rsid w:val="00BA17C6"/>
    <w:rsid w:val="00BA1878"/>
    <w:rsid w:val="00BA189B"/>
    <w:rsid w:val="00BA18B7"/>
    <w:rsid w:val="00BA191C"/>
    <w:rsid w:val="00BA1A53"/>
    <w:rsid w:val="00BA1A77"/>
    <w:rsid w:val="00BA1B00"/>
    <w:rsid w:val="00BA1B08"/>
    <w:rsid w:val="00BA1D1E"/>
    <w:rsid w:val="00BA1D42"/>
    <w:rsid w:val="00BA1D7D"/>
    <w:rsid w:val="00BA1D85"/>
    <w:rsid w:val="00BA1D8D"/>
    <w:rsid w:val="00BA1E18"/>
    <w:rsid w:val="00BA1E7D"/>
    <w:rsid w:val="00BA1E89"/>
    <w:rsid w:val="00BA1F16"/>
    <w:rsid w:val="00BA2180"/>
    <w:rsid w:val="00BA22FD"/>
    <w:rsid w:val="00BA2300"/>
    <w:rsid w:val="00BA246F"/>
    <w:rsid w:val="00BA24B2"/>
    <w:rsid w:val="00BA24BD"/>
    <w:rsid w:val="00BA24F6"/>
    <w:rsid w:val="00BA2566"/>
    <w:rsid w:val="00BA25DD"/>
    <w:rsid w:val="00BA26FF"/>
    <w:rsid w:val="00BA2848"/>
    <w:rsid w:val="00BA2B56"/>
    <w:rsid w:val="00BA2B66"/>
    <w:rsid w:val="00BA2B75"/>
    <w:rsid w:val="00BA2B9E"/>
    <w:rsid w:val="00BA2BB2"/>
    <w:rsid w:val="00BA2CC8"/>
    <w:rsid w:val="00BA2CCC"/>
    <w:rsid w:val="00BA2CEA"/>
    <w:rsid w:val="00BA2D29"/>
    <w:rsid w:val="00BA30B5"/>
    <w:rsid w:val="00BA33CD"/>
    <w:rsid w:val="00BA3416"/>
    <w:rsid w:val="00BA3685"/>
    <w:rsid w:val="00BA3741"/>
    <w:rsid w:val="00BA387A"/>
    <w:rsid w:val="00BA38D5"/>
    <w:rsid w:val="00BA38D6"/>
    <w:rsid w:val="00BA398A"/>
    <w:rsid w:val="00BA3A83"/>
    <w:rsid w:val="00BA3A84"/>
    <w:rsid w:val="00BA3B22"/>
    <w:rsid w:val="00BA3D64"/>
    <w:rsid w:val="00BA3EB7"/>
    <w:rsid w:val="00BA3F64"/>
    <w:rsid w:val="00BA3F7B"/>
    <w:rsid w:val="00BA404B"/>
    <w:rsid w:val="00BA414C"/>
    <w:rsid w:val="00BA423F"/>
    <w:rsid w:val="00BA42BB"/>
    <w:rsid w:val="00BA4393"/>
    <w:rsid w:val="00BA448C"/>
    <w:rsid w:val="00BA4510"/>
    <w:rsid w:val="00BA4695"/>
    <w:rsid w:val="00BA47DB"/>
    <w:rsid w:val="00BA481B"/>
    <w:rsid w:val="00BA48AA"/>
    <w:rsid w:val="00BA4A6F"/>
    <w:rsid w:val="00BA4ACE"/>
    <w:rsid w:val="00BA4AF4"/>
    <w:rsid w:val="00BA4AFF"/>
    <w:rsid w:val="00BA4DEB"/>
    <w:rsid w:val="00BA4FC1"/>
    <w:rsid w:val="00BA503D"/>
    <w:rsid w:val="00BA50E5"/>
    <w:rsid w:val="00BA514E"/>
    <w:rsid w:val="00BA5208"/>
    <w:rsid w:val="00BA523F"/>
    <w:rsid w:val="00BA5305"/>
    <w:rsid w:val="00BA5376"/>
    <w:rsid w:val="00BA55FE"/>
    <w:rsid w:val="00BA5689"/>
    <w:rsid w:val="00BA57B0"/>
    <w:rsid w:val="00BA583B"/>
    <w:rsid w:val="00BA593B"/>
    <w:rsid w:val="00BA598E"/>
    <w:rsid w:val="00BA59E5"/>
    <w:rsid w:val="00BA5AAE"/>
    <w:rsid w:val="00BA5B4D"/>
    <w:rsid w:val="00BA5B92"/>
    <w:rsid w:val="00BA5C0F"/>
    <w:rsid w:val="00BA5C60"/>
    <w:rsid w:val="00BA5CE0"/>
    <w:rsid w:val="00BA5D26"/>
    <w:rsid w:val="00BA5E25"/>
    <w:rsid w:val="00BA5F0B"/>
    <w:rsid w:val="00BA6025"/>
    <w:rsid w:val="00BA6074"/>
    <w:rsid w:val="00BA60C3"/>
    <w:rsid w:val="00BA61E3"/>
    <w:rsid w:val="00BA6229"/>
    <w:rsid w:val="00BA6240"/>
    <w:rsid w:val="00BA627D"/>
    <w:rsid w:val="00BA6299"/>
    <w:rsid w:val="00BA62E1"/>
    <w:rsid w:val="00BA631E"/>
    <w:rsid w:val="00BA632B"/>
    <w:rsid w:val="00BA6427"/>
    <w:rsid w:val="00BA647D"/>
    <w:rsid w:val="00BA6524"/>
    <w:rsid w:val="00BA658C"/>
    <w:rsid w:val="00BA66B5"/>
    <w:rsid w:val="00BA66E5"/>
    <w:rsid w:val="00BA6844"/>
    <w:rsid w:val="00BA6871"/>
    <w:rsid w:val="00BA6960"/>
    <w:rsid w:val="00BA697D"/>
    <w:rsid w:val="00BA6989"/>
    <w:rsid w:val="00BA69CC"/>
    <w:rsid w:val="00BA6A48"/>
    <w:rsid w:val="00BA6B51"/>
    <w:rsid w:val="00BA6B6E"/>
    <w:rsid w:val="00BA6D75"/>
    <w:rsid w:val="00BA6DAC"/>
    <w:rsid w:val="00BA6EBD"/>
    <w:rsid w:val="00BA702E"/>
    <w:rsid w:val="00BA7077"/>
    <w:rsid w:val="00BA7314"/>
    <w:rsid w:val="00BA7455"/>
    <w:rsid w:val="00BA7466"/>
    <w:rsid w:val="00BA764E"/>
    <w:rsid w:val="00BA7653"/>
    <w:rsid w:val="00BA77BA"/>
    <w:rsid w:val="00BA780A"/>
    <w:rsid w:val="00BA786A"/>
    <w:rsid w:val="00BA7960"/>
    <w:rsid w:val="00BA796D"/>
    <w:rsid w:val="00BA7995"/>
    <w:rsid w:val="00BA799E"/>
    <w:rsid w:val="00BA7A00"/>
    <w:rsid w:val="00BA7B4B"/>
    <w:rsid w:val="00BA7BF7"/>
    <w:rsid w:val="00BA7D26"/>
    <w:rsid w:val="00BA7D74"/>
    <w:rsid w:val="00BA7EEE"/>
    <w:rsid w:val="00BA7FBD"/>
    <w:rsid w:val="00BB024E"/>
    <w:rsid w:val="00BB0293"/>
    <w:rsid w:val="00BB02E7"/>
    <w:rsid w:val="00BB0653"/>
    <w:rsid w:val="00BB0767"/>
    <w:rsid w:val="00BB0817"/>
    <w:rsid w:val="00BB0820"/>
    <w:rsid w:val="00BB08D5"/>
    <w:rsid w:val="00BB0985"/>
    <w:rsid w:val="00BB0A0E"/>
    <w:rsid w:val="00BB0A1B"/>
    <w:rsid w:val="00BB0AB5"/>
    <w:rsid w:val="00BB0C4D"/>
    <w:rsid w:val="00BB0D49"/>
    <w:rsid w:val="00BB0EC2"/>
    <w:rsid w:val="00BB0F55"/>
    <w:rsid w:val="00BB0FB3"/>
    <w:rsid w:val="00BB1038"/>
    <w:rsid w:val="00BB10CB"/>
    <w:rsid w:val="00BB10D4"/>
    <w:rsid w:val="00BB10DF"/>
    <w:rsid w:val="00BB113B"/>
    <w:rsid w:val="00BB120D"/>
    <w:rsid w:val="00BB12C2"/>
    <w:rsid w:val="00BB1459"/>
    <w:rsid w:val="00BB1492"/>
    <w:rsid w:val="00BB14AE"/>
    <w:rsid w:val="00BB14CB"/>
    <w:rsid w:val="00BB14F6"/>
    <w:rsid w:val="00BB1542"/>
    <w:rsid w:val="00BB1593"/>
    <w:rsid w:val="00BB1757"/>
    <w:rsid w:val="00BB1948"/>
    <w:rsid w:val="00BB1A7E"/>
    <w:rsid w:val="00BB1AC2"/>
    <w:rsid w:val="00BB1AF0"/>
    <w:rsid w:val="00BB1B6D"/>
    <w:rsid w:val="00BB1B99"/>
    <w:rsid w:val="00BB1C1D"/>
    <w:rsid w:val="00BB1C82"/>
    <w:rsid w:val="00BB1E49"/>
    <w:rsid w:val="00BB1EE5"/>
    <w:rsid w:val="00BB1FE9"/>
    <w:rsid w:val="00BB2007"/>
    <w:rsid w:val="00BB23FC"/>
    <w:rsid w:val="00BB2431"/>
    <w:rsid w:val="00BB256A"/>
    <w:rsid w:val="00BB25AA"/>
    <w:rsid w:val="00BB25B2"/>
    <w:rsid w:val="00BB25F3"/>
    <w:rsid w:val="00BB25FC"/>
    <w:rsid w:val="00BB2641"/>
    <w:rsid w:val="00BB264A"/>
    <w:rsid w:val="00BB2880"/>
    <w:rsid w:val="00BB28B0"/>
    <w:rsid w:val="00BB28BB"/>
    <w:rsid w:val="00BB2B01"/>
    <w:rsid w:val="00BB2BCD"/>
    <w:rsid w:val="00BB2C13"/>
    <w:rsid w:val="00BB2CE4"/>
    <w:rsid w:val="00BB2D04"/>
    <w:rsid w:val="00BB2D82"/>
    <w:rsid w:val="00BB2FFD"/>
    <w:rsid w:val="00BB3085"/>
    <w:rsid w:val="00BB30FF"/>
    <w:rsid w:val="00BB311C"/>
    <w:rsid w:val="00BB31B3"/>
    <w:rsid w:val="00BB31FB"/>
    <w:rsid w:val="00BB3202"/>
    <w:rsid w:val="00BB3232"/>
    <w:rsid w:val="00BB3429"/>
    <w:rsid w:val="00BB349F"/>
    <w:rsid w:val="00BB34D8"/>
    <w:rsid w:val="00BB34EF"/>
    <w:rsid w:val="00BB3508"/>
    <w:rsid w:val="00BB3565"/>
    <w:rsid w:val="00BB356B"/>
    <w:rsid w:val="00BB35B0"/>
    <w:rsid w:val="00BB35D7"/>
    <w:rsid w:val="00BB35F1"/>
    <w:rsid w:val="00BB3821"/>
    <w:rsid w:val="00BB387D"/>
    <w:rsid w:val="00BB3940"/>
    <w:rsid w:val="00BB39C3"/>
    <w:rsid w:val="00BB3A1C"/>
    <w:rsid w:val="00BB3A3E"/>
    <w:rsid w:val="00BB3A45"/>
    <w:rsid w:val="00BB3B52"/>
    <w:rsid w:val="00BB3BB5"/>
    <w:rsid w:val="00BB3BE2"/>
    <w:rsid w:val="00BB3C6D"/>
    <w:rsid w:val="00BB3CC1"/>
    <w:rsid w:val="00BB3CCE"/>
    <w:rsid w:val="00BB3FDF"/>
    <w:rsid w:val="00BB411A"/>
    <w:rsid w:val="00BB41A5"/>
    <w:rsid w:val="00BB42D0"/>
    <w:rsid w:val="00BB4400"/>
    <w:rsid w:val="00BB4496"/>
    <w:rsid w:val="00BB44D9"/>
    <w:rsid w:val="00BB44F4"/>
    <w:rsid w:val="00BB45DE"/>
    <w:rsid w:val="00BB4714"/>
    <w:rsid w:val="00BB47D4"/>
    <w:rsid w:val="00BB4841"/>
    <w:rsid w:val="00BB4880"/>
    <w:rsid w:val="00BB490C"/>
    <w:rsid w:val="00BB4ADC"/>
    <w:rsid w:val="00BB4C36"/>
    <w:rsid w:val="00BB4C68"/>
    <w:rsid w:val="00BB4CE2"/>
    <w:rsid w:val="00BB4D75"/>
    <w:rsid w:val="00BB4F11"/>
    <w:rsid w:val="00BB4F55"/>
    <w:rsid w:val="00BB4FAB"/>
    <w:rsid w:val="00BB4FD0"/>
    <w:rsid w:val="00BB50FB"/>
    <w:rsid w:val="00BB5104"/>
    <w:rsid w:val="00BB5108"/>
    <w:rsid w:val="00BB52B5"/>
    <w:rsid w:val="00BB53B1"/>
    <w:rsid w:val="00BB5410"/>
    <w:rsid w:val="00BB5474"/>
    <w:rsid w:val="00BB56FA"/>
    <w:rsid w:val="00BB5900"/>
    <w:rsid w:val="00BB5A6F"/>
    <w:rsid w:val="00BB5B81"/>
    <w:rsid w:val="00BB5C01"/>
    <w:rsid w:val="00BB5C1D"/>
    <w:rsid w:val="00BB5C79"/>
    <w:rsid w:val="00BB5CAA"/>
    <w:rsid w:val="00BB5D54"/>
    <w:rsid w:val="00BB5EF4"/>
    <w:rsid w:val="00BB6087"/>
    <w:rsid w:val="00BB6182"/>
    <w:rsid w:val="00BB626F"/>
    <w:rsid w:val="00BB647A"/>
    <w:rsid w:val="00BB663B"/>
    <w:rsid w:val="00BB6685"/>
    <w:rsid w:val="00BB6740"/>
    <w:rsid w:val="00BB6843"/>
    <w:rsid w:val="00BB6924"/>
    <w:rsid w:val="00BB69C0"/>
    <w:rsid w:val="00BB69EF"/>
    <w:rsid w:val="00BB6AA3"/>
    <w:rsid w:val="00BB6B68"/>
    <w:rsid w:val="00BB6C49"/>
    <w:rsid w:val="00BB6D19"/>
    <w:rsid w:val="00BB6E2A"/>
    <w:rsid w:val="00BB6F54"/>
    <w:rsid w:val="00BB6FDB"/>
    <w:rsid w:val="00BB7018"/>
    <w:rsid w:val="00BB7050"/>
    <w:rsid w:val="00BB71A9"/>
    <w:rsid w:val="00BB71C5"/>
    <w:rsid w:val="00BB725E"/>
    <w:rsid w:val="00BB72C9"/>
    <w:rsid w:val="00BB72F4"/>
    <w:rsid w:val="00BB7367"/>
    <w:rsid w:val="00BB7594"/>
    <w:rsid w:val="00BB75AE"/>
    <w:rsid w:val="00BB77A6"/>
    <w:rsid w:val="00BB77A8"/>
    <w:rsid w:val="00BB7899"/>
    <w:rsid w:val="00BB79C0"/>
    <w:rsid w:val="00BB7A42"/>
    <w:rsid w:val="00BB7A5A"/>
    <w:rsid w:val="00BB7B06"/>
    <w:rsid w:val="00BB7BD9"/>
    <w:rsid w:val="00BB7D7E"/>
    <w:rsid w:val="00BB7E0D"/>
    <w:rsid w:val="00BB7F03"/>
    <w:rsid w:val="00BC00D2"/>
    <w:rsid w:val="00BC014B"/>
    <w:rsid w:val="00BC022F"/>
    <w:rsid w:val="00BC0290"/>
    <w:rsid w:val="00BC02BA"/>
    <w:rsid w:val="00BC035A"/>
    <w:rsid w:val="00BC03BD"/>
    <w:rsid w:val="00BC07AB"/>
    <w:rsid w:val="00BC08AC"/>
    <w:rsid w:val="00BC08BA"/>
    <w:rsid w:val="00BC08D7"/>
    <w:rsid w:val="00BC093E"/>
    <w:rsid w:val="00BC0940"/>
    <w:rsid w:val="00BC0A2E"/>
    <w:rsid w:val="00BC0A44"/>
    <w:rsid w:val="00BC0A99"/>
    <w:rsid w:val="00BC0B33"/>
    <w:rsid w:val="00BC0B63"/>
    <w:rsid w:val="00BC0C87"/>
    <w:rsid w:val="00BC0DFB"/>
    <w:rsid w:val="00BC0E08"/>
    <w:rsid w:val="00BC0E19"/>
    <w:rsid w:val="00BC0EB9"/>
    <w:rsid w:val="00BC0F6E"/>
    <w:rsid w:val="00BC0F9A"/>
    <w:rsid w:val="00BC10A3"/>
    <w:rsid w:val="00BC10D9"/>
    <w:rsid w:val="00BC112B"/>
    <w:rsid w:val="00BC12AB"/>
    <w:rsid w:val="00BC12DB"/>
    <w:rsid w:val="00BC130E"/>
    <w:rsid w:val="00BC1370"/>
    <w:rsid w:val="00BC1395"/>
    <w:rsid w:val="00BC13E4"/>
    <w:rsid w:val="00BC1494"/>
    <w:rsid w:val="00BC159A"/>
    <w:rsid w:val="00BC15A3"/>
    <w:rsid w:val="00BC1622"/>
    <w:rsid w:val="00BC166B"/>
    <w:rsid w:val="00BC168E"/>
    <w:rsid w:val="00BC1749"/>
    <w:rsid w:val="00BC17AE"/>
    <w:rsid w:val="00BC189E"/>
    <w:rsid w:val="00BC197A"/>
    <w:rsid w:val="00BC198D"/>
    <w:rsid w:val="00BC1A2E"/>
    <w:rsid w:val="00BC1AC5"/>
    <w:rsid w:val="00BC1AC7"/>
    <w:rsid w:val="00BC1C66"/>
    <w:rsid w:val="00BC1C7B"/>
    <w:rsid w:val="00BC1D3E"/>
    <w:rsid w:val="00BC1D59"/>
    <w:rsid w:val="00BC1E76"/>
    <w:rsid w:val="00BC1EE4"/>
    <w:rsid w:val="00BC1F55"/>
    <w:rsid w:val="00BC1F70"/>
    <w:rsid w:val="00BC1F81"/>
    <w:rsid w:val="00BC1FEA"/>
    <w:rsid w:val="00BC21BD"/>
    <w:rsid w:val="00BC220B"/>
    <w:rsid w:val="00BC2264"/>
    <w:rsid w:val="00BC226C"/>
    <w:rsid w:val="00BC229A"/>
    <w:rsid w:val="00BC2348"/>
    <w:rsid w:val="00BC2482"/>
    <w:rsid w:val="00BC25D3"/>
    <w:rsid w:val="00BC261F"/>
    <w:rsid w:val="00BC264F"/>
    <w:rsid w:val="00BC270A"/>
    <w:rsid w:val="00BC2854"/>
    <w:rsid w:val="00BC2942"/>
    <w:rsid w:val="00BC294E"/>
    <w:rsid w:val="00BC299E"/>
    <w:rsid w:val="00BC29F2"/>
    <w:rsid w:val="00BC2A8F"/>
    <w:rsid w:val="00BC2B40"/>
    <w:rsid w:val="00BC2BEB"/>
    <w:rsid w:val="00BC2EEF"/>
    <w:rsid w:val="00BC2F93"/>
    <w:rsid w:val="00BC3023"/>
    <w:rsid w:val="00BC3066"/>
    <w:rsid w:val="00BC30DD"/>
    <w:rsid w:val="00BC30E7"/>
    <w:rsid w:val="00BC31A7"/>
    <w:rsid w:val="00BC32CD"/>
    <w:rsid w:val="00BC32CE"/>
    <w:rsid w:val="00BC32DC"/>
    <w:rsid w:val="00BC333F"/>
    <w:rsid w:val="00BC3389"/>
    <w:rsid w:val="00BC3580"/>
    <w:rsid w:val="00BC3596"/>
    <w:rsid w:val="00BC3598"/>
    <w:rsid w:val="00BC3634"/>
    <w:rsid w:val="00BC3692"/>
    <w:rsid w:val="00BC36E2"/>
    <w:rsid w:val="00BC36EE"/>
    <w:rsid w:val="00BC3708"/>
    <w:rsid w:val="00BC3767"/>
    <w:rsid w:val="00BC3785"/>
    <w:rsid w:val="00BC3786"/>
    <w:rsid w:val="00BC3881"/>
    <w:rsid w:val="00BC392D"/>
    <w:rsid w:val="00BC3AF5"/>
    <w:rsid w:val="00BC3B54"/>
    <w:rsid w:val="00BC3B9E"/>
    <w:rsid w:val="00BC3CB2"/>
    <w:rsid w:val="00BC3CD0"/>
    <w:rsid w:val="00BC3DDB"/>
    <w:rsid w:val="00BC3DEE"/>
    <w:rsid w:val="00BC3ED5"/>
    <w:rsid w:val="00BC3EFE"/>
    <w:rsid w:val="00BC40E4"/>
    <w:rsid w:val="00BC415D"/>
    <w:rsid w:val="00BC4169"/>
    <w:rsid w:val="00BC4311"/>
    <w:rsid w:val="00BC47D4"/>
    <w:rsid w:val="00BC497B"/>
    <w:rsid w:val="00BC4A10"/>
    <w:rsid w:val="00BC4A4C"/>
    <w:rsid w:val="00BC4B54"/>
    <w:rsid w:val="00BC4BFB"/>
    <w:rsid w:val="00BC4C27"/>
    <w:rsid w:val="00BC4CCA"/>
    <w:rsid w:val="00BC4DCC"/>
    <w:rsid w:val="00BC4E3A"/>
    <w:rsid w:val="00BC4E58"/>
    <w:rsid w:val="00BC52A3"/>
    <w:rsid w:val="00BC5350"/>
    <w:rsid w:val="00BC53E4"/>
    <w:rsid w:val="00BC5505"/>
    <w:rsid w:val="00BC56E5"/>
    <w:rsid w:val="00BC57EF"/>
    <w:rsid w:val="00BC589F"/>
    <w:rsid w:val="00BC59EE"/>
    <w:rsid w:val="00BC5A16"/>
    <w:rsid w:val="00BC5A66"/>
    <w:rsid w:val="00BC5A87"/>
    <w:rsid w:val="00BC5A91"/>
    <w:rsid w:val="00BC5B27"/>
    <w:rsid w:val="00BC5D04"/>
    <w:rsid w:val="00BC5D1E"/>
    <w:rsid w:val="00BC5D4F"/>
    <w:rsid w:val="00BC5D9B"/>
    <w:rsid w:val="00BC5E9F"/>
    <w:rsid w:val="00BC5ED1"/>
    <w:rsid w:val="00BC5FBB"/>
    <w:rsid w:val="00BC5FF2"/>
    <w:rsid w:val="00BC6082"/>
    <w:rsid w:val="00BC6093"/>
    <w:rsid w:val="00BC60DE"/>
    <w:rsid w:val="00BC6124"/>
    <w:rsid w:val="00BC613A"/>
    <w:rsid w:val="00BC62DE"/>
    <w:rsid w:val="00BC631A"/>
    <w:rsid w:val="00BC657B"/>
    <w:rsid w:val="00BC665A"/>
    <w:rsid w:val="00BC66B3"/>
    <w:rsid w:val="00BC66C3"/>
    <w:rsid w:val="00BC67ED"/>
    <w:rsid w:val="00BC6841"/>
    <w:rsid w:val="00BC6846"/>
    <w:rsid w:val="00BC68CD"/>
    <w:rsid w:val="00BC6910"/>
    <w:rsid w:val="00BC69DC"/>
    <w:rsid w:val="00BC6A3B"/>
    <w:rsid w:val="00BC6A41"/>
    <w:rsid w:val="00BC6BA3"/>
    <w:rsid w:val="00BC6CB6"/>
    <w:rsid w:val="00BC6CC5"/>
    <w:rsid w:val="00BC6CCF"/>
    <w:rsid w:val="00BC6CDC"/>
    <w:rsid w:val="00BC6D9E"/>
    <w:rsid w:val="00BC6DB9"/>
    <w:rsid w:val="00BC6F0C"/>
    <w:rsid w:val="00BC6F44"/>
    <w:rsid w:val="00BC702D"/>
    <w:rsid w:val="00BC709A"/>
    <w:rsid w:val="00BC718E"/>
    <w:rsid w:val="00BC71AA"/>
    <w:rsid w:val="00BC71C9"/>
    <w:rsid w:val="00BC7274"/>
    <w:rsid w:val="00BC7312"/>
    <w:rsid w:val="00BC7377"/>
    <w:rsid w:val="00BC7496"/>
    <w:rsid w:val="00BC751E"/>
    <w:rsid w:val="00BC776B"/>
    <w:rsid w:val="00BC77FE"/>
    <w:rsid w:val="00BC7804"/>
    <w:rsid w:val="00BC78EB"/>
    <w:rsid w:val="00BC79FB"/>
    <w:rsid w:val="00BC7A84"/>
    <w:rsid w:val="00BC7ABC"/>
    <w:rsid w:val="00BC7B48"/>
    <w:rsid w:val="00BC7B63"/>
    <w:rsid w:val="00BC7B6F"/>
    <w:rsid w:val="00BC7BF6"/>
    <w:rsid w:val="00BC7C62"/>
    <w:rsid w:val="00BC7C78"/>
    <w:rsid w:val="00BC7CFF"/>
    <w:rsid w:val="00BC7D34"/>
    <w:rsid w:val="00BC7D4C"/>
    <w:rsid w:val="00BC7D69"/>
    <w:rsid w:val="00BC7E6E"/>
    <w:rsid w:val="00BC7EFC"/>
    <w:rsid w:val="00BC7F3D"/>
    <w:rsid w:val="00BC7F61"/>
    <w:rsid w:val="00BC7FAC"/>
    <w:rsid w:val="00BC7FBA"/>
    <w:rsid w:val="00BD0017"/>
    <w:rsid w:val="00BD0137"/>
    <w:rsid w:val="00BD02C2"/>
    <w:rsid w:val="00BD0318"/>
    <w:rsid w:val="00BD0358"/>
    <w:rsid w:val="00BD039C"/>
    <w:rsid w:val="00BD055D"/>
    <w:rsid w:val="00BD0574"/>
    <w:rsid w:val="00BD070D"/>
    <w:rsid w:val="00BD0727"/>
    <w:rsid w:val="00BD07EB"/>
    <w:rsid w:val="00BD083F"/>
    <w:rsid w:val="00BD091D"/>
    <w:rsid w:val="00BD0B0B"/>
    <w:rsid w:val="00BD0B9B"/>
    <w:rsid w:val="00BD0BCD"/>
    <w:rsid w:val="00BD0C50"/>
    <w:rsid w:val="00BD0CBD"/>
    <w:rsid w:val="00BD0CF6"/>
    <w:rsid w:val="00BD0D17"/>
    <w:rsid w:val="00BD0E85"/>
    <w:rsid w:val="00BD0E8D"/>
    <w:rsid w:val="00BD0EC3"/>
    <w:rsid w:val="00BD0FD7"/>
    <w:rsid w:val="00BD10DD"/>
    <w:rsid w:val="00BD1150"/>
    <w:rsid w:val="00BD1178"/>
    <w:rsid w:val="00BD11F6"/>
    <w:rsid w:val="00BD1342"/>
    <w:rsid w:val="00BD13F9"/>
    <w:rsid w:val="00BD13FC"/>
    <w:rsid w:val="00BD1529"/>
    <w:rsid w:val="00BD1564"/>
    <w:rsid w:val="00BD1585"/>
    <w:rsid w:val="00BD1658"/>
    <w:rsid w:val="00BD1674"/>
    <w:rsid w:val="00BD1706"/>
    <w:rsid w:val="00BD1733"/>
    <w:rsid w:val="00BD1850"/>
    <w:rsid w:val="00BD18C8"/>
    <w:rsid w:val="00BD18D5"/>
    <w:rsid w:val="00BD1936"/>
    <w:rsid w:val="00BD1999"/>
    <w:rsid w:val="00BD1ACE"/>
    <w:rsid w:val="00BD1C11"/>
    <w:rsid w:val="00BD1C77"/>
    <w:rsid w:val="00BD1C99"/>
    <w:rsid w:val="00BD1F86"/>
    <w:rsid w:val="00BD1FCD"/>
    <w:rsid w:val="00BD2183"/>
    <w:rsid w:val="00BD22A5"/>
    <w:rsid w:val="00BD2517"/>
    <w:rsid w:val="00BD2698"/>
    <w:rsid w:val="00BD2721"/>
    <w:rsid w:val="00BD28A8"/>
    <w:rsid w:val="00BD294B"/>
    <w:rsid w:val="00BD29FA"/>
    <w:rsid w:val="00BD2A3B"/>
    <w:rsid w:val="00BD2A81"/>
    <w:rsid w:val="00BD2B28"/>
    <w:rsid w:val="00BD2B6D"/>
    <w:rsid w:val="00BD2B8D"/>
    <w:rsid w:val="00BD2D94"/>
    <w:rsid w:val="00BD2D9B"/>
    <w:rsid w:val="00BD2DC6"/>
    <w:rsid w:val="00BD2EA8"/>
    <w:rsid w:val="00BD2EF1"/>
    <w:rsid w:val="00BD2FB3"/>
    <w:rsid w:val="00BD2FFC"/>
    <w:rsid w:val="00BD3236"/>
    <w:rsid w:val="00BD3380"/>
    <w:rsid w:val="00BD364D"/>
    <w:rsid w:val="00BD366A"/>
    <w:rsid w:val="00BD37AF"/>
    <w:rsid w:val="00BD384A"/>
    <w:rsid w:val="00BD38B4"/>
    <w:rsid w:val="00BD3941"/>
    <w:rsid w:val="00BD3991"/>
    <w:rsid w:val="00BD3A46"/>
    <w:rsid w:val="00BD3DA0"/>
    <w:rsid w:val="00BD3EE0"/>
    <w:rsid w:val="00BD3FCF"/>
    <w:rsid w:val="00BD401F"/>
    <w:rsid w:val="00BD40CB"/>
    <w:rsid w:val="00BD40E3"/>
    <w:rsid w:val="00BD41E9"/>
    <w:rsid w:val="00BD4200"/>
    <w:rsid w:val="00BD42B7"/>
    <w:rsid w:val="00BD4416"/>
    <w:rsid w:val="00BD442B"/>
    <w:rsid w:val="00BD4455"/>
    <w:rsid w:val="00BD4480"/>
    <w:rsid w:val="00BD44AE"/>
    <w:rsid w:val="00BD44E5"/>
    <w:rsid w:val="00BD450C"/>
    <w:rsid w:val="00BD4551"/>
    <w:rsid w:val="00BD45C0"/>
    <w:rsid w:val="00BD4858"/>
    <w:rsid w:val="00BD487B"/>
    <w:rsid w:val="00BD49A3"/>
    <w:rsid w:val="00BD4A32"/>
    <w:rsid w:val="00BD4AA5"/>
    <w:rsid w:val="00BD4AF0"/>
    <w:rsid w:val="00BD4BEC"/>
    <w:rsid w:val="00BD4C84"/>
    <w:rsid w:val="00BD4C8E"/>
    <w:rsid w:val="00BD4CEF"/>
    <w:rsid w:val="00BD4D3F"/>
    <w:rsid w:val="00BD4D6E"/>
    <w:rsid w:val="00BD4EDA"/>
    <w:rsid w:val="00BD4F5C"/>
    <w:rsid w:val="00BD4F8E"/>
    <w:rsid w:val="00BD4FB7"/>
    <w:rsid w:val="00BD50DB"/>
    <w:rsid w:val="00BD50F0"/>
    <w:rsid w:val="00BD5136"/>
    <w:rsid w:val="00BD527F"/>
    <w:rsid w:val="00BD52F1"/>
    <w:rsid w:val="00BD5385"/>
    <w:rsid w:val="00BD55DE"/>
    <w:rsid w:val="00BD560E"/>
    <w:rsid w:val="00BD5890"/>
    <w:rsid w:val="00BD58D2"/>
    <w:rsid w:val="00BD58F7"/>
    <w:rsid w:val="00BD5926"/>
    <w:rsid w:val="00BD5AC4"/>
    <w:rsid w:val="00BD5B5E"/>
    <w:rsid w:val="00BD5CD7"/>
    <w:rsid w:val="00BD5D3B"/>
    <w:rsid w:val="00BD5D92"/>
    <w:rsid w:val="00BD5E10"/>
    <w:rsid w:val="00BD5E31"/>
    <w:rsid w:val="00BD5E93"/>
    <w:rsid w:val="00BD5F57"/>
    <w:rsid w:val="00BD5FAC"/>
    <w:rsid w:val="00BD6154"/>
    <w:rsid w:val="00BD61BA"/>
    <w:rsid w:val="00BD61D6"/>
    <w:rsid w:val="00BD6408"/>
    <w:rsid w:val="00BD6423"/>
    <w:rsid w:val="00BD65B7"/>
    <w:rsid w:val="00BD66FE"/>
    <w:rsid w:val="00BD688C"/>
    <w:rsid w:val="00BD6898"/>
    <w:rsid w:val="00BD6939"/>
    <w:rsid w:val="00BD6A89"/>
    <w:rsid w:val="00BD6CA3"/>
    <w:rsid w:val="00BD6D4F"/>
    <w:rsid w:val="00BD6DBA"/>
    <w:rsid w:val="00BD6E95"/>
    <w:rsid w:val="00BD6ECA"/>
    <w:rsid w:val="00BD6F1B"/>
    <w:rsid w:val="00BD6FA3"/>
    <w:rsid w:val="00BD704C"/>
    <w:rsid w:val="00BD70DA"/>
    <w:rsid w:val="00BD72E7"/>
    <w:rsid w:val="00BD7335"/>
    <w:rsid w:val="00BD73E8"/>
    <w:rsid w:val="00BD748C"/>
    <w:rsid w:val="00BD758A"/>
    <w:rsid w:val="00BD7596"/>
    <w:rsid w:val="00BD7662"/>
    <w:rsid w:val="00BD76DC"/>
    <w:rsid w:val="00BD7712"/>
    <w:rsid w:val="00BD781B"/>
    <w:rsid w:val="00BD7952"/>
    <w:rsid w:val="00BD7A68"/>
    <w:rsid w:val="00BD7AB7"/>
    <w:rsid w:val="00BD7E75"/>
    <w:rsid w:val="00BD7FDD"/>
    <w:rsid w:val="00BE0083"/>
    <w:rsid w:val="00BE00E9"/>
    <w:rsid w:val="00BE0282"/>
    <w:rsid w:val="00BE0388"/>
    <w:rsid w:val="00BE0414"/>
    <w:rsid w:val="00BE0419"/>
    <w:rsid w:val="00BE0493"/>
    <w:rsid w:val="00BE04BF"/>
    <w:rsid w:val="00BE081A"/>
    <w:rsid w:val="00BE08FB"/>
    <w:rsid w:val="00BE0993"/>
    <w:rsid w:val="00BE0ADC"/>
    <w:rsid w:val="00BE0B9A"/>
    <w:rsid w:val="00BE0E2B"/>
    <w:rsid w:val="00BE0F0C"/>
    <w:rsid w:val="00BE0F8A"/>
    <w:rsid w:val="00BE0FFF"/>
    <w:rsid w:val="00BE10EB"/>
    <w:rsid w:val="00BE1171"/>
    <w:rsid w:val="00BE1184"/>
    <w:rsid w:val="00BE11DF"/>
    <w:rsid w:val="00BE132E"/>
    <w:rsid w:val="00BE1352"/>
    <w:rsid w:val="00BE15E9"/>
    <w:rsid w:val="00BE15EF"/>
    <w:rsid w:val="00BE17FF"/>
    <w:rsid w:val="00BE18F6"/>
    <w:rsid w:val="00BE1ADB"/>
    <w:rsid w:val="00BE1B59"/>
    <w:rsid w:val="00BE1BDC"/>
    <w:rsid w:val="00BE1D55"/>
    <w:rsid w:val="00BE1D85"/>
    <w:rsid w:val="00BE1E29"/>
    <w:rsid w:val="00BE1E6D"/>
    <w:rsid w:val="00BE1E87"/>
    <w:rsid w:val="00BE2046"/>
    <w:rsid w:val="00BE217F"/>
    <w:rsid w:val="00BE21C2"/>
    <w:rsid w:val="00BE2200"/>
    <w:rsid w:val="00BE2213"/>
    <w:rsid w:val="00BE24D6"/>
    <w:rsid w:val="00BE2810"/>
    <w:rsid w:val="00BE286B"/>
    <w:rsid w:val="00BE291F"/>
    <w:rsid w:val="00BE2959"/>
    <w:rsid w:val="00BE2A39"/>
    <w:rsid w:val="00BE2B67"/>
    <w:rsid w:val="00BE2BC7"/>
    <w:rsid w:val="00BE2CB0"/>
    <w:rsid w:val="00BE2D21"/>
    <w:rsid w:val="00BE2D4A"/>
    <w:rsid w:val="00BE2F70"/>
    <w:rsid w:val="00BE2F90"/>
    <w:rsid w:val="00BE3003"/>
    <w:rsid w:val="00BE3016"/>
    <w:rsid w:val="00BE32A1"/>
    <w:rsid w:val="00BE33DF"/>
    <w:rsid w:val="00BE345C"/>
    <w:rsid w:val="00BE34BE"/>
    <w:rsid w:val="00BE3536"/>
    <w:rsid w:val="00BE3655"/>
    <w:rsid w:val="00BE3686"/>
    <w:rsid w:val="00BE3712"/>
    <w:rsid w:val="00BE372B"/>
    <w:rsid w:val="00BE373D"/>
    <w:rsid w:val="00BE377E"/>
    <w:rsid w:val="00BE385A"/>
    <w:rsid w:val="00BE3891"/>
    <w:rsid w:val="00BE3899"/>
    <w:rsid w:val="00BE3A86"/>
    <w:rsid w:val="00BE3B41"/>
    <w:rsid w:val="00BE3BD8"/>
    <w:rsid w:val="00BE3D95"/>
    <w:rsid w:val="00BE3E30"/>
    <w:rsid w:val="00BE3EC5"/>
    <w:rsid w:val="00BE402D"/>
    <w:rsid w:val="00BE40FF"/>
    <w:rsid w:val="00BE4104"/>
    <w:rsid w:val="00BE4210"/>
    <w:rsid w:val="00BE4216"/>
    <w:rsid w:val="00BE42C3"/>
    <w:rsid w:val="00BE45DC"/>
    <w:rsid w:val="00BE471F"/>
    <w:rsid w:val="00BE480C"/>
    <w:rsid w:val="00BE4892"/>
    <w:rsid w:val="00BE4907"/>
    <w:rsid w:val="00BE49B3"/>
    <w:rsid w:val="00BE4A19"/>
    <w:rsid w:val="00BE4B11"/>
    <w:rsid w:val="00BE4B1C"/>
    <w:rsid w:val="00BE4BB6"/>
    <w:rsid w:val="00BE4D92"/>
    <w:rsid w:val="00BE4DAC"/>
    <w:rsid w:val="00BE4F47"/>
    <w:rsid w:val="00BE50EA"/>
    <w:rsid w:val="00BE5130"/>
    <w:rsid w:val="00BE51C2"/>
    <w:rsid w:val="00BE51EC"/>
    <w:rsid w:val="00BE53D9"/>
    <w:rsid w:val="00BE5582"/>
    <w:rsid w:val="00BE5592"/>
    <w:rsid w:val="00BE55CE"/>
    <w:rsid w:val="00BE5667"/>
    <w:rsid w:val="00BE56B7"/>
    <w:rsid w:val="00BE56F5"/>
    <w:rsid w:val="00BE56FC"/>
    <w:rsid w:val="00BE5753"/>
    <w:rsid w:val="00BE57BE"/>
    <w:rsid w:val="00BE57FD"/>
    <w:rsid w:val="00BE5866"/>
    <w:rsid w:val="00BE5988"/>
    <w:rsid w:val="00BE5A45"/>
    <w:rsid w:val="00BE5A47"/>
    <w:rsid w:val="00BE5A95"/>
    <w:rsid w:val="00BE5B49"/>
    <w:rsid w:val="00BE5B8C"/>
    <w:rsid w:val="00BE5C04"/>
    <w:rsid w:val="00BE5CD0"/>
    <w:rsid w:val="00BE5DB2"/>
    <w:rsid w:val="00BE5F22"/>
    <w:rsid w:val="00BE5FCE"/>
    <w:rsid w:val="00BE602A"/>
    <w:rsid w:val="00BE6075"/>
    <w:rsid w:val="00BE607A"/>
    <w:rsid w:val="00BE6157"/>
    <w:rsid w:val="00BE61FB"/>
    <w:rsid w:val="00BE621A"/>
    <w:rsid w:val="00BE6277"/>
    <w:rsid w:val="00BE639E"/>
    <w:rsid w:val="00BE6480"/>
    <w:rsid w:val="00BE64DD"/>
    <w:rsid w:val="00BE652F"/>
    <w:rsid w:val="00BE6533"/>
    <w:rsid w:val="00BE67B3"/>
    <w:rsid w:val="00BE6909"/>
    <w:rsid w:val="00BE6A64"/>
    <w:rsid w:val="00BE6A8C"/>
    <w:rsid w:val="00BE6C1C"/>
    <w:rsid w:val="00BE6D14"/>
    <w:rsid w:val="00BE6D1B"/>
    <w:rsid w:val="00BE6E3C"/>
    <w:rsid w:val="00BE6E64"/>
    <w:rsid w:val="00BE6E79"/>
    <w:rsid w:val="00BE6F0E"/>
    <w:rsid w:val="00BE6F78"/>
    <w:rsid w:val="00BE6FEA"/>
    <w:rsid w:val="00BE7050"/>
    <w:rsid w:val="00BE70B4"/>
    <w:rsid w:val="00BE7184"/>
    <w:rsid w:val="00BE71EE"/>
    <w:rsid w:val="00BE727D"/>
    <w:rsid w:val="00BE72DD"/>
    <w:rsid w:val="00BE73CC"/>
    <w:rsid w:val="00BE7406"/>
    <w:rsid w:val="00BE7413"/>
    <w:rsid w:val="00BE7483"/>
    <w:rsid w:val="00BE7500"/>
    <w:rsid w:val="00BE7657"/>
    <w:rsid w:val="00BE773D"/>
    <w:rsid w:val="00BE7756"/>
    <w:rsid w:val="00BE7932"/>
    <w:rsid w:val="00BE79DE"/>
    <w:rsid w:val="00BE7A2B"/>
    <w:rsid w:val="00BE7A71"/>
    <w:rsid w:val="00BE7B2C"/>
    <w:rsid w:val="00BE7CA0"/>
    <w:rsid w:val="00BE7E36"/>
    <w:rsid w:val="00BE7F73"/>
    <w:rsid w:val="00BF00A8"/>
    <w:rsid w:val="00BF00CC"/>
    <w:rsid w:val="00BF00E7"/>
    <w:rsid w:val="00BF020C"/>
    <w:rsid w:val="00BF021A"/>
    <w:rsid w:val="00BF026B"/>
    <w:rsid w:val="00BF030B"/>
    <w:rsid w:val="00BF0357"/>
    <w:rsid w:val="00BF0360"/>
    <w:rsid w:val="00BF0398"/>
    <w:rsid w:val="00BF03EC"/>
    <w:rsid w:val="00BF0459"/>
    <w:rsid w:val="00BF04D4"/>
    <w:rsid w:val="00BF0589"/>
    <w:rsid w:val="00BF05E3"/>
    <w:rsid w:val="00BF06B8"/>
    <w:rsid w:val="00BF0709"/>
    <w:rsid w:val="00BF07D5"/>
    <w:rsid w:val="00BF088B"/>
    <w:rsid w:val="00BF08EA"/>
    <w:rsid w:val="00BF09D3"/>
    <w:rsid w:val="00BF0A6D"/>
    <w:rsid w:val="00BF0AA5"/>
    <w:rsid w:val="00BF0AB7"/>
    <w:rsid w:val="00BF0B31"/>
    <w:rsid w:val="00BF0BC7"/>
    <w:rsid w:val="00BF0C18"/>
    <w:rsid w:val="00BF0D88"/>
    <w:rsid w:val="00BF0DAB"/>
    <w:rsid w:val="00BF130E"/>
    <w:rsid w:val="00BF1312"/>
    <w:rsid w:val="00BF1359"/>
    <w:rsid w:val="00BF13E5"/>
    <w:rsid w:val="00BF14D1"/>
    <w:rsid w:val="00BF1601"/>
    <w:rsid w:val="00BF1648"/>
    <w:rsid w:val="00BF167A"/>
    <w:rsid w:val="00BF16B2"/>
    <w:rsid w:val="00BF1750"/>
    <w:rsid w:val="00BF18E0"/>
    <w:rsid w:val="00BF19F5"/>
    <w:rsid w:val="00BF1AFF"/>
    <w:rsid w:val="00BF1B10"/>
    <w:rsid w:val="00BF1BD5"/>
    <w:rsid w:val="00BF1CD3"/>
    <w:rsid w:val="00BF1EC4"/>
    <w:rsid w:val="00BF1EFE"/>
    <w:rsid w:val="00BF202B"/>
    <w:rsid w:val="00BF20BA"/>
    <w:rsid w:val="00BF20EC"/>
    <w:rsid w:val="00BF215B"/>
    <w:rsid w:val="00BF2195"/>
    <w:rsid w:val="00BF21C6"/>
    <w:rsid w:val="00BF21FC"/>
    <w:rsid w:val="00BF2289"/>
    <w:rsid w:val="00BF228C"/>
    <w:rsid w:val="00BF2422"/>
    <w:rsid w:val="00BF24FD"/>
    <w:rsid w:val="00BF250F"/>
    <w:rsid w:val="00BF2752"/>
    <w:rsid w:val="00BF27FB"/>
    <w:rsid w:val="00BF28DF"/>
    <w:rsid w:val="00BF2A50"/>
    <w:rsid w:val="00BF2BC0"/>
    <w:rsid w:val="00BF2E28"/>
    <w:rsid w:val="00BF2E9E"/>
    <w:rsid w:val="00BF2E9F"/>
    <w:rsid w:val="00BF304B"/>
    <w:rsid w:val="00BF305D"/>
    <w:rsid w:val="00BF31C5"/>
    <w:rsid w:val="00BF3260"/>
    <w:rsid w:val="00BF33B5"/>
    <w:rsid w:val="00BF343B"/>
    <w:rsid w:val="00BF366E"/>
    <w:rsid w:val="00BF3826"/>
    <w:rsid w:val="00BF383F"/>
    <w:rsid w:val="00BF3844"/>
    <w:rsid w:val="00BF385A"/>
    <w:rsid w:val="00BF3860"/>
    <w:rsid w:val="00BF38DB"/>
    <w:rsid w:val="00BF3A1C"/>
    <w:rsid w:val="00BF3AAC"/>
    <w:rsid w:val="00BF3FA3"/>
    <w:rsid w:val="00BF401B"/>
    <w:rsid w:val="00BF408E"/>
    <w:rsid w:val="00BF41E7"/>
    <w:rsid w:val="00BF42A7"/>
    <w:rsid w:val="00BF438D"/>
    <w:rsid w:val="00BF43A9"/>
    <w:rsid w:val="00BF43F8"/>
    <w:rsid w:val="00BF443F"/>
    <w:rsid w:val="00BF444F"/>
    <w:rsid w:val="00BF4489"/>
    <w:rsid w:val="00BF4630"/>
    <w:rsid w:val="00BF473B"/>
    <w:rsid w:val="00BF48B9"/>
    <w:rsid w:val="00BF48FD"/>
    <w:rsid w:val="00BF49E9"/>
    <w:rsid w:val="00BF49F0"/>
    <w:rsid w:val="00BF4B0A"/>
    <w:rsid w:val="00BF4C50"/>
    <w:rsid w:val="00BF4C76"/>
    <w:rsid w:val="00BF4CA3"/>
    <w:rsid w:val="00BF50E5"/>
    <w:rsid w:val="00BF5161"/>
    <w:rsid w:val="00BF5233"/>
    <w:rsid w:val="00BF524B"/>
    <w:rsid w:val="00BF5329"/>
    <w:rsid w:val="00BF55A2"/>
    <w:rsid w:val="00BF55C1"/>
    <w:rsid w:val="00BF569A"/>
    <w:rsid w:val="00BF5819"/>
    <w:rsid w:val="00BF595D"/>
    <w:rsid w:val="00BF5B24"/>
    <w:rsid w:val="00BF5B3B"/>
    <w:rsid w:val="00BF5CE7"/>
    <w:rsid w:val="00BF5D0C"/>
    <w:rsid w:val="00BF5DA0"/>
    <w:rsid w:val="00BF5DAD"/>
    <w:rsid w:val="00BF5F3D"/>
    <w:rsid w:val="00BF6007"/>
    <w:rsid w:val="00BF6116"/>
    <w:rsid w:val="00BF6213"/>
    <w:rsid w:val="00BF65E7"/>
    <w:rsid w:val="00BF66A3"/>
    <w:rsid w:val="00BF670A"/>
    <w:rsid w:val="00BF688F"/>
    <w:rsid w:val="00BF69D5"/>
    <w:rsid w:val="00BF6A19"/>
    <w:rsid w:val="00BF6AB4"/>
    <w:rsid w:val="00BF6AF1"/>
    <w:rsid w:val="00BF6B8A"/>
    <w:rsid w:val="00BF6C14"/>
    <w:rsid w:val="00BF6C93"/>
    <w:rsid w:val="00BF6CCD"/>
    <w:rsid w:val="00BF6D4D"/>
    <w:rsid w:val="00BF6DBB"/>
    <w:rsid w:val="00BF6DD7"/>
    <w:rsid w:val="00BF6EEC"/>
    <w:rsid w:val="00BF6F0A"/>
    <w:rsid w:val="00BF6FC7"/>
    <w:rsid w:val="00BF705B"/>
    <w:rsid w:val="00BF7165"/>
    <w:rsid w:val="00BF73BD"/>
    <w:rsid w:val="00BF73E3"/>
    <w:rsid w:val="00BF7437"/>
    <w:rsid w:val="00BF7441"/>
    <w:rsid w:val="00BF746A"/>
    <w:rsid w:val="00BF7891"/>
    <w:rsid w:val="00BF7936"/>
    <w:rsid w:val="00BF7A36"/>
    <w:rsid w:val="00BF7AAC"/>
    <w:rsid w:val="00BF7AEB"/>
    <w:rsid w:val="00BF7B23"/>
    <w:rsid w:val="00BF7B9E"/>
    <w:rsid w:val="00BF7BE0"/>
    <w:rsid w:val="00BF7C0E"/>
    <w:rsid w:val="00BF7D60"/>
    <w:rsid w:val="00BF7D9E"/>
    <w:rsid w:val="00BF7E52"/>
    <w:rsid w:val="00C00000"/>
    <w:rsid w:val="00C0004F"/>
    <w:rsid w:val="00C0014A"/>
    <w:rsid w:val="00C001E9"/>
    <w:rsid w:val="00C002B4"/>
    <w:rsid w:val="00C0031A"/>
    <w:rsid w:val="00C0032B"/>
    <w:rsid w:val="00C005A0"/>
    <w:rsid w:val="00C0064F"/>
    <w:rsid w:val="00C00685"/>
    <w:rsid w:val="00C006BD"/>
    <w:rsid w:val="00C006C6"/>
    <w:rsid w:val="00C0078C"/>
    <w:rsid w:val="00C0093B"/>
    <w:rsid w:val="00C009C1"/>
    <w:rsid w:val="00C00A10"/>
    <w:rsid w:val="00C00AC6"/>
    <w:rsid w:val="00C00B48"/>
    <w:rsid w:val="00C00B8B"/>
    <w:rsid w:val="00C00BBC"/>
    <w:rsid w:val="00C00CE0"/>
    <w:rsid w:val="00C00F16"/>
    <w:rsid w:val="00C010CD"/>
    <w:rsid w:val="00C010D2"/>
    <w:rsid w:val="00C01112"/>
    <w:rsid w:val="00C01114"/>
    <w:rsid w:val="00C01159"/>
    <w:rsid w:val="00C01296"/>
    <w:rsid w:val="00C0133B"/>
    <w:rsid w:val="00C013FE"/>
    <w:rsid w:val="00C014B2"/>
    <w:rsid w:val="00C014D9"/>
    <w:rsid w:val="00C01570"/>
    <w:rsid w:val="00C016F7"/>
    <w:rsid w:val="00C016FA"/>
    <w:rsid w:val="00C0171B"/>
    <w:rsid w:val="00C0171C"/>
    <w:rsid w:val="00C01773"/>
    <w:rsid w:val="00C017BB"/>
    <w:rsid w:val="00C01849"/>
    <w:rsid w:val="00C01895"/>
    <w:rsid w:val="00C0190F"/>
    <w:rsid w:val="00C0197C"/>
    <w:rsid w:val="00C01993"/>
    <w:rsid w:val="00C019F1"/>
    <w:rsid w:val="00C01AB4"/>
    <w:rsid w:val="00C01B03"/>
    <w:rsid w:val="00C01C8F"/>
    <w:rsid w:val="00C01CA3"/>
    <w:rsid w:val="00C01CD8"/>
    <w:rsid w:val="00C01D62"/>
    <w:rsid w:val="00C01D7D"/>
    <w:rsid w:val="00C020BE"/>
    <w:rsid w:val="00C0228B"/>
    <w:rsid w:val="00C0233F"/>
    <w:rsid w:val="00C02434"/>
    <w:rsid w:val="00C025F9"/>
    <w:rsid w:val="00C028B3"/>
    <w:rsid w:val="00C028B7"/>
    <w:rsid w:val="00C0292A"/>
    <w:rsid w:val="00C0293F"/>
    <w:rsid w:val="00C0295D"/>
    <w:rsid w:val="00C0296E"/>
    <w:rsid w:val="00C029D8"/>
    <w:rsid w:val="00C029DC"/>
    <w:rsid w:val="00C02BA2"/>
    <w:rsid w:val="00C02C07"/>
    <w:rsid w:val="00C02C94"/>
    <w:rsid w:val="00C02CF6"/>
    <w:rsid w:val="00C02DBA"/>
    <w:rsid w:val="00C02DD2"/>
    <w:rsid w:val="00C02EB8"/>
    <w:rsid w:val="00C02F12"/>
    <w:rsid w:val="00C02FB5"/>
    <w:rsid w:val="00C03046"/>
    <w:rsid w:val="00C0307A"/>
    <w:rsid w:val="00C032AB"/>
    <w:rsid w:val="00C03306"/>
    <w:rsid w:val="00C0330B"/>
    <w:rsid w:val="00C033A8"/>
    <w:rsid w:val="00C033FF"/>
    <w:rsid w:val="00C03636"/>
    <w:rsid w:val="00C0371E"/>
    <w:rsid w:val="00C03854"/>
    <w:rsid w:val="00C03869"/>
    <w:rsid w:val="00C0387C"/>
    <w:rsid w:val="00C038B7"/>
    <w:rsid w:val="00C038D4"/>
    <w:rsid w:val="00C03A81"/>
    <w:rsid w:val="00C03AB4"/>
    <w:rsid w:val="00C03B96"/>
    <w:rsid w:val="00C03BAE"/>
    <w:rsid w:val="00C03CD9"/>
    <w:rsid w:val="00C03CEA"/>
    <w:rsid w:val="00C03CFF"/>
    <w:rsid w:val="00C03D27"/>
    <w:rsid w:val="00C03D6D"/>
    <w:rsid w:val="00C03E40"/>
    <w:rsid w:val="00C03EEF"/>
    <w:rsid w:val="00C03FAC"/>
    <w:rsid w:val="00C03FC1"/>
    <w:rsid w:val="00C03FCD"/>
    <w:rsid w:val="00C04076"/>
    <w:rsid w:val="00C040A0"/>
    <w:rsid w:val="00C041F0"/>
    <w:rsid w:val="00C0459A"/>
    <w:rsid w:val="00C045D8"/>
    <w:rsid w:val="00C045EF"/>
    <w:rsid w:val="00C04621"/>
    <w:rsid w:val="00C04692"/>
    <w:rsid w:val="00C047D8"/>
    <w:rsid w:val="00C047E5"/>
    <w:rsid w:val="00C049BB"/>
    <w:rsid w:val="00C04A46"/>
    <w:rsid w:val="00C04ACD"/>
    <w:rsid w:val="00C04C55"/>
    <w:rsid w:val="00C04CDA"/>
    <w:rsid w:val="00C04D3F"/>
    <w:rsid w:val="00C04D43"/>
    <w:rsid w:val="00C04E7C"/>
    <w:rsid w:val="00C04FA9"/>
    <w:rsid w:val="00C04FB7"/>
    <w:rsid w:val="00C05036"/>
    <w:rsid w:val="00C0504E"/>
    <w:rsid w:val="00C051D9"/>
    <w:rsid w:val="00C05568"/>
    <w:rsid w:val="00C0562D"/>
    <w:rsid w:val="00C05634"/>
    <w:rsid w:val="00C0565A"/>
    <w:rsid w:val="00C056D1"/>
    <w:rsid w:val="00C05719"/>
    <w:rsid w:val="00C057A2"/>
    <w:rsid w:val="00C0598A"/>
    <w:rsid w:val="00C059CE"/>
    <w:rsid w:val="00C05A0E"/>
    <w:rsid w:val="00C05AAA"/>
    <w:rsid w:val="00C05B4F"/>
    <w:rsid w:val="00C05B8F"/>
    <w:rsid w:val="00C05BA1"/>
    <w:rsid w:val="00C05BDE"/>
    <w:rsid w:val="00C05BE3"/>
    <w:rsid w:val="00C05C08"/>
    <w:rsid w:val="00C05CF6"/>
    <w:rsid w:val="00C05D67"/>
    <w:rsid w:val="00C05D69"/>
    <w:rsid w:val="00C05E5F"/>
    <w:rsid w:val="00C05ED7"/>
    <w:rsid w:val="00C05F2E"/>
    <w:rsid w:val="00C05F56"/>
    <w:rsid w:val="00C061B6"/>
    <w:rsid w:val="00C06351"/>
    <w:rsid w:val="00C06363"/>
    <w:rsid w:val="00C063BA"/>
    <w:rsid w:val="00C06441"/>
    <w:rsid w:val="00C065DF"/>
    <w:rsid w:val="00C066F3"/>
    <w:rsid w:val="00C06700"/>
    <w:rsid w:val="00C06710"/>
    <w:rsid w:val="00C06873"/>
    <w:rsid w:val="00C0688E"/>
    <w:rsid w:val="00C06927"/>
    <w:rsid w:val="00C06A85"/>
    <w:rsid w:val="00C06AC6"/>
    <w:rsid w:val="00C06C21"/>
    <w:rsid w:val="00C06D00"/>
    <w:rsid w:val="00C06D6A"/>
    <w:rsid w:val="00C06D8E"/>
    <w:rsid w:val="00C06E09"/>
    <w:rsid w:val="00C06E76"/>
    <w:rsid w:val="00C06E83"/>
    <w:rsid w:val="00C07060"/>
    <w:rsid w:val="00C07126"/>
    <w:rsid w:val="00C0715E"/>
    <w:rsid w:val="00C0746F"/>
    <w:rsid w:val="00C07520"/>
    <w:rsid w:val="00C0754B"/>
    <w:rsid w:val="00C0755C"/>
    <w:rsid w:val="00C0766C"/>
    <w:rsid w:val="00C07755"/>
    <w:rsid w:val="00C077AC"/>
    <w:rsid w:val="00C07951"/>
    <w:rsid w:val="00C07B04"/>
    <w:rsid w:val="00C07B55"/>
    <w:rsid w:val="00C07BBB"/>
    <w:rsid w:val="00C07BF1"/>
    <w:rsid w:val="00C07C12"/>
    <w:rsid w:val="00C07C9E"/>
    <w:rsid w:val="00C07D6F"/>
    <w:rsid w:val="00C07E25"/>
    <w:rsid w:val="00C07F4A"/>
    <w:rsid w:val="00C07F75"/>
    <w:rsid w:val="00C07FD1"/>
    <w:rsid w:val="00C1000C"/>
    <w:rsid w:val="00C10014"/>
    <w:rsid w:val="00C1001B"/>
    <w:rsid w:val="00C10070"/>
    <w:rsid w:val="00C100DE"/>
    <w:rsid w:val="00C1011D"/>
    <w:rsid w:val="00C101F1"/>
    <w:rsid w:val="00C10350"/>
    <w:rsid w:val="00C1041A"/>
    <w:rsid w:val="00C10639"/>
    <w:rsid w:val="00C106ED"/>
    <w:rsid w:val="00C10778"/>
    <w:rsid w:val="00C109D1"/>
    <w:rsid w:val="00C10B2B"/>
    <w:rsid w:val="00C10BEE"/>
    <w:rsid w:val="00C10C58"/>
    <w:rsid w:val="00C10C69"/>
    <w:rsid w:val="00C10C88"/>
    <w:rsid w:val="00C10CBA"/>
    <w:rsid w:val="00C10D19"/>
    <w:rsid w:val="00C10E68"/>
    <w:rsid w:val="00C10F3A"/>
    <w:rsid w:val="00C110CB"/>
    <w:rsid w:val="00C11214"/>
    <w:rsid w:val="00C11283"/>
    <w:rsid w:val="00C11435"/>
    <w:rsid w:val="00C11491"/>
    <w:rsid w:val="00C114C6"/>
    <w:rsid w:val="00C114D2"/>
    <w:rsid w:val="00C1150A"/>
    <w:rsid w:val="00C11575"/>
    <w:rsid w:val="00C115E0"/>
    <w:rsid w:val="00C1162E"/>
    <w:rsid w:val="00C11642"/>
    <w:rsid w:val="00C118D4"/>
    <w:rsid w:val="00C119C5"/>
    <w:rsid w:val="00C119FE"/>
    <w:rsid w:val="00C11B09"/>
    <w:rsid w:val="00C11C4A"/>
    <w:rsid w:val="00C11C8B"/>
    <w:rsid w:val="00C11CEA"/>
    <w:rsid w:val="00C11F6B"/>
    <w:rsid w:val="00C11FC4"/>
    <w:rsid w:val="00C1204E"/>
    <w:rsid w:val="00C120FD"/>
    <w:rsid w:val="00C1215F"/>
    <w:rsid w:val="00C12165"/>
    <w:rsid w:val="00C1244A"/>
    <w:rsid w:val="00C1244F"/>
    <w:rsid w:val="00C1246D"/>
    <w:rsid w:val="00C12529"/>
    <w:rsid w:val="00C125BF"/>
    <w:rsid w:val="00C125F0"/>
    <w:rsid w:val="00C127AB"/>
    <w:rsid w:val="00C12A7E"/>
    <w:rsid w:val="00C12AA6"/>
    <w:rsid w:val="00C12BC5"/>
    <w:rsid w:val="00C12C1D"/>
    <w:rsid w:val="00C12D58"/>
    <w:rsid w:val="00C12DD8"/>
    <w:rsid w:val="00C12E62"/>
    <w:rsid w:val="00C13044"/>
    <w:rsid w:val="00C13058"/>
    <w:rsid w:val="00C13116"/>
    <w:rsid w:val="00C131C7"/>
    <w:rsid w:val="00C131EB"/>
    <w:rsid w:val="00C13221"/>
    <w:rsid w:val="00C132C8"/>
    <w:rsid w:val="00C13368"/>
    <w:rsid w:val="00C134C8"/>
    <w:rsid w:val="00C13796"/>
    <w:rsid w:val="00C137E7"/>
    <w:rsid w:val="00C13884"/>
    <w:rsid w:val="00C138C9"/>
    <w:rsid w:val="00C138F0"/>
    <w:rsid w:val="00C139D2"/>
    <w:rsid w:val="00C139FD"/>
    <w:rsid w:val="00C13A6B"/>
    <w:rsid w:val="00C13B16"/>
    <w:rsid w:val="00C13C0D"/>
    <w:rsid w:val="00C13CE1"/>
    <w:rsid w:val="00C13D5D"/>
    <w:rsid w:val="00C13F0F"/>
    <w:rsid w:val="00C13F10"/>
    <w:rsid w:val="00C13FEB"/>
    <w:rsid w:val="00C14079"/>
    <w:rsid w:val="00C140E8"/>
    <w:rsid w:val="00C14155"/>
    <w:rsid w:val="00C1419C"/>
    <w:rsid w:val="00C141C2"/>
    <w:rsid w:val="00C14234"/>
    <w:rsid w:val="00C14316"/>
    <w:rsid w:val="00C143DC"/>
    <w:rsid w:val="00C145A2"/>
    <w:rsid w:val="00C1465A"/>
    <w:rsid w:val="00C146E4"/>
    <w:rsid w:val="00C146F7"/>
    <w:rsid w:val="00C14755"/>
    <w:rsid w:val="00C1476E"/>
    <w:rsid w:val="00C148AB"/>
    <w:rsid w:val="00C14AFD"/>
    <w:rsid w:val="00C14C16"/>
    <w:rsid w:val="00C14C82"/>
    <w:rsid w:val="00C14DA3"/>
    <w:rsid w:val="00C14E28"/>
    <w:rsid w:val="00C14FA4"/>
    <w:rsid w:val="00C150A0"/>
    <w:rsid w:val="00C150EF"/>
    <w:rsid w:val="00C1511F"/>
    <w:rsid w:val="00C1512A"/>
    <w:rsid w:val="00C15139"/>
    <w:rsid w:val="00C1518E"/>
    <w:rsid w:val="00C151D8"/>
    <w:rsid w:val="00C15350"/>
    <w:rsid w:val="00C153A9"/>
    <w:rsid w:val="00C153E3"/>
    <w:rsid w:val="00C15546"/>
    <w:rsid w:val="00C15566"/>
    <w:rsid w:val="00C15663"/>
    <w:rsid w:val="00C1567E"/>
    <w:rsid w:val="00C15761"/>
    <w:rsid w:val="00C15906"/>
    <w:rsid w:val="00C1594F"/>
    <w:rsid w:val="00C159C6"/>
    <w:rsid w:val="00C15A67"/>
    <w:rsid w:val="00C15BA3"/>
    <w:rsid w:val="00C15C10"/>
    <w:rsid w:val="00C15C34"/>
    <w:rsid w:val="00C15D33"/>
    <w:rsid w:val="00C15D45"/>
    <w:rsid w:val="00C15D4F"/>
    <w:rsid w:val="00C15DD0"/>
    <w:rsid w:val="00C15F9F"/>
    <w:rsid w:val="00C15FB3"/>
    <w:rsid w:val="00C15FFC"/>
    <w:rsid w:val="00C16015"/>
    <w:rsid w:val="00C16089"/>
    <w:rsid w:val="00C160CD"/>
    <w:rsid w:val="00C1612D"/>
    <w:rsid w:val="00C16242"/>
    <w:rsid w:val="00C16288"/>
    <w:rsid w:val="00C1633E"/>
    <w:rsid w:val="00C163EA"/>
    <w:rsid w:val="00C16484"/>
    <w:rsid w:val="00C1650B"/>
    <w:rsid w:val="00C16540"/>
    <w:rsid w:val="00C166BA"/>
    <w:rsid w:val="00C166FC"/>
    <w:rsid w:val="00C16725"/>
    <w:rsid w:val="00C16946"/>
    <w:rsid w:val="00C169C4"/>
    <w:rsid w:val="00C169C9"/>
    <w:rsid w:val="00C16A6D"/>
    <w:rsid w:val="00C16A9E"/>
    <w:rsid w:val="00C16DC3"/>
    <w:rsid w:val="00C16E19"/>
    <w:rsid w:val="00C16E56"/>
    <w:rsid w:val="00C16F05"/>
    <w:rsid w:val="00C1705E"/>
    <w:rsid w:val="00C170A1"/>
    <w:rsid w:val="00C170E5"/>
    <w:rsid w:val="00C17118"/>
    <w:rsid w:val="00C17152"/>
    <w:rsid w:val="00C17217"/>
    <w:rsid w:val="00C172CA"/>
    <w:rsid w:val="00C17379"/>
    <w:rsid w:val="00C1739C"/>
    <w:rsid w:val="00C173E7"/>
    <w:rsid w:val="00C1743C"/>
    <w:rsid w:val="00C174AE"/>
    <w:rsid w:val="00C17593"/>
    <w:rsid w:val="00C175E2"/>
    <w:rsid w:val="00C1777C"/>
    <w:rsid w:val="00C178B1"/>
    <w:rsid w:val="00C178B6"/>
    <w:rsid w:val="00C1794C"/>
    <w:rsid w:val="00C1795D"/>
    <w:rsid w:val="00C17A26"/>
    <w:rsid w:val="00C17A4D"/>
    <w:rsid w:val="00C17B6E"/>
    <w:rsid w:val="00C17C61"/>
    <w:rsid w:val="00C17C8B"/>
    <w:rsid w:val="00C17CCC"/>
    <w:rsid w:val="00C17D69"/>
    <w:rsid w:val="00C17D76"/>
    <w:rsid w:val="00C17DD8"/>
    <w:rsid w:val="00C17E58"/>
    <w:rsid w:val="00C17EA8"/>
    <w:rsid w:val="00C17EAE"/>
    <w:rsid w:val="00C17F34"/>
    <w:rsid w:val="00C17F56"/>
    <w:rsid w:val="00C17F7E"/>
    <w:rsid w:val="00C17F8E"/>
    <w:rsid w:val="00C17F98"/>
    <w:rsid w:val="00C2006A"/>
    <w:rsid w:val="00C200AC"/>
    <w:rsid w:val="00C200BE"/>
    <w:rsid w:val="00C20298"/>
    <w:rsid w:val="00C20350"/>
    <w:rsid w:val="00C2040C"/>
    <w:rsid w:val="00C20594"/>
    <w:rsid w:val="00C20729"/>
    <w:rsid w:val="00C20745"/>
    <w:rsid w:val="00C20848"/>
    <w:rsid w:val="00C209A6"/>
    <w:rsid w:val="00C20A99"/>
    <w:rsid w:val="00C20AE2"/>
    <w:rsid w:val="00C20B88"/>
    <w:rsid w:val="00C20BF8"/>
    <w:rsid w:val="00C20C40"/>
    <w:rsid w:val="00C20C83"/>
    <w:rsid w:val="00C20CB1"/>
    <w:rsid w:val="00C20CBE"/>
    <w:rsid w:val="00C20FFF"/>
    <w:rsid w:val="00C2104B"/>
    <w:rsid w:val="00C2119D"/>
    <w:rsid w:val="00C212D2"/>
    <w:rsid w:val="00C212E4"/>
    <w:rsid w:val="00C21379"/>
    <w:rsid w:val="00C21409"/>
    <w:rsid w:val="00C214EA"/>
    <w:rsid w:val="00C21689"/>
    <w:rsid w:val="00C2171E"/>
    <w:rsid w:val="00C2193B"/>
    <w:rsid w:val="00C21AFE"/>
    <w:rsid w:val="00C21C3C"/>
    <w:rsid w:val="00C21C89"/>
    <w:rsid w:val="00C21CB3"/>
    <w:rsid w:val="00C21D54"/>
    <w:rsid w:val="00C21E24"/>
    <w:rsid w:val="00C21EE3"/>
    <w:rsid w:val="00C21F06"/>
    <w:rsid w:val="00C21F35"/>
    <w:rsid w:val="00C21F6C"/>
    <w:rsid w:val="00C21FC3"/>
    <w:rsid w:val="00C22090"/>
    <w:rsid w:val="00C2223B"/>
    <w:rsid w:val="00C22256"/>
    <w:rsid w:val="00C2235C"/>
    <w:rsid w:val="00C2242B"/>
    <w:rsid w:val="00C22438"/>
    <w:rsid w:val="00C2247E"/>
    <w:rsid w:val="00C224B0"/>
    <w:rsid w:val="00C225A0"/>
    <w:rsid w:val="00C2269E"/>
    <w:rsid w:val="00C22874"/>
    <w:rsid w:val="00C22A2E"/>
    <w:rsid w:val="00C22AA9"/>
    <w:rsid w:val="00C22B52"/>
    <w:rsid w:val="00C22B9F"/>
    <w:rsid w:val="00C22C95"/>
    <w:rsid w:val="00C22CC5"/>
    <w:rsid w:val="00C22CC9"/>
    <w:rsid w:val="00C22D36"/>
    <w:rsid w:val="00C22D47"/>
    <w:rsid w:val="00C22DB7"/>
    <w:rsid w:val="00C22EA3"/>
    <w:rsid w:val="00C2319C"/>
    <w:rsid w:val="00C23405"/>
    <w:rsid w:val="00C23421"/>
    <w:rsid w:val="00C234AF"/>
    <w:rsid w:val="00C23524"/>
    <w:rsid w:val="00C2354E"/>
    <w:rsid w:val="00C235F6"/>
    <w:rsid w:val="00C23645"/>
    <w:rsid w:val="00C2365E"/>
    <w:rsid w:val="00C2368A"/>
    <w:rsid w:val="00C2368B"/>
    <w:rsid w:val="00C2386A"/>
    <w:rsid w:val="00C23913"/>
    <w:rsid w:val="00C23926"/>
    <w:rsid w:val="00C2394E"/>
    <w:rsid w:val="00C239FE"/>
    <w:rsid w:val="00C23A6C"/>
    <w:rsid w:val="00C23AE0"/>
    <w:rsid w:val="00C23AE9"/>
    <w:rsid w:val="00C23AFF"/>
    <w:rsid w:val="00C23C08"/>
    <w:rsid w:val="00C23C65"/>
    <w:rsid w:val="00C23D6B"/>
    <w:rsid w:val="00C23E64"/>
    <w:rsid w:val="00C23F8C"/>
    <w:rsid w:val="00C23FBD"/>
    <w:rsid w:val="00C2407F"/>
    <w:rsid w:val="00C240EB"/>
    <w:rsid w:val="00C242CC"/>
    <w:rsid w:val="00C243AE"/>
    <w:rsid w:val="00C2442A"/>
    <w:rsid w:val="00C2449C"/>
    <w:rsid w:val="00C245AE"/>
    <w:rsid w:val="00C245E8"/>
    <w:rsid w:val="00C2466D"/>
    <w:rsid w:val="00C24676"/>
    <w:rsid w:val="00C247C4"/>
    <w:rsid w:val="00C247C6"/>
    <w:rsid w:val="00C249D3"/>
    <w:rsid w:val="00C24B26"/>
    <w:rsid w:val="00C24C10"/>
    <w:rsid w:val="00C24C3F"/>
    <w:rsid w:val="00C24CCD"/>
    <w:rsid w:val="00C24D08"/>
    <w:rsid w:val="00C24D5C"/>
    <w:rsid w:val="00C24DCA"/>
    <w:rsid w:val="00C24DFE"/>
    <w:rsid w:val="00C25043"/>
    <w:rsid w:val="00C250DA"/>
    <w:rsid w:val="00C251C8"/>
    <w:rsid w:val="00C251E6"/>
    <w:rsid w:val="00C2522E"/>
    <w:rsid w:val="00C25238"/>
    <w:rsid w:val="00C2542C"/>
    <w:rsid w:val="00C2545F"/>
    <w:rsid w:val="00C25507"/>
    <w:rsid w:val="00C255BA"/>
    <w:rsid w:val="00C25679"/>
    <w:rsid w:val="00C256E5"/>
    <w:rsid w:val="00C257FE"/>
    <w:rsid w:val="00C2581D"/>
    <w:rsid w:val="00C25867"/>
    <w:rsid w:val="00C25896"/>
    <w:rsid w:val="00C25A6B"/>
    <w:rsid w:val="00C25B55"/>
    <w:rsid w:val="00C2615B"/>
    <w:rsid w:val="00C2632A"/>
    <w:rsid w:val="00C265AD"/>
    <w:rsid w:val="00C265E8"/>
    <w:rsid w:val="00C2675F"/>
    <w:rsid w:val="00C267D1"/>
    <w:rsid w:val="00C267F5"/>
    <w:rsid w:val="00C268C2"/>
    <w:rsid w:val="00C269AF"/>
    <w:rsid w:val="00C269CA"/>
    <w:rsid w:val="00C26ABB"/>
    <w:rsid w:val="00C26AC3"/>
    <w:rsid w:val="00C26B3F"/>
    <w:rsid w:val="00C26C7F"/>
    <w:rsid w:val="00C26CDA"/>
    <w:rsid w:val="00C26EA1"/>
    <w:rsid w:val="00C26F96"/>
    <w:rsid w:val="00C270EE"/>
    <w:rsid w:val="00C2710B"/>
    <w:rsid w:val="00C27264"/>
    <w:rsid w:val="00C27291"/>
    <w:rsid w:val="00C272D8"/>
    <w:rsid w:val="00C27353"/>
    <w:rsid w:val="00C2739B"/>
    <w:rsid w:val="00C273A3"/>
    <w:rsid w:val="00C273C1"/>
    <w:rsid w:val="00C274DA"/>
    <w:rsid w:val="00C274DF"/>
    <w:rsid w:val="00C27502"/>
    <w:rsid w:val="00C27587"/>
    <w:rsid w:val="00C276D7"/>
    <w:rsid w:val="00C276F2"/>
    <w:rsid w:val="00C276F6"/>
    <w:rsid w:val="00C27754"/>
    <w:rsid w:val="00C27775"/>
    <w:rsid w:val="00C279CF"/>
    <w:rsid w:val="00C27B2B"/>
    <w:rsid w:val="00C27BEC"/>
    <w:rsid w:val="00C27C4A"/>
    <w:rsid w:val="00C27D76"/>
    <w:rsid w:val="00C27E3F"/>
    <w:rsid w:val="00C300C6"/>
    <w:rsid w:val="00C300E4"/>
    <w:rsid w:val="00C30223"/>
    <w:rsid w:val="00C302B6"/>
    <w:rsid w:val="00C304DE"/>
    <w:rsid w:val="00C30708"/>
    <w:rsid w:val="00C30B33"/>
    <w:rsid w:val="00C30D21"/>
    <w:rsid w:val="00C30D95"/>
    <w:rsid w:val="00C30E2B"/>
    <w:rsid w:val="00C30E51"/>
    <w:rsid w:val="00C30FF6"/>
    <w:rsid w:val="00C31037"/>
    <w:rsid w:val="00C31159"/>
    <w:rsid w:val="00C311E4"/>
    <w:rsid w:val="00C31246"/>
    <w:rsid w:val="00C31270"/>
    <w:rsid w:val="00C3132A"/>
    <w:rsid w:val="00C3132B"/>
    <w:rsid w:val="00C3132C"/>
    <w:rsid w:val="00C313ED"/>
    <w:rsid w:val="00C3158F"/>
    <w:rsid w:val="00C315F4"/>
    <w:rsid w:val="00C3163D"/>
    <w:rsid w:val="00C3197F"/>
    <w:rsid w:val="00C31A3B"/>
    <w:rsid w:val="00C31A5D"/>
    <w:rsid w:val="00C31AA3"/>
    <w:rsid w:val="00C31AD0"/>
    <w:rsid w:val="00C31BA9"/>
    <w:rsid w:val="00C31C36"/>
    <w:rsid w:val="00C31C60"/>
    <w:rsid w:val="00C31C7F"/>
    <w:rsid w:val="00C31CBD"/>
    <w:rsid w:val="00C31D7E"/>
    <w:rsid w:val="00C31DCB"/>
    <w:rsid w:val="00C31E64"/>
    <w:rsid w:val="00C32045"/>
    <w:rsid w:val="00C320A6"/>
    <w:rsid w:val="00C320AC"/>
    <w:rsid w:val="00C321DE"/>
    <w:rsid w:val="00C3222A"/>
    <w:rsid w:val="00C3222D"/>
    <w:rsid w:val="00C3227E"/>
    <w:rsid w:val="00C3228C"/>
    <w:rsid w:val="00C322D3"/>
    <w:rsid w:val="00C32381"/>
    <w:rsid w:val="00C323EF"/>
    <w:rsid w:val="00C323F6"/>
    <w:rsid w:val="00C32429"/>
    <w:rsid w:val="00C32680"/>
    <w:rsid w:val="00C3278A"/>
    <w:rsid w:val="00C327DF"/>
    <w:rsid w:val="00C3293A"/>
    <w:rsid w:val="00C329AF"/>
    <w:rsid w:val="00C32A2A"/>
    <w:rsid w:val="00C32A92"/>
    <w:rsid w:val="00C32BCB"/>
    <w:rsid w:val="00C32C6D"/>
    <w:rsid w:val="00C32C7A"/>
    <w:rsid w:val="00C32DB5"/>
    <w:rsid w:val="00C32E7D"/>
    <w:rsid w:val="00C33093"/>
    <w:rsid w:val="00C330BB"/>
    <w:rsid w:val="00C33113"/>
    <w:rsid w:val="00C3312D"/>
    <w:rsid w:val="00C3318E"/>
    <w:rsid w:val="00C331A1"/>
    <w:rsid w:val="00C3335A"/>
    <w:rsid w:val="00C33362"/>
    <w:rsid w:val="00C3343F"/>
    <w:rsid w:val="00C3347B"/>
    <w:rsid w:val="00C33534"/>
    <w:rsid w:val="00C33594"/>
    <w:rsid w:val="00C338B9"/>
    <w:rsid w:val="00C338EC"/>
    <w:rsid w:val="00C33A9C"/>
    <w:rsid w:val="00C33ACE"/>
    <w:rsid w:val="00C33B27"/>
    <w:rsid w:val="00C33B43"/>
    <w:rsid w:val="00C33B5C"/>
    <w:rsid w:val="00C33B76"/>
    <w:rsid w:val="00C33BCF"/>
    <w:rsid w:val="00C33E4D"/>
    <w:rsid w:val="00C33EE6"/>
    <w:rsid w:val="00C33FB6"/>
    <w:rsid w:val="00C3405C"/>
    <w:rsid w:val="00C34082"/>
    <w:rsid w:val="00C340AD"/>
    <w:rsid w:val="00C34168"/>
    <w:rsid w:val="00C34285"/>
    <w:rsid w:val="00C342A9"/>
    <w:rsid w:val="00C342AB"/>
    <w:rsid w:val="00C3444A"/>
    <w:rsid w:val="00C3448A"/>
    <w:rsid w:val="00C3459A"/>
    <w:rsid w:val="00C347A2"/>
    <w:rsid w:val="00C34811"/>
    <w:rsid w:val="00C3482A"/>
    <w:rsid w:val="00C34883"/>
    <w:rsid w:val="00C34888"/>
    <w:rsid w:val="00C3499F"/>
    <w:rsid w:val="00C34C39"/>
    <w:rsid w:val="00C34CF0"/>
    <w:rsid w:val="00C34F2F"/>
    <w:rsid w:val="00C34FD7"/>
    <w:rsid w:val="00C35114"/>
    <w:rsid w:val="00C35295"/>
    <w:rsid w:val="00C3541F"/>
    <w:rsid w:val="00C35453"/>
    <w:rsid w:val="00C35541"/>
    <w:rsid w:val="00C3557F"/>
    <w:rsid w:val="00C356E0"/>
    <w:rsid w:val="00C3587A"/>
    <w:rsid w:val="00C358DA"/>
    <w:rsid w:val="00C359B4"/>
    <w:rsid w:val="00C359FB"/>
    <w:rsid w:val="00C35B1C"/>
    <w:rsid w:val="00C35B77"/>
    <w:rsid w:val="00C35BFA"/>
    <w:rsid w:val="00C35C01"/>
    <w:rsid w:val="00C35C56"/>
    <w:rsid w:val="00C35C80"/>
    <w:rsid w:val="00C35CF0"/>
    <w:rsid w:val="00C35D3F"/>
    <w:rsid w:val="00C35D79"/>
    <w:rsid w:val="00C35EE3"/>
    <w:rsid w:val="00C35F92"/>
    <w:rsid w:val="00C35F9F"/>
    <w:rsid w:val="00C36053"/>
    <w:rsid w:val="00C36187"/>
    <w:rsid w:val="00C361BA"/>
    <w:rsid w:val="00C361D5"/>
    <w:rsid w:val="00C361D6"/>
    <w:rsid w:val="00C362C9"/>
    <w:rsid w:val="00C362EA"/>
    <w:rsid w:val="00C36311"/>
    <w:rsid w:val="00C363CC"/>
    <w:rsid w:val="00C364B6"/>
    <w:rsid w:val="00C364B9"/>
    <w:rsid w:val="00C364CB"/>
    <w:rsid w:val="00C36856"/>
    <w:rsid w:val="00C36914"/>
    <w:rsid w:val="00C3698F"/>
    <w:rsid w:val="00C36B55"/>
    <w:rsid w:val="00C36C2D"/>
    <w:rsid w:val="00C36C5F"/>
    <w:rsid w:val="00C36CE5"/>
    <w:rsid w:val="00C36D5A"/>
    <w:rsid w:val="00C36DDA"/>
    <w:rsid w:val="00C36E4B"/>
    <w:rsid w:val="00C36E4F"/>
    <w:rsid w:val="00C36E77"/>
    <w:rsid w:val="00C36E9C"/>
    <w:rsid w:val="00C36EEA"/>
    <w:rsid w:val="00C36FA4"/>
    <w:rsid w:val="00C3701F"/>
    <w:rsid w:val="00C3702F"/>
    <w:rsid w:val="00C37148"/>
    <w:rsid w:val="00C37305"/>
    <w:rsid w:val="00C3731F"/>
    <w:rsid w:val="00C373A8"/>
    <w:rsid w:val="00C373F6"/>
    <w:rsid w:val="00C3743E"/>
    <w:rsid w:val="00C378B2"/>
    <w:rsid w:val="00C378FC"/>
    <w:rsid w:val="00C37957"/>
    <w:rsid w:val="00C37B00"/>
    <w:rsid w:val="00C37B39"/>
    <w:rsid w:val="00C37B43"/>
    <w:rsid w:val="00C37B83"/>
    <w:rsid w:val="00C37BAE"/>
    <w:rsid w:val="00C37BDA"/>
    <w:rsid w:val="00C37D66"/>
    <w:rsid w:val="00C37E2E"/>
    <w:rsid w:val="00C37E6E"/>
    <w:rsid w:val="00C37E7C"/>
    <w:rsid w:val="00C37FAF"/>
    <w:rsid w:val="00C40090"/>
    <w:rsid w:val="00C40110"/>
    <w:rsid w:val="00C40175"/>
    <w:rsid w:val="00C401E0"/>
    <w:rsid w:val="00C403C2"/>
    <w:rsid w:val="00C404C1"/>
    <w:rsid w:val="00C40508"/>
    <w:rsid w:val="00C40719"/>
    <w:rsid w:val="00C4074F"/>
    <w:rsid w:val="00C408BD"/>
    <w:rsid w:val="00C40986"/>
    <w:rsid w:val="00C40A0C"/>
    <w:rsid w:val="00C40A6E"/>
    <w:rsid w:val="00C40AFE"/>
    <w:rsid w:val="00C40BE9"/>
    <w:rsid w:val="00C40BF1"/>
    <w:rsid w:val="00C40C8E"/>
    <w:rsid w:val="00C40CA1"/>
    <w:rsid w:val="00C40E55"/>
    <w:rsid w:val="00C40ED6"/>
    <w:rsid w:val="00C40FE4"/>
    <w:rsid w:val="00C41062"/>
    <w:rsid w:val="00C410ED"/>
    <w:rsid w:val="00C412C2"/>
    <w:rsid w:val="00C4137B"/>
    <w:rsid w:val="00C41497"/>
    <w:rsid w:val="00C414DF"/>
    <w:rsid w:val="00C41536"/>
    <w:rsid w:val="00C415A2"/>
    <w:rsid w:val="00C41626"/>
    <w:rsid w:val="00C4175F"/>
    <w:rsid w:val="00C4182C"/>
    <w:rsid w:val="00C41844"/>
    <w:rsid w:val="00C4197F"/>
    <w:rsid w:val="00C41A0D"/>
    <w:rsid w:val="00C41AB4"/>
    <w:rsid w:val="00C41AC5"/>
    <w:rsid w:val="00C41D26"/>
    <w:rsid w:val="00C41D2D"/>
    <w:rsid w:val="00C41EAF"/>
    <w:rsid w:val="00C41F2F"/>
    <w:rsid w:val="00C42066"/>
    <w:rsid w:val="00C42099"/>
    <w:rsid w:val="00C42226"/>
    <w:rsid w:val="00C4222B"/>
    <w:rsid w:val="00C42341"/>
    <w:rsid w:val="00C4238A"/>
    <w:rsid w:val="00C42436"/>
    <w:rsid w:val="00C4243A"/>
    <w:rsid w:val="00C424C4"/>
    <w:rsid w:val="00C42581"/>
    <w:rsid w:val="00C426BF"/>
    <w:rsid w:val="00C427C4"/>
    <w:rsid w:val="00C429B3"/>
    <w:rsid w:val="00C429FA"/>
    <w:rsid w:val="00C42A74"/>
    <w:rsid w:val="00C42B1D"/>
    <w:rsid w:val="00C42B26"/>
    <w:rsid w:val="00C42B57"/>
    <w:rsid w:val="00C42B6C"/>
    <w:rsid w:val="00C42CAE"/>
    <w:rsid w:val="00C42D5C"/>
    <w:rsid w:val="00C42E47"/>
    <w:rsid w:val="00C42E85"/>
    <w:rsid w:val="00C42EDB"/>
    <w:rsid w:val="00C430F6"/>
    <w:rsid w:val="00C4314D"/>
    <w:rsid w:val="00C4316A"/>
    <w:rsid w:val="00C4327D"/>
    <w:rsid w:val="00C43283"/>
    <w:rsid w:val="00C4335D"/>
    <w:rsid w:val="00C4343F"/>
    <w:rsid w:val="00C434B7"/>
    <w:rsid w:val="00C4353D"/>
    <w:rsid w:val="00C4356F"/>
    <w:rsid w:val="00C437F2"/>
    <w:rsid w:val="00C43862"/>
    <w:rsid w:val="00C438D8"/>
    <w:rsid w:val="00C438FE"/>
    <w:rsid w:val="00C43A35"/>
    <w:rsid w:val="00C43BB0"/>
    <w:rsid w:val="00C43BC1"/>
    <w:rsid w:val="00C43C2E"/>
    <w:rsid w:val="00C43C60"/>
    <w:rsid w:val="00C43CFA"/>
    <w:rsid w:val="00C43D95"/>
    <w:rsid w:val="00C43F44"/>
    <w:rsid w:val="00C43F5F"/>
    <w:rsid w:val="00C4409B"/>
    <w:rsid w:val="00C44149"/>
    <w:rsid w:val="00C44273"/>
    <w:rsid w:val="00C44288"/>
    <w:rsid w:val="00C44342"/>
    <w:rsid w:val="00C443A3"/>
    <w:rsid w:val="00C443B7"/>
    <w:rsid w:val="00C44513"/>
    <w:rsid w:val="00C449AF"/>
    <w:rsid w:val="00C449F3"/>
    <w:rsid w:val="00C44A2B"/>
    <w:rsid w:val="00C44B00"/>
    <w:rsid w:val="00C44B18"/>
    <w:rsid w:val="00C44B4F"/>
    <w:rsid w:val="00C44C1D"/>
    <w:rsid w:val="00C44CD9"/>
    <w:rsid w:val="00C44D09"/>
    <w:rsid w:val="00C44DC6"/>
    <w:rsid w:val="00C44E1C"/>
    <w:rsid w:val="00C44E1F"/>
    <w:rsid w:val="00C44E8A"/>
    <w:rsid w:val="00C44ECD"/>
    <w:rsid w:val="00C44F6F"/>
    <w:rsid w:val="00C44FE0"/>
    <w:rsid w:val="00C44FF4"/>
    <w:rsid w:val="00C450CF"/>
    <w:rsid w:val="00C451E5"/>
    <w:rsid w:val="00C451EC"/>
    <w:rsid w:val="00C45274"/>
    <w:rsid w:val="00C453CE"/>
    <w:rsid w:val="00C45554"/>
    <w:rsid w:val="00C45775"/>
    <w:rsid w:val="00C45827"/>
    <w:rsid w:val="00C45860"/>
    <w:rsid w:val="00C4586A"/>
    <w:rsid w:val="00C4593C"/>
    <w:rsid w:val="00C45A10"/>
    <w:rsid w:val="00C45A82"/>
    <w:rsid w:val="00C45AAE"/>
    <w:rsid w:val="00C45B97"/>
    <w:rsid w:val="00C45D98"/>
    <w:rsid w:val="00C45E21"/>
    <w:rsid w:val="00C45E6B"/>
    <w:rsid w:val="00C45F5E"/>
    <w:rsid w:val="00C45FCC"/>
    <w:rsid w:val="00C45FF2"/>
    <w:rsid w:val="00C460BB"/>
    <w:rsid w:val="00C46112"/>
    <w:rsid w:val="00C461E3"/>
    <w:rsid w:val="00C46317"/>
    <w:rsid w:val="00C46443"/>
    <w:rsid w:val="00C465D7"/>
    <w:rsid w:val="00C46624"/>
    <w:rsid w:val="00C46698"/>
    <w:rsid w:val="00C466A6"/>
    <w:rsid w:val="00C4679A"/>
    <w:rsid w:val="00C46884"/>
    <w:rsid w:val="00C469B2"/>
    <w:rsid w:val="00C46A12"/>
    <w:rsid w:val="00C46A94"/>
    <w:rsid w:val="00C46ACF"/>
    <w:rsid w:val="00C46B2A"/>
    <w:rsid w:val="00C46B56"/>
    <w:rsid w:val="00C46C74"/>
    <w:rsid w:val="00C46C7C"/>
    <w:rsid w:val="00C46F05"/>
    <w:rsid w:val="00C4704A"/>
    <w:rsid w:val="00C470A6"/>
    <w:rsid w:val="00C471DC"/>
    <w:rsid w:val="00C471F6"/>
    <w:rsid w:val="00C47342"/>
    <w:rsid w:val="00C473C7"/>
    <w:rsid w:val="00C47404"/>
    <w:rsid w:val="00C4762A"/>
    <w:rsid w:val="00C47768"/>
    <w:rsid w:val="00C47789"/>
    <w:rsid w:val="00C4780B"/>
    <w:rsid w:val="00C4784C"/>
    <w:rsid w:val="00C47857"/>
    <w:rsid w:val="00C478DA"/>
    <w:rsid w:val="00C4796F"/>
    <w:rsid w:val="00C479DA"/>
    <w:rsid w:val="00C47AA0"/>
    <w:rsid w:val="00C47AF1"/>
    <w:rsid w:val="00C47CA1"/>
    <w:rsid w:val="00C47D2B"/>
    <w:rsid w:val="00C47D34"/>
    <w:rsid w:val="00C47DA9"/>
    <w:rsid w:val="00C47EBD"/>
    <w:rsid w:val="00C47ED7"/>
    <w:rsid w:val="00C47F5F"/>
    <w:rsid w:val="00C47FA8"/>
    <w:rsid w:val="00C500D5"/>
    <w:rsid w:val="00C5013B"/>
    <w:rsid w:val="00C501F2"/>
    <w:rsid w:val="00C50225"/>
    <w:rsid w:val="00C50255"/>
    <w:rsid w:val="00C50511"/>
    <w:rsid w:val="00C5059E"/>
    <w:rsid w:val="00C505E1"/>
    <w:rsid w:val="00C50891"/>
    <w:rsid w:val="00C508E5"/>
    <w:rsid w:val="00C5095D"/>
    <w:rsid w:val="00C509B6"/>
    <w:rsid w:val="00C50A1B"/>
    <w:rsid w:val="00C50A87"/>
    <w:rsid w:val="00C50AD1"/>
    <w:rsid w:val="00C50B01"/>
    <w:rsid w:val="00C50B67"/>
    <w:rsid w:val="00C50C0D"/>
    <w:rsid w:val="00C50CE2"/>
    <w:rsid w:val="00C50D4E"/>
    <w:rsid w:val="00C50DD4"/>
    <w:rsid w:val="00C50E39"/>
    <w:rsid w:val="00C51135"/>
    <w:rsid w:val="00C51201"/>
    <w:rsid w:val="00C5142A"/>
    <w:rsid w:val="00C514A8"/>
    <w:rsid w:val="00C515BA"/>
    <w:rsid w:val="00C51610"/>
    <w:rsid w:val="00C517E3"/>
    <w:rsid w:val="00C5190F"/>
    <w:rsid w:val="00C51969"/>
    <w:rsid w:val="00C51A09"/>
    <w:rsid w:val="00C51A8D"/>
    <w:rsid w:val="00C51B3E"/>
    <w:rsid w:val="00C51C93"/>
    <w:rsid w:val="00C51CED"/>
    <w:rsid w:val="00C51DEC"/>
    <w:rsid w:val="00C51E6C"/>
    <w:rsid w:val="00C520BE"/>
    <w:rsid w:val="00C5219D"/>
    <w:rsid w:val="00C521C7"/>
    <w:rsid w:val="00C52277"/>
    <w:rsid w:val="00C5230C"/>
    <w:rsid w:val="00C523AB"/>
    <w:rsid w:val="00C523AE"/>
    <w:rsid w:val="00C5243A"/>
    <w:rsid w:val="00C524A2"/>
    <w:rsid w:val="00C52513"/>
    <w:rsid w:val="00C52547"/>
    <w:rsid w:val="00C52572"/>
    <w:rsid w:val="00C52597"/>
    <w:rsid w:val="00C525CD"/>
    <w:rsid w:val="00C526FB"/>
    <w:rsid w:val="00C5274C"/>
    <w:rsid w:val="00C5283E"/>
    <w:rsid w:val="00C52877"/>
    <w:rsid w:val="00C52A28"/>
    <w:rsid w:val="00C52A5B"/>
    <w:rsid w:val="00C52A88"/>
    <w:rsid w:val="00C52AC7"/>
    <w:rsid w:val="00C52B06"/>
    <w:rsid w:val="00C52B9F"/>
    <w:rsid w:val="00C52BD1"/>
    <w:rsid w:val="00C52CA9"/>
    <w:rsid w:val="00C52CBF"/>
    <w:rsid w:val="00C52D75"/>
    <w:rsid w:val="00C52DD7"/>
    <w:rsid w:val="00C52F05"/>
    <w:rsid w:val="00C53067"/>
    <w:rsid w:val="00C530AA"/>
    <w:rsid w:val="00C53100"/>
    <w:rsid w:val="00C533BB"/>
    <w:rsid w:val="00C53400"/>
    <w:rsid w:val="00C535C3"/>
    <w:rsid w:val="00C536AF"/>
    <w:rsid w:val="00C53709"/>
    <w:rsid w:val="00C537F2"/>
    <w:rsid w:val="00C53818"/>
    <w:rsid w:val="00C5388E"/>
    <w:rsid w:val="00C538E9"/>
    <w:rsid w:val="00C539B2"/>
    <w:rsid w:val="00C53A39"/>
    <w:rsid w:val="00C53A4A"/>
    <w:rsid w:val="00C53A4D"/>
    <w:rsid w:val="00C53C45"/>
    <w:rsid w:val="00C53CE8"/>
    <w:rsid w:val="00C53CF2"/>
    <w:rsid w:val="00C53D7B"/>
    <w:rsid w:val="00C54268"/>
    <w:rsid w:val="00C54388"/>
    <w:rsid w:val="00C5445F"/>
    <w:rsid w:val="00C544F4"/>
    <w:rsid w:val="00C547C9"/>
    <w:rsid w:val="00C54912"/>
    <w:rsid w:val="00C54A1D"/>
    <w:rsid w:val="00C54AE5"/>
    <w:rsid w:val="00C54C5F"/>
    <w:rsid w:val="00C54CE0"/>
    <w:rsid w:val="00C54D0C"/>
    <w:rsid w:val="00C54D92"/>
    <w:rsid w:val="00C54DEF"/>
    <w:rsid w:val="00C54E0B"/>
    <w:rsid w:val="00C54F9F"/>
    <w:rsid w:val="00C55138"/>
    <w:rsid w:val="00C5516F"/>
    <w:rsid w:val="00C551E0"/>
    <w:rsid w:val="00C552AB"/>
    <w:rsid w:val="00C55310"/>
    <w:rsid w:val="00C55374"/>
    <w:rsid w:val="00C55493"/>
    <w:rsid w:val="00C5557C"/>
    <w:rsid w:val="00C555ED"/>
    <w:rsid w:val="00C55700"/>
    <w:rsid w:val="00C5574D"/>
    <w:rsid w:val="00C55753"/>
    <w:rsid w:val="00C5576B"/>
    <w:rsid w:val="00C557BB"/>
    <w:rsid w:val="00C55A45"/>
    <w:rsid w:val="00C55C80"/>
    <w:rsid w:val="00C55C9E"/>
    <w:rsid w:val="00C55D08"/>
    <w:rsid w:val="00C55D72"/>
    <w:rsid w:val="00C55DB8"/>
    <w:rsid w:val="00C55E76"/>
    <w:rsid w:val="00C56066"/>
    <w:rsid w:val="00C560CF"/>
    <w:rsid w:val="00C560E1"/>
    <w:rsid w:val="00C5613F"/>
    <w:rsid w:val="00C56155"/>
    <w:rsid w:val="00C56204"/>
    <w:rsid w:val="00C56311"/>
    <w:rsid w:val="00C5639F"/>
    <w:rsid w:val="00C563AD"/>
    <w:rsid w:val="00C563D1"/>
    <w:rsid w:val="00C563DE"/>
    <w:rsid w:val="00C56449"/>
    <w:rsid w:val="00C5646C"/>
    <w:rsid w:val="00C564DE"/>
    <w:rsid w:val="00C565AE"/>
    <w:rsid w:val="00C565CD"/>
    <w:rsid w:val="00C565E5"/>
    <w:rsid w:val="00C5666D"/>
    <w:rsid w:val="00C566F1"/>
    <w:rsid w:val="00C56848"/>
    <w:rsid w:val="00C569D5"/>
    <w:rsid w:val="00C56A19"/>
    <w:rsid w:val="00C56AC3"/>
    <w:rsid w:val="00C56AE0"/>
    <w:rsid w:val="00C56B20"/>
    <w:rsid w:val="00C56B8A"/>
    <w:rsid w:val="00C56C31"/>
    <w:rsid w:val="00C56C5A"/>
    <w:rsid w:val="00C56D91"/>
    <w:rsid w:val="00C56DBA"/>
    <w:rsid w:val="00C56E97"/>
    <w:rsid w:val="00C5703A"/>
    <w:rsid w:val="00C571FF"/>
    <w:rsid w:val="00C5720F"/>
    <w:rsid w:val="00C57309"/>
    <w:rsid w:val="00C573B0"/>
    <w:rsid w:val="00C5746F"/>
    <w:rsid w:val="00C574B2"/>
    <w:rsid w:val="00C574BF"/>
    <w:rsid w:val="00C574C7"/>
    <w:rsid w:val="00C57541"/>
    <w:rsid w:val="00C57599"/>
    <w:rsid w:val="00C576F0"/>
    <w:rsid w:val="00C57721"/>
    <w:rsid w:val="00C577C9"/>
    <w:rsid w:val="00C578E9"/>
    <w:rsid w:val="00C57A4A"/>
    <w:rsid w:val="00C57A7D"/>
    <w:rsid w:val="00C57B7A"/>
    <w:rsid w:val="00C57C0F"/>
    <w:rsid w:val="00C57C16"/>
    <w:rsid w:val="00C57CAD"/>
    <w:rsid w:val="00C57D10"/>
    <w:rsid w:val="00C57DF3"/>
    <w:rsid w:val="00C57E83"/>
    <w:rsid w:val="00C57ED8"/>
    <w:rsid w:val="00C57EE7"/>
    <w:rsid w:val="00C57EED"/>
    <w:rsid w:val="00C57F79"/>
    <w:rsid w:val="00C6004C"/>
    <w:rsid w:val="00C600D7"/>
    <w:rsid w:val="00C6024E"/>
    <w:rsid w:val="00C602B6"/>
    <w:rsid w:val="00C602DB"/>
    <w:rsid w:val="00C602FE"/>
    <w:rsid w:val="00C60310"/>
    <w:rsid w:val="00C60432"/>
    <w:rsid w:val="00C60516"/>
    <w:rsid w:val="00C606E4"/>
    <w:rsid w:val="00C6073C"/>
    <w:rsid w:val="00C60773"/>
    <w:rsid w:val="00C607F9"/>
    <w:rsid w:val="00C60849"/>
    <w:rsid w:val="00C60876"/>
    <w:rsid w:val="00C608A0"/>
    <w:rsid w:val="00C60939"/>
    <w:rsid w:val="00C609CB"/>
    <w:rsid w:val="00C60ACD"/>
    <w:rsid w:val="00C60B34"/>
    <w:rsid w:val="00C60C4C"/>
    <w:rsid w:val="00C60DC9"/>
    <w:rsid w:val="00C60DD5"/>
    <w:rsid w:val="00C60E21"/>
    <w:rsid w:val="00C60E44"/>
    <w:rsid w:val="00C60E82"/>
    <w:rsid w:val="00C60EC4"/>
    <w:rsid w:val="00C60F24"/>
    <w:rsid w:val="00C60FDC"/>
    <w:rsid w:val="00C61094"/>
    <w:rsid w:val="00C61132"/>
    <w:rsid w:val="00C61229"/>
    <w:rsid w:val="00C61237"/>
    <w:rsid w:val="00C6125A"/>
    <w:rsid w:val="00C61374"/>
    <w:rsid w:val="00C613C9"/>
    <w:rsid w:val="00C61464"/>
    <w:rsid w:val="00C6157D"/>
    <w:rsid w:val="00C6159A"/>
    <w:rsid w:val="00C61622"/>
    <w:rsid w:val="00C616D8"/>
    <w:rsid w:val="00C617AF"/>
    <w:rsid w:val="00C617D9"/>
    <w:rsid w:val="00C617DA"/>
    <w:rsid w:val="00C61822"/>
    <w:rsid w:val="00C618AB"/>
    <w:rsid w:val="00C6192F"/>
    <w:rsid w:val="00C619A7"/>
    <w:rsid w:val="00C61A11"/>
    <w:rsid w:val="00C61A39"/>
    <w:rsid w:val="00C61A49"/>
    <w:rsid w:val="00C61A53"/>
    <w:rsid w:val="00C61B3D"/>
    <w:rsid w:val="00C61B8C"/>
    <w:rsid w:val="00C61D79"/>
    <w:rsid w:val="00C61E46"/>
    <w:rsid w:val="00C61FF0"/>
    <w:rsid w:val="00C61FFA"/>
    <w:rsid w:val="00C6201D"/>
    <w:rsid w:val="00C62097"/>
    <w:rsid w:val="00C62121"/>
    <w:rsid w:val="00C621F1"/>
    <w:rsid w:val="00C62207"/>
    <w:rsid w:val="00C624F4"/>
    <w:rsid w:val="00C625E7"/>
    <w:rsid w:val="00C62737"/>
    <w:rsid w:val="00C627D7"/>
    <w:rsid w:val="00C629A7"/>
    <w:rsid w:val="00C62A88"/>
    <w:rsid w:val="00C62B75"/>
    <w:rsid w:val="00C62BFD"/>
    <w:rsid w:val="00C62D89"/>
    <w:rsid w:val="00C62DF9"/>
    <w:rsid w:val="00C62E1C"/>
    <w:rsid w:val="00C62F40"/>
    <w:rsid w:val="00C62F65"/>
    <w:rsid w:val="00C62FF0"/>
    <w:rsid w:val="00C63239"/>
    <w:rsid w:val="00C63253"/>
    <w:rsid w:val="00C63272"/>
    <w:rsid w:val="00C632F3"/>
    <w:rsid w:val="00C6333B"/>
    <w:rsid w:val="00C6335C"/>
    <w:rsid w:val="00C633D1"/>
    <w:rsid w:val="00C633E5"/>
    <w:rsid w:val="00C633F6"/>
    <w:rsid w:val="00C6345A"/>
    <w:rsid w:val="00C6357D"/>
    <w:rsid w:val="00C63634"/>
    <w:rsid w:val="00C6365D"/>
    <w:rsid w:val="00C63733"/>
    <w:rsid w:val="00C63782"/>
    <w:rsid w:val="00C637CD"/>
    <w:rsid w:val="00C637F8"/>
    <w:rsid w:val="00C63821"/>
    <w:rsid w:val="00C6383F"/>
    <w:rsid w:val="00C6390B"/>
    <w:rsid w:val="00C63967"/>
    <w:rsid w:val="00C63990"/>
    <w:rsid w:val="00C63BEF"/>
    <w:rsid w:val="00C63C1D"/>
    <w:rsid w:val="00C63D65"/>
    <w:rsid w:val="00C63D80"/>
    <w:rsid w:val="00C63D8C"/>
    <w:rsid w:val="00C63DF7"/>
    <w:rsid w:val="00C64205"/>
    <w:rsid w:val="00C64355"/>
    <w:rsid w:val="00C643F3"/>
    <w:rsid w:val="00C6445F"/>
    <w:rsid w:val="00C6446B"/>
    <w:rsid w:val="00C644C5"/>
    <w:rsid w:val="00C644FD"/>
    <w:rsid w:val="00C64510"/>
    <w:rsid w:val="00C64564"/>
    <w:rsid w:val="00C64676"/>
    <w:rsid w:val="00C64687"/>
    <w:rsid w:val="00C64854"/>
    <w:rsid w:val="00C648B4"/>
    <w:rsid w:val="00C648DA"/>
    <w:rsid w:val="00C648E5"/>
    <w:rsid w:val="00C6496A"/>
    <w:rsid w:val="00C6498A"/>
    <w:rsid w:val="00C64A19"/>
    <w:rsid w:val="00C64BB3"/>
    <w:rsid w:val="00C64E89"/>
    <w:rsid w:val="00C64FFE"/>
    <w:rsid w:val="00C650C9"/>
    <w:rsid w:val="00C6523E"/>
    <w:rsid w:val="00C65626"/>
    <w:rsid w:val="00C656AA"/>
    <w:rsid w:val="00C65721"/>
    <w:rsid w:val="00C6578F"/>
    <w:rsid w:val="00C6586A"/>
    <w:rsid w:val="00C65951"/>
    <w:rsid w:val="00C65A74"/>
    <w:rsid w:val="00C65AAC"/>
    <w:rsid w:val="00C65C26"/>
    <w:rsid w:val="00C65D2C"/>
    <w:rsid w:val="00C65DE5"/>
    <w:rsid w:val="00C65DE6"/>
    <w:rsid w:val="00C65DFD"/>
    <w:rsid w:val="00C65E07"/>
    <w:rsid w:val="00C65E12"/>
    <w:rsid w:val="00C65FED"/>
    <w:rsid w:val="00C660D6"/>
    <w:rsid w:val="00C660FA"/>
    <w:rsid w:val="00C6628C"/>
    <w:rsid w:val="00C66295"/>
    <w:rsid w:val="00C663CC"/>
    <w:rsid w:val="00C6650A"/>
    <w:rsid w:val="00C66548"/>
    <w:rsid w:val="00C665C1"/>
    <w:rsid w:val="00C667C8"/>
    <w:rsid w:val="00C66821"/>
    <w:rsid w:val="00C66847"/>
    <w:rsid w:val="00C66A8E"/>
    <w:rsid w:val="00C66AF4"/>
    <w:rsid w:val="00C66B9A"/>
    <w:rsid w:val="00C66BCF"/>
    <w:rsid w:val="00C66CC7"/>
    <w:rsid w:val="00C66D77"/>
    <w:rsid w:val="00C66F76"/>
    <w:rsid w:val="00C66F96"/>
    <w:rsid w:val="00C66F9E"/>
    <w:rsid w:val="00C670CB"/>
    <w:rsid w:val="00C670F8"/>
    <w:rsid w:val="00C67160"/>
    <w:rsid w:val="00C6734B"/>
    <w:rsid w:val="00C67465"/>
    <w:rsid w:val="00C674D1"/>
    <w:rsid w:val="00C67753"/>
    <w:rsid w:val="00C6775E"/>
    <w:rsid w:val="00C6777B"/>
    <w:rsid w:val="00C677FB"/>
    <w:rsid w:val="00C67935"/>
    <w:rsid w:val="00C67ACC"/>
    <w:rsid w:val="00C67AEC"/>
    <w:rsid w:val="00C67BBA"/>
    <w:rsid w:val="00C67C45"/>
    <w:rsid w:val="00C67E3D"/>
    <w:rsid w:val="00C67E60"/>
    <w:rsid w:val="00C67EB2"/>
    <w:rsid w:val="00C67EED"/>
    <w:rsid w:val="00C67F08"/>
    <w:rsid w:val="00C67F97"/>
    <w:rsid w:val="00C70032"/>
    <w:rsid w:val="00C70034"/>
    <w:rsid w:val="00C70097"/>
    <w:rsid w:val="00C700FA"/>
    <w:rsid w:val="00C70104"/>
    <w:rsid w:val="00C70237"/>
    <w:rsid w:val="00C702B7"/>
    <w:rsid w:val="00C702E2"/>
    <w:rsid w:val="00C702E8"/>
    <w:rsid w:val="00C704CD"/>
    <w:rsid w:val="00C70620"/>
    <w:rsid w:val="00C706C1"/>
    <w:rsid w:val="00C706C2"/>
    <w:rsid w:val="00C70781"/>
    <w:rsid w:val="00C70945"/>
    <w:rsid w:val="00C70950"/>
    <w:rsid w:val="00C70A94"/>
    <w:rsid w:val="00C70B5D"/>
    <w:rsid w:val="00C70BA8"/>
    <w:rsid w:val="00C70C20"/>
    <w:rsid w:val="00C70C70"/>
    <w:rsid w:val="00C70CA5"/>
    <w:rsid w:val="00C70D5E"/>
    <w:rsid w:val="00C70DB7"/>
    <w:rsid w:val="00C70F90"/>
    <w:rsid w:val="00C710A0"/>
    <w:rsid w:val="00C7130F"/>
    <w:rsid w:val="00C71331"/>
    <w:rsid w:val="00C71368"/>
    <w:rsid w:val="00C71404"/>
    <w:rsid w:val="00C7144F"/>
    <w:rsid w:val="00C71587"/>
    <w:rsid w:val="00C715AE"/>
    <w:rsid w:val="00C715F9"/>
    <w:rsid w:val="00C71668"/>
    <w:rsid w:val="00C717C2"/>
    <w:rsid w:val="00C717D4"/>
    <w:rsid w:val="00C71908"/>
    <w:rsid w:val="00C7192E"/>
    <w:rsid w:val="00C719D3"/>
    <w:rsid w:val="00C71B4F"/>
    <w:rsid w:val="00C71C01"/>
    <w:rsid w:val="00C71D3A"/>
    <w:rsid w:val="00C71D3B"/>
    <w:rsid w:val="00C71D99"/>
    <w:rsid w:val="00C71DA6"/>
    <w:rsid w:val="00C72037"/>
    <w:rsid w:val="00C72079"/>
    <w:rsid w:val="00C720C1"/>
    <w:rsid w:val="00C72169"/>
    <w:rsid w:val="00C7217F"/>
    <w:rsid w:val="00C72259"/>
    <w:rsid w:val="00C724A1"/>
    <w:rsid w:val="00C724DF"/>
    <w:rsid w:val="00C725E5"/>
    <w:rsid w:val="00C72647"/>
    <w:rsid w:val="00C7283B"/>
    <w:rsid w:val="00C72889"/>
    <w:rsid w:val="00C72894"/>
    <w:rsid w:val="00C72A54"/>
    <w:rsid w:val="00C72A9C"/>
    <w:rsid w:val="00C72B78"/>
    <w:rsid w:val="00C72B9B"/>
    <w:rsid w:val="00C72B9E"/>
    <w:rsid w:val="00C72CFA"/>
    <w:rsid w:val="00C72D5E"/>
    <w:rsid w:val="00C72D61"/>
    <w:rsid w:val="00C72E0E"/>
    <w:rsid w:val="00C72F3C"/>
    <w:rsid w:val="00C73016"/>
    <w:rsid w:val="00C73019"/>
    <w:rsid w:val="00C731F9"/>
    <w:rsid w:val="00C734E0"/>
    <w:rsid w:val="00C73524"/>
    <w:rsid w:val="00C73599"/>
    <w:rsid w:val="00C7366B"/>
    <w:rsid w:val="00C736A2"/>
    <w:rsid w:val="00C736AF"/>
    <w:rsid w:val="00C7382A"/>
    <w:rsid w:val="00C738C7"/>
    <w:rsid w:val="00C7391F"/>
    <w:rsid w:val="00C73BB5"/>
    <w:rsid w:val="00C73F85"/>
    <w:rsid w:val="00C73F93"/>
    <w:rsid w:val="00C74203"/>
    <w:rsid w:val="00C7422C"/>
    <w:rsid w:val="00C7422F"/>
    <w:rsid w:val="00C74343"/>
    <w:rsid w:val="00C74454"/>
    <w:rsid w:val="00C744F8"/>
    <w:rsid w:val="00C74529"/>
    <w:rsid w:val="00C745BC"/>
    <w:rsid w:val="00C746F1"/>
    <w:rsid w:val="00C748C5"/>
    <w:rsid w:val="00C748CD"/>
    <w:rsid w:val="00C74954"/>
    <w:rsid w:val="00C74A10"/>
    <w:rsid w:val="00C74A4E"/>
    <w:rsid w:val="00C74B67"/>
    <w:rsid w:val="00C74B8E"/>
    <w:rsid w:val="00C74BCC"/>
    <w:rsid w:val="00C74CE0"/>
    <w:rsid w:val="00C74D1E"/>
    <w:rsid w:val="00C74D24"/>
    <w:rsid w:val="00C74D98"/>
    <w:rsid w:val="00C74FB6"/>
    <w:rsid w:val="00C74FC6"/>
    <w:rsid w:val="00C7502B"/>
    <w:rsid w:val="00C7505B"/>
    <w:rsid w:val="00C751DE"/>
    <w:rsid w:val="00C752B1"/>
    <w:rsid w:val="00C752CC"/>
    <w:rsid w:val="00C753BD"/>
    <w:rsid w:val="00C75433"/>
    <w:rsid w:val="00C754AA"/>
    <w:rsid w:val="00C754FA"/>
    <w:rsid w:val="00C75557"/>
    <w:rsid w:val="00C7569D"/>
    <w:rsid w:val="00C756E5"/>
    <w:rsid w:val="00C756F6"/>
    <w:rsid w:val="00C757AC"/>
    <w:rsid w:val="00C757DC"/>
    <w:rsid w:val="00C75831"/>
    <w:rsid w:val="00C758B9"/>
    <w:rsid w:val="00C758DF"/>
    <w:rsid w:val="00C758F1"/>
    <w:rsid w:val="00C75980"/>
    <w:rsid w:val="00C75A26"/>
    <w:rsid w:val="00C75A2B"/>
    <w:rsid w:val="00C75A75"/>
    <w:rsid w:val="00C75AD6"/>
    <w:rsid w:val="00C75C1A"/>
    <w:rsid w:val="00C75CB7"/>
    <w:rsid w:val="00C75CD2"/>
    <w:rsid w:val="00C75D1B"/>
    <w:rsid w:val="00C75E4D"/>
    <w:rsid w:val="00C75FCF"/>
    <w:rsid w:val="00C7603C"/>
    <w:rsid w:val="00C76109"/>
    <w:rsid w:val="00C76127"/>
    <w:rsid w:val="00C761EC"/>
    <w:rsid w:val="00C762ED"/>
    <w:rsid w:val="00C764CD"/>
    <w:rsid w:val="00C76503"/>
    <w:rsid w:val="00C76566"/>
    <w:rsid w:val="00C765DA"/>
    <w:rsid w:val="00C76675"/>
    <w:rsid w:val="00C767A0"/>
    <w:rsid w:val="00C7695A"/>
    <w:rsid w:val="00C769AA"/>
    <w:rsid w:val="00C76A4D"/>
    <w:rsid w:val="00C76ACA"/>
    <w:rsid w:val="00C76AD4"/>
    <w:rsid w:val="00C76AEC"/>
    <w:rsid w:val="00C76B45"/>
    <w:rsid w:val="00C76C17"/>
    <w:rsid w:val="00C76C69"/>
    <w:rsid w:val="00C76C9C"/>
    <w:rsid w:val="00C76CE5"/>
    <w:rsid w:val="00C76DED"/>
    <w:rsid w:val="00C76EDC"/>
    <w:rsid w:val="00C76F26"/>
    <w:rsid w:val="00C77074"/>
    <w:rsid w:val="00C77199"/>
    <w:rsid w:val="00C773F6"/>
    <w:rsid w:val="00C7749A"/>
    <w:rsid w:val="00C7755F"/>
    <w:rsid w:val="00C7757A"/>
    <w:rsid w:val="00C775E3"/>
    <w:rsid w:val="00C77708"/>
    <w:rsid w:val="00C77866"/>
    <w:rsid w:val="00C7797D"/>
    <w:rsid w:val="00C77A39"/>
    <w:rsid w:val="00C77B62"/>
    <w:rsid w:val="00C77BB1"/>
    <w:rsid w:val="00C77C13"/>
    <w:rsid w:val="00C77C3E"/>
    <w:rsid w:val="00C77C7D"/>
    <w:rsid w:val="00C77CD2"/>
    <w:rsid w:val="00C77D2B"/>
    <w:rsid w:val="00C77E42"/>
    <w:rsid w:val="00C80014"/>
    <w:rsid w:val="00C800AA"/>
    <w:rsid w:val="00C8010F"/>
    <w:rsid w:val="00C80179"/>
    <w:rsid w:val="00C80221"/>
    <w:rsid w:val="00C80333"/>
    <w:rsid w:val="00C80537"/>
    <w:rsid w:val="00C8066E"/>
    <w:rsid w:val="00C8069F"/>
    <w:rsid w:val="00C80869"/>
    <w:rsid w:val="00C80A5A"/>
    <w:rsid w:val="00C80B8F"/>
    <w:rsid w:val="00C80BB3"/>
    <w:rsid w:val="00C80BDD"/>
    <w:rsid w:val="00C80C7F"/>
    <w:rsid w:val="00C80ECF"/>
    <w:rsid w:val="00C80EE5"/>
    <w:rsid w:val="00C81010"/>
    <w:rsid w:val="00C81145"/>
    <w:rsid w:val="00C81252"/>
    <w:rsid w:val="00C81254"/>
    <w:rsid w:val="00C81290"/>
    <w:rsid w:val="00C8134F"/>
    <w:rsid w:val="00C81385"/>
    <w:rsid w:val="00C813C4"/>
    <w:rsid w:val="00C8142E"/>
    <w:rsid w:val="00C8146A"/>
    <w:rsid w:val="00C815A1"/>
    <w:rsid w:val="00C816DF"/>
    <w:rsid w:val="00C8172C"/>
    <w:rsid w:val="00C81775"/>
    <w:rsid w:val="00C817B9"/>
    <w:rsid w:val="00C8189F"/>
    <w:rsid w:val="00C818E6"/>
    <w:rsid w:val="00C81AFE"/>
    <w:rsid w:val="00C81B31"/>
    <w:rsid w:val="00C81D0E"/>
    <w:rsid w:val="00C81D14"/>
    <w:rsid w:val="00C81F5B"/>
    <w:rsid w:val="00C821D5"/>
    <w:rsid w:val="00C82489"/>
    <w:rsid w:val="00C827ED"/>
    <w:rsid w:val="00C828A5"/>
    <w:rsid w:val="00C82A83"/>
    <w:rsid w:val="00C82B3A"/>
    <w:rsid w:val="00C82B94"/>
    <w:rsid w:val="00C82CE5"/>
    <w:rsid w:val="00C82D47"/>
    <w:rsid w:val="00C82E77"/>
    <w:rsid w:val="00C82F57"/>
    <w:rsid w:val="00C82FAF"/>
    <w:rsid w:val="00C82FCC"/>
    <w:rsid w:val="00C83029"/>
    <w:rsid w:val="00C83149"/>
    <w:rsid w:val="00C8329A"/>
    <w:rsid w:val="00C83461"/>
    <w:rsid w:val="00C8347A"/>
    <w:rsid w:val="00C83532"/>
    <w:rsid w:val="00C8353A"/>
    <w:rsid w:val="00C8373F"/>
    <w:rsid w:val="00C8375D"/>
    <w:rsid w:val="00C83907"/>
    <w:rsid w:val="00C839FC"/>
    <w:rsid w:val="00C83C4D"/>
    <w:rsid w:val="00C83C74"/>
    <w:rsid w:val="00C83D34"/>
    <w:rsid w:val="00C83E3B"/>
    <w:rsid w:val="00C83FA3"/>
    <w:rsid w:val="00C840B3"/>
    <w:rsid w:val="00C84198"/>
    <w:rsid w:val="00C84285"/>
    <w:rsid w:val="00C84296"/>
    <w:rsid w:val="00C842C7"/>
    <w:rsid w:val="00C843A6"/>
    <w:rsid w:val="00C84482"/>
    <w:rsid w:val="00C844B5"/>
    <w:rsid w:val="00C844EE"/>
    <w:rsid w:val="00C84521"/>
    <w:rsid w:val="00C845A2"/>
    <w:rsid w:val="00C84739"/>
    <w:rsid w:val="00C8475C"/>
    <w:rsid w:val="00C847BD"/>
    <w:rsid w:val="00C84830"/>
    <w:rsid w:val="00C848FE"/>
    <w:rsid w:val="00C8491E"/>
    <w:rsid w:val="00C84927"/>
    <w:rsid w:val="00C849B7"/>
    <w:rsid w:val="00C84B2E"/>
    <w:rsid w:val="00C84B97"/>
    <w:rsid w:val="00C84BF8"/>
    <w:rsid w:val="00C84CE9"/>
    <w:rsid w:val="00C84E7F"/>
    <w:rsid w:val="00C85038"/>
    <w:rsid w:val="00C851F4"/>
    <w:rsid w:val="00C8531D"/>
    <w:rsid w:val="00C85565"/>
    <w:rsid w:val="00C855DF"/>
    <w:rsid w:val="00C855FD"/>
    <w:rsid w:val="00C85656"/>
    <w:rsid w:val="00C85745"/>
    <w:rsid w:val="00C857F0"/>
    <w:rsid w:val="00C85885"/>
    <w:rsid w:val="00C858A6"/>
    <w:rsid w:val="00C859CC"/>
    <w:rsid w:val="00C85A26"/>
    <w:rsid w:val="00C85CCC"/>
    <w:rsid w:val="00C85EBB"/>
    <w:rsid w:val="00C85F9F"/>
    <w:rsid w:val="00C85FE7"/>
    <w:rsid w:val="00C85FE9"/>
    <w:rsid w:val="00C85FFE"/>
    <w:rsid w:val="00C86095"/>
    <w:rsid w:val="00C86097"/>
    <w:rsid w:val="00C86233"/>
    <w:rsid w:val="00C86269"/>
    <w:rsid w:val="00C86298"/>
    <w:rsid w:val="00C86332"/>
    <w:rsid w:val="00C86393"/>
    <w:rsid w:val="00C86450"/>
    <w:rsid w:val="00C86515"/>
    <w:rsid w:val="00C865A4"/>
    <w:rsid w:val="00C865D3"/>
    <w:rsid w:val="00C866BA"/>
    <w:rsid w:val="00C86718"/>
    <w:rsid w:val="00C86763"/>
    <w:rsid w:val="00C867A2"/>
    <w:rsid w:val="00C86832"/>
    <w:rsid w:val="00C8696F"/>
    <w:rsid w:val="00C86AC8"/>
    <w:rsid w:val="00C86B31"/>
    <w:rsid w:val="00C86B3C"/>
    <w:rsid w:val="00C86BE3"/>
    <w:rsid w:val="00C86C68"/>
    <w:rsid w:val="00C86CD1"/>
    <w:rsid w:val="00C86DA6"/>
    <w:rsid w:val="00C86E27"/>
    <w:rsid w:val="00C86F84"/>
    <w:rsid w:val="00C86F87"/>
    <w:rsid w:val="00C86FE0"/>
    <w:rsid w:val="00C87130"/>
    <w:rsid w:val="00C8715D"/>
    <w:rsid w:val="00C87267"/>
    <w:rsid w:val="00C872D6"/>
    <w:rsid w:val="00C873B0"/>
    <w:rsid w:val="00C8741A"/>
    <w:rsid w:val="00C874CF"/>
    <w:rsid w:val="00C874D4"/>
    <w:rsid w:val="00C87543"/>
    <w:rsid w:val="00C8754A"/>
    <w:rsid w:val="00C875BA"/>
    <w:rsid w:val="00C8773E"/>
    <w:rsid w:val="00C87768"/>
    <w:rsid w:val="00C8776F"/>
    <w:rsid w:val="00C87848"/>
    <w:rsid w:val="00C8785E"/>
    <w:rsid w:val="00C87896"/>
    <w:rsid w:val="00C87951"/>
    <w:rsid w:val="00C87A03"/>
    <w:rsid w:val="00C87ABE"/>
    <w:rsid w:val="00C87B6A"/>
    <w:rsid w:val="00C87B97"/>
    <w:rsid w:val="00C87BB5"/>
    <w:rsid w:val="00C87CB7"/>
    <w:rsid w:val="00C87CC9"/>
    <w:rsid w:val="00C87CE5"/>
    <w:rsid w:val="00C87E19"/>
    <w:rsid w:val="00C87E56"/>
    <w:rsid w:val="00C900A6"/>
    <w:rsid w:val="00C900DA"/>
    <w:rsid w:val="00C901E1"/>
    <w:rsid w:val="00C9020A"/>
    <w:rsid w:val="00C9022B"/>
    <w:rsid w:val="00C902F8"/>
    <w:rsid w:val="00C90312"/>
    <w:rsid w:val="00C903FB"/>
    <w:rsid w:val="00C90529"/>
    <w:rsid w:val="00C9056E"/>
    <w:rsid w:val="00C905D1"/>
    <w:rsid w:val="00C905FC"/>
    <w:rsid w:val="00C90769"/>
    <w:rsid w:val="00C90866"/>
    <w:rsid w:val="00C9087B"/>
    <w:rsid w:val="00C909F1"/>
    <w:rsid w:val="00C90B80"/>
    <w:rsid w:val="00C90C66"/>
    <w:rsid w:val="00C90E4D"/>
    <w:rsid w:val="00C90F38"/>
    <w:rsid w:val="00C90FAD"/>
    <w:rsid w:val="00C91096"/>
    <w:rsid w:val="00C91176"/>
    <w:rsid w:val="00C911D4"/>
    <w:rsid w:val="00C911EF"/>
    <w:rsid w:val="00C91259"/>
    <w:rsid w:val="00C912A0"/>
    <w:rsid w:val="00C912B0"/>
    <w:rsid w:val="00C912EA"/>
    <w:rsid w:val="00C9130D"/>
    <w:rsid w:val="00C913AF"/>
    <w:rsid w:val="00C914E2"/>
    <w:rsid w:val="00C9151C"/>
    <w:rsid w:val="00C9161B"/>
    <w:rsid w:val="00C917DD"/>
    <w:rsid w:val="00C91885"/>
    <w:rsid w:val="00C918D7"/>
    <w:rsid w:val="00C9198A"/>
    <w:rsid w:val="00C91A1E"/>
    <w:rsid w:val="00C91AB3"/>
    <w:rsid w:val="00C91B55"/>
    <w:rsid w:val="00C91D40"/>
    <w:rsid w:val="00C91D60"/>
    <w:rsid w:val="00C91D9B"/>
    <w:rsid w:val="00C91E2B"/>
    <w:rsid w:val="00C9202B"/>
    <w:rsid w:val="00C92046"/>
    <w:rsid w:val="00C92220"/>
    <w:rsid w:val="00C92334"/>
    <w:rsid w:val="00C92344"/>
    <w:rsid w:val="00C92432"/>
    <w:rsid w:val="00C924FE"/>
    <w:rsid w:val="00C92568"/>
    <w:rsid w:val="00C92570"/>
    <w:rsid w:val="00C92683"/>
    <w:rsid w:val="00C926B2"/>
    <w:rsid w:val="00C9274C"/>
    <w:rsid w:val="00C92831"/>
    <w:rsid w:val="00C9285F"/>
    <w:rsid w:val="00C9286F"/>
    <w:rsid w:val="00C928D3"/>
    <w:rsid w:val="00C928DE"/>
    <w:rsid w:val="00C92940"/>
    <w:rsid w:val="00C929F6"/>
    <w:rsid w:val="00C92C95"/>
    <w:rsid w:val="00C92CD6"/>
    <w:rsid w:val="00C92D46"/>
    <w:rsid w:val="00C92D67"/>
    <w:rsid w:val="00C92DA5"/>
    <w:rsid w:val="00C92DE9"/>
    <w:rsid w:val="00C92E1E"/>
    <w:rsid w:val="00C92E4E"/>
    <w:rsid w:val="00C92F2B"/>
    <w:rsid w:val="00C92FAC"/>
    <w:rsid w:val="00C93092"/>
    <w:rsid w:val="00C9320D"/>
    <w:rsid w:val="00C9323F"/>
    <w:rsid w:val="00C9328F"/>
    <w:rsid w:val="00C93353"/>
    <w:rsid w:val="00C933F3"/>
    <w:rsid w:val="00C9345E"/>
    <w:rsid w:val="00C934E7"/>
    <w:rsid w:val="00C9358A"/>
    <w:rsid w:val="00C935F3"/>
    <w:rsid w:val="00C93655"/>
    <w:rsid w:val="00C93722"/>
    <w:rsid w:val="00C9376B"/>
    <w:rsid w:val="00C9385F"/>
    <w:rsid w:val="00C939C1"/>
    <w:rsid w:val="00C939DF"/>
    <w:rsid w:val="00C939E9"/>
    <w:rsid w:val="00C93AC2"/>
    <w:rsid w:val="00C93B2F"/>
    <w:rsid w:val="00C93BF8"/>
    <w:rsid w:val="00C93C2D"/>
    <w:rsid w:val="00C93CC0"/>
    <w:rsid w:val="00C93D0A"/>
    <w:rsid w:val="00C93D2F"/>
    <w:rsid w:val="00C93D8A"/>
    <w:rsid w:val="00C93DA4"/>
    <w:rsid w:val="00C93DD3"/>
    <w:rsid w:val="00C93EE2"/>
    <w:rsid w:val="00C93F7E"/>
    <w:rsid w:val="00C93FEB"/>
    <w:rsid w:val="00C9405F"/>
    <w:rsid w:val="00C9414D"/>
    <w:rsid w:val="00C9434A"/>
    <w:rsid w:val="00C94369"/>
    <w:rsid w:val="00C94466"/>
    <w:rsid w:val="00C94599"/>
    <w:rsid w:val="00C9467D"/>
    <w:rsid w:val="00C94947"/>
    <w:rsid w:val="00C94A18"/>
    <w:rsid w:val="00C94A54"/>
    <w:rsid w:val="00C94BCF"/>
    <w:rsid w:val="00C94D18"/>
    <w:rsid w:val="00C94F89"/>
    <w:rsid w:val="00C95012"/>
    <w:rsid w:val="00C9507B"/>
    <w:rsid w:val="00C95163"/>
    <w:rsid w:val="00C95242"/>
    <w:rsid w:val="00C95272"/>
    <w:rsid w:val="00C95324"/>
    <w:rsid w:val="00C95325"/>
    <w:rsid w:val="00C95332"/>
    <w:rsid w:val="00C954FB"/>
    <w:rsid w:val="00C95553"/>
    <w:rsid w:val="00C955E0"/>
    <w:rsid w:val="00C956AE"/>
    <w:rsid w:val="00C956D8"/>
    <w:rsid w:val="00C9576A"/>
    <w:rsid w:val="00C958CA"/>
    <w:rsid w:val="00C959B1"/>
    <w:rsid w:val="00C95ADB"/>
    <w:rsid w:val="00C95B51"/>
    <w:rsid w:val="00C95BAD"/>
    <w:rsid w:val="00C95C0F"/>
    <w:rsid w:val="00C95CF9"/>
    <w:rsid w:val="00C95D0D"/>
    <w:rsid w:val="00C95DAE"/>
    <w:rsid w:val="00C95F91"/>
    <w:rsid w:val="00C96179"/>
    <w:rsid w:val="00C961A8"/>
    <w:rsid w:val="00C96232"/>
    <w:rsid w:val="00C96327"/>
    <w:rsid w:val="00C963F4"/>
    <w:rsid w:val="00C96796"/>
    <w:rsid w:val="00C96844"/>
    <w:rsid w:val="00C96A4C"/>
    <w:rsid w:val="00C96B0F"/>
    <w:rsid w:val="00C96BA6"/>
    <w:rsid w:val="00C96C43"/>
    <w:rsid w:val="00C96C85"/>
    <w:rsid w:val="00C96D0C"/>
    <w:rsid w:val="00C96D68"/>
    <w:rsid w:val="00C96D87"/>
    <w:rsid w:val="00C96E3F"/>
    <w:rsid w:val="00C96E67"/>
    <w:rsid w:val="00C96FC8"/>
    <w:rsid w:val="00C97023"/>
    <w:rsid w:val="00C97040"/>
    <w:rsid w:val="00C97055"/>
    <w:rsid w:val="00C9705A"/>
    <w:rsid w:val="00C970BA"/>
    <w:rsid w:val="00C970EC"/>
    <w:rsid w:val="00C97107"/>
    <w:rsid w:val="00C9718D"/>
    <w:rsid w:val="00C971B9"/>
    <w:rsid w:val="00C971BE"/>
    <w:rsid w:val="00C97292"/>
    <w:rsid w:val="00C972ED"/>
    <w:rsid w:val="00C97333"/>
    <w:rsid w:val="00C97367"/>
    <w:rsid w:val="00C97480"/>
    <w:rsid w:val="00C975FA"/>
    <w:rsid w:val="00C976B5"/>
    <w:rsid w:val="00C97760"/>
    <w:rsid w:val="00C97950"/>
    <w:rsid w:val="00C979BA"/>
    <w:rsid w:val="00C979BC"/>
    <w:rsid w:val="00C979D3"/>
    <w:rsid w:val="00C97A47"/>
    <w:rsid w:val="00C97A5C"/>
    <w:rsid w:val="00C97AC6"/>
    <w:rsid w:val="00C97BF8"/>
    <w:rsid w:val="00C97C46"/>
    <w:rsid w:val="00C97CCC"/>
    <w:rsid w:val="00C97E2A"/>
    <w:rsid w:val="00C97E76"/>
    <w:rsid w:val="00C97F08"/>
    <w:rsid w:val="00C97F27"/>
    <w:rsid w:val="00C97FF5"/>
    <w:rsid w:val="00CA002D"/>
    <w:rsid w:val="00CA0097"/>
    <w:rsid w:val="00CA013E"/>
    <w:rsid w:val="00CA0264"/>
    <w:rsid w:val="00CA02F5"/>
    <w:rsid w:val="00CA0330"/>
    <w:rsid w:val="00CA0342"/>
    <w:rsid w:val="00CA04CB"/>
    <w:rsid w:val="00CA0550"/>
    <w:rsid w:val="00CA0583"/>
    <w:rsid w:val="00CA05FA"/>
    <w:rsid w:val="00CA070E"/>
    <w:rsid w:val="00CA076C"/>
    <w:rsid w:val="00CA0773"/>
    <w:rsid w:val="00CA077F"/>
    <w:rsid w:val="00CA07C3"/>
    <w:rsid w:val="00CA09FC"/>
    <w:rsid w:val="00CA0A58"/>
    <w:rsid w:val="00CA0A62"/>
    <w:rsid w:val="00CA0C17"/>
    <w:rsid w:val="00CA0DEC"/>
    <w:rsid w:val="00CA0E52"/>
    <w:rsid w:val="00CA0E58"/>
    <w:rsid w:val="00CA0E5E"/>
    <w:rsid w:val="00CA0EE7"/>
    <w:rsid w:val="00CA0EF1"/>
    <w:rsid w:val="00CA0FE6"/>
    <w:rsid w:val="00CA1090"/>
    <w:rsid w:val="00CA1128"/>
    <w:rsid w:val="00CA1139"/>
    <w:rsid w:val="00CA1143"/>
    <w:rsid w:val="00CA12B0"/>
    <w:rsid w:val="00CA12C2"/>
    <w:rsid w:val="00CA13CA"/>
    <w:rsid w:val="00CA13CF"/>
    <w:rsid w:val="00CA13F0"/>
    <w:rsid w:val="00CA1408"/>
    <w:rsid w:val="00CA145C"/>
    <w:rsid w:val="00CA152C"/>
    <w:rsid w:val="00CA15F1"/>
    <w:rsid w:val="00CA1652"/>
    <w:rsid w:val="00CA1665"/>
    <w:rsid w:val="00CA16E7"/>
    <w:rsid w:val="00CA17DB"/>
    <w:rsid w:val="00CA18DB"/>
    <w:rsid w:val="00CA196E"/>
    <w:rsid w:val="00CA1AE2"/>
    <w:rsid w:val="00CA1B8C"/>
    <w:rsid w:val="00CA1BEC"/>
    <w:rsid w:val="00CA1C36"/>
    <w:rsid w:val="00CA1CE8"/>
    <w:rsid w:val="00CA1DBF"/>
    <w:rsid w:val="00CA1E1E"/>
    <w:rsid w:val="00CA1EC4"/>
    <w:rsid w:val="00CA1FEE"/>
    <w:rsid w:val="00CA20D8"/>
    <w:rsid w:val="00CA20EA"/>
    <w:rsid w:val="00CA2152"/>
    <w:rsid w:val="00CA21E4"/>
    <w:rsid w:val="00CA2221"/>
    <w:rsid w:val="00CA22D1"/>
    <w:rsid w:val="00CA247E"/>
    <w:rsid w:val="00CA25EE"/>
    <w:rsid w:val="00CA26A0"/>
    <w:rsid w:val="00CA283F"/>
    <w:rsid w:val="00CA28FF"/>
    <w:rsid w:val="00CA29D7"/>
    <w:rsid w:val="00CA2B08"/>
    <w:rsid w:val="00CA2CDB"/>
    <w:rsid w:val="00CA2D39"/>
    <w:rsid w:val="00CA2DF0"/>
    <w:rsid w:val="00CA2E41"/>
    <w:rsid w:val="00CA2E5B"/>
    <w:rsid w:val="00CA2E90"/>
    <w:rsid w:val="00CA2FE0"/>
    <w:rsid w:val="00CA2FF3"/>
    <w:rsid w:val="00CA309F"/>
    <w:rsid w:val="00CA311D"/>
    <w:rsid w:val="00CA321A"/>
    <w:rsid w:val="00CA32C2"/>
    <w:rsid w:val="00CA3784"/>
    <w:rsid w:val="00CA3825"/>
    <w:rsid w:val="00CA3A16"/>
    <w:rsid w:val="00CA3B78"/>
    <w:rsid w:val="00CA3D49"/>
    <w:rsid w:val="00CA4020"/>
    <w:rsid w:val="00CA4051"/>
    <w:rsid w:val="00CA40CF"/>
    <w:rsid w:val="00CA4206"/>
    <w:rsid w:val="00CA4394"/>
    <w:rsid w:val="00CA4395"/>
    <w:rsid w:val="00CA44B7"/>
    <w:rsid w:val="00CA4524"/>
    <w:rsid w:val="00CA4527"/>
    <w:rsid w:val="00CA4663"/>
    <w:rsid w:val="00CA467A"/>
    <w:rsid w:val="00CA46A3"/>
    <w:rsid w:val="00CA47C3"/>
    <w:rsid w:val="00CA4801"/>
    <w:rsid w:val="00CA486F"/>
    <w:rsid w:val="00CA4958"/>
    <w:rsid w:val="00CA49E6"/>
    <w:rsid w:val="00CA4B0D"/>
    <w:rsid w:val="00CA4C95"/>
    <w:rsid w:val="00CA4DB1"/>
    <w:rsid w:val="00CA4E0E"/>
    <w:rsid w:val="00CA4ED9"/>
    <w:rsid w:val="00CA528C"/>
    <w:rsid w:val="00CA52AD"/>
    <w:rsid w:val="00CA53A3"/>
    <w:rsid w:val="00CA53C0"/>
    <w:rsid w:val="00CA53C1"/>
    <w:rsid w:val="00CA5498"/>
    <w:rsid w:val="00CA5581"/>
    <w:rsid w:val="00CA578A"/>
    <w:rsid w:val="00CA5794"/>
    <w:rsid w:val="00CA579A"/>
    <w:rsid w:val="00CA5900"/>
    <w:rsid w:val="00CA5935"/>
    <w:rsid w:val="00CA5AE2"/>
    <w:rsid w:val="00CA5AED"/>
    <w:rsid w:val="00CA5B24"/>
    <w:rsid w:val="00CA5B9D"/>
    <w:rsid w:val="00CA5B9E"/>
    <w:rsid w:val="00CA5BB4"/>
    <w:rsid w:val="00CA5BEA"/>
    <w:rsid w:val="00CA5BED"/>
    <w:rsid w:val="00CA5CBB"/>
    <w:rsid w:val="00CA5D96"/>
    <w:rsid w:val="00CA5EC6"/>
    <w:rsid w:val="00CA6031"/>
    <w:rsid w:val="00CA613C"/>
    <w:rsid w:val="00CA62D6"/>
    <w:rsid w:val="00CA6478"/>
    <w:rsid w:val="00CA649E"/>
    <w:rsid w:val="00CA66D9"/>
    <w:rsid w:val="00CA6714"/>
    <w:rsid w:val="00CA69A0"/>
    <w:rsid w:val="00CA6A71"/>
    <w:rsid w:val="00CA6A78"/>
    <w:rsid w:val="00CA6AE6"/>
    <w:rsid w:val="00CA6BFB"/>
    <w:rsid w:val="00CA6C65"/>
    <w:rsid w:val="00CA6DE0"/>
    <w:rsid w:val="00CA6DF0"/>
    <w:rsid w:val="00CA6DF5"/>
    <w:rsid w:val="00CA6E5E"/>
    <w:rsid w:val="00CA6E7E"/>
    <w:rsid w:val="00CA6F41"/>
    <w:rsid w:val="00CA7105"/>
    <w:rsid w:val="00CA7193"/>
    <w:rsid w:val="00CA72AB"/>
    <w:rsid w:val="00CA7376"/>
    <w:rsid w:val="00CA75F5"/>
    <w:rsid w:val="00CA7627"/>
    <w:rsid w:val="00CA766D"/>
    <w:rsid w:val="00CA7798"/>
    <w:rsid w:val="00CA78C0"/>
    <w:rsid w:val="00CA7928"/>
    <w:rsid w:val="00CA7978"/>
    <w:rsid w:val="00CA7A50"/>
    <w:rsid w:val="00CA7B7C"/>
    <w:rsid w:val="00CA7C79"/>
    <w:rsid w:val="00CA7E82"/>
    <w:rsid w:val="00CAD10F"/>
    <w:rsid w:val="00CB0001"/>
    <w:rsid w:val="00CB000B"/>
    <w:rsid w:val="00CB0025"/>
    <w:rsid w:val="00CB007C"/>
    <w:rsid w:val="00CB00E1"/>
    <w:rsid w:val="00CB0366"/>
    <w:rsid w:val="00CB0420"/>
    <w:rsid w:val="00CB0461"/>
    <w:rsid w:val="00CB053A"/>
    <w:rsid w:val="00CB05D7"/>
    <w:rsid w:val="00CB0612"/>
    <w:rsid w:val="00CB0928"/>
    <w:rsid w:val="00CB0932"/>
    <w:rsid w:val="00CB0A1D"/>
    <w:rsid w:val="00CB0A6D"/>
    <w:rsid w:val="00CB0CB3"/>
    <w:rsid w:val="00CB0CC3"/>
    <w:rsid w:val="00CB0CE2"/>
    <w:rsid w:val="00CB0D50"/>
    <w:rsid w:val="00CB0DE0"/>
    <w:rsid w:val="00CB1039"/>
    <w:rsid w:val="00CB1060"/>
    <w:rsid w:val="00CB10D6"/>
    <w:rsid w:val="00CB1138"/>
    <w:rsid w:val="00CB117A"/>
    <w:rsid w:val="00CB11B7"/>
    <w:rsid w:val="00CB1202"/>
    <w:rsid w:val="00CB1206"/>
    <w:rsid w:val="00CB1376"/>
    <w:rsid w:val="00CB137C"/>
    <w:rsid w:val="00CB13D7"/>
    <w:rsid w:val="00CB14CC"/>
    <w:rsid w:val="00CB1584"/>
    <w:rsid w:val="00CB166A"/>
    <w:rsid w:val="00CB171A"/>
    <w:rsid w:val="00CB1770"/>
    <w:rsid w:val="00CB17D7"/>
    <w:rsid w:val="00CB1876"/>
    <w:rsid w:val="00CB1901"/>
    <w:rsid w:val="00CB191A"/>
    <w:rsid w:val="00CB19E1"/>
    <w:rsid w:val="00CB19EB"/>
    <w:rsid w:val="00CB19F0"/>
    <w:rsid w:val="00CB19F8"/>
    <w:rsid w:val="00CB1A08"/>
    <w:rsid w:val="00CB1A4E"/>
    <w:rsid w:val="00CB1B27"/>
    <w:rsid w:val="00CB1C00"/>
    <w:rsid w:val="00CB1C22"/>
    <w:rsid w:val="00CB1C84"/>
    <w:rsid w:val="00CB1CDE"/>
    <w:rsid w:val="00CB1DA5"/>
    <w:rsid w:val="00CB1E14"/>
    <w:rsid w:val="00CB1E34"/>
    <w:rsid w:val="00CB1E92"/>
    <w:rsid w:val="00CB1F27"/>
    <w:rsid w:val="00CB1FE8"/>
    <w:rsid w:val="00CB20F5"/>
    <w:rsid w:val="00CB211F"/>
    <w:rsid w:val="00CB2124"/>
    <w:rsid w:val="00CB2147"/>
    <w:rsid w:val="00CB21FB"/>
    <w:rsid w:val="00CB2247"/>
    <w:rsid w:val="00CB2342"/>
    <w:rsid w:val="00CB2392"/>
    <w:rsid w:val="00CB2405"/>
    <w:rsid w:val="00CB2408"/>
    <w:rsid w:val="00CB2573"/>
    <w:rsid w:val="00CB2679"/>
    <w:rsid w:val="00CB270A"/>
    <w:rsid w:val="00CB27ED"/>
    <w:rsid w:val="00CB28D8"/>
    <w:rsid w:val="00CB296A"/>
    <w:rsid w:val="00CB2A05"/>
    <w:rsid w:val="00CB2B7E"/>
    <w:rsid w:val="00CB2BEF"/>
    <w:rsid w:val="00CB2C3E"/>
    <w:rsid w:val="00CB2CA0"/>
    <w:rsid w:val="00CB2CB0"/>
    <w:rsid w:val="00CB2DD0"/>
    <w:rsid w:val="00CB2ECF"/>
    <w:rsid w:val="00CB2F49"/>
    <w:rsid w:val="00CB2F9A"/>
    <w:rsid w:val="00CB2FB5"/>
    <w:rsid w:val="00CB30A8"/>
    <w:rsid w:val="00CB30B7"/>
    <w:rsid w:val="00CB30B8"/>
    <w:rsid w:val="00CB3137"/>
    <w:rsid w:val="00CB3161"/>
    <w:rsid w:val="00CB31BD"/>
    <w:rsid w:val="00CB31CB"/>
    <w:rsid w:val="00CB3203"/>
    <w:rsid w:val="00CB3238"/>
    <w:rsid w:val="00CB33C9"/>
    <w:rsid w:val="00CB3407"/>
    <w:rsid w:val="00CB3510"/>
    <w:rsid w:val="00CB3536"/>
    <w:rsid w:val="00CB36A8"/>
    <w:rsid w:val="00CB36D3"/>
    <w:rsid w:val="00CB3813"/>
    <w:rsid w:val="00CB387C"/>
    <w:rsid w:val="00CB38D9"/>
    <w:rsid w:val="00CB3A83"/>
    <w:rsid w:val="00CB3B27"/>
    <w:rsid w:val="00CB3B60"/>
    <w:rsid w:val="00CB3B81"/>
    <w:rsid w:val="00CB3C66"/>
    <w:rsid w:val="00CB3E3F"/>
    <w:rsid w:val="00CB3E64"/>
    <w:rsid w:val="00CB3ECD"/>
    <w:rsid w:val="00CB3F2A"/>
    <w:rsid w:val="00CB3F82"/>
    <w:rsid w:val="00CB3FB8"/>
    <w:rsid w:val="00CB4053"/>
    <w:rsid w:val="00CB424F"/>
    <w:rsid w:val="00CB433B"/>
    <w:rsid w:val="00CB43E3"/>
    <w:rsid w:val="00CB445A"/>
    <w:rsid w:val="00CB46F6"/>
    <w:rsid w:val="00CB48B1"/>
    <w:rsid w:val="00CB4BBD"/>
    <w:rsid w:val="00CB4C18"/>
    <w:rsid w:val="00CB4CAF"/>
    <w:rsid w:val="00CB4CFF"/>
    <w:rsid w:val="00CB4D76"/>
    <w:rsid w:val="00CB4E5D"/>
    <w:rsid w:val="00CB50CB"/>
    <w:rsid w:val="00CB5127"/>
    <w:rsid w:val="00CB5154"/>
    <w:rsid w:val="00CB52F3"/>
    <w:rsid w:val="00CB539D"/>
    <w:rsid w:val="00CB53DF"/>
    <w:rsid w:val="00CB5438"/>
    <w:rsid w:val="00CB5448"/>
    <w:rsid w:val="00CB546F"/>
    <w:rsid w:val="00CB547E"/>
    <w:rsid w:val="00CB552D"/>
    <w:rsid w:val="00CB553B"/>
    <w:rsid w:val="00CB5578"/>
    <w:rsid w:val="00CB55AD"/>
    <w:rsid w:val="00CB55DD"/>
    <w:rsid w:val="00CB568C"/>
    <w:rsid w:val="00CB57DB"/>
    <w:rsid w:val="00CB5967"/>
    <w:rsid w:val="00CB5A13"/>
    <w:rsid w:val="00CB5AB9"/>
    <w:rsid w:val="00CB5B2C"/>
    <w:rsid w:val="00CB5B34"/>
    <w:rsid w:val="00CB5B78"/>
    <w:rsid w:val="00CB5BBD"/>
    <w:rsid w:val="00CB5BC3"/>
    <w:rsid w:val="00CB5D4B"/>
    <w:rsid w:val="00CB5D5D"/>
    <w:rsid w:val="00CB5E82"/>
    <w:rsid w:val="00CB5EAB"/>
    <w:rsid w:val="00CB5EFE"/>
    <w:rsid w:val="00CB5FD9"/>
    <w:rsid w:val="00CB6004"/>
    <w:rsid w:val="00CB613E"/>
    <w:rsid w:val="00CB6305"/>
    <w:rsid w:val="00CB630E"/>
    <w:rsid w:val="00CB63F3"/>
    <w:rsid w:val="00CB65F1"/>
    <w:rsid w:val="00CB66EF"/>
    <w:rsid w:val="00CB6711"/>
    <w:rsid w:val="00CB6768"/>
    <w:rsid w:val="00CB6842"/>
    <w:rsid w:val="00CB6907"/>
    <w:rsid w:val="00CB697F"/>
    <w:rsid w:val="00CB69B5"/>
    <w:rsid w:val="00CB6A65"/>
    <w:rsid w:val="00CB6A75"/>
    <w:rsid w:val="00CB6DD6"/>
    <w:rsid w:val="00CB6EF7"/>
    <w:rsid w:val="00CB6F5D"/>
    <w:rsid w:val="00CB7035"/>
    <w:rsid w:val="00CB70B2"/>
    <w:rsid w:val="00CB70CC"/>
    <w:rsid w:val="00CB70DF"/>
    <w:rsid w:val="00CB712A"/>
    <w:rsid w:val="00CB714E"/>
    <w:rsid w:val="00CB7225"/>
    <w:rsid w:val="00CB72FC"/>
    <w:rsid w:val="00CB73EA"/>
    <w:rsid w:val="00CB74F9"/>
    <w:rsid w:val="00CB7676"/>
    <w:rsid w:val="00CB7713"/>
    <w:rsid w:val="00CB772A"/>
    <w:rsid w:val="00CB7789"/>
    <w:rsid w:val="00CB78C3"/>
    <w:rsid w:val="00CB7921"/>
    <w:rsid w:val="00CB79A1"/>
    <w:rsid w:val="00CB79BD"/>
    <w:rsid w:val="00CB7ABA"/>
    <w:rsid w:val="00CB7ADA"/>
    <w:rsid w:val="00CB7BD8"/>
    <w:rsid w:val="00CB7C71"/>
    <w:rsid w:val="00CB7DEA"/>
    <w:rsid w:val="00CB7E17"/>
    <w:rsid w:val="00CB7EFE"/>
    <w:rsid w:val="00CB7F04"/>
    <w:rsid w:val="00CB7FF3"/>
    <w:rsid w:val="00CC014B"/>
    <w:rsid w:val="00CC016B"/>
    <w:rsid w:val="00CC01B5"/>
    <w:rsid w:val="00CC01EA"/>
    <w:rsid w:val="00CC020B"/>
    <w:rsid w:val="00CC0353"/>
    <w:rsid w:val="00CC03A2"/>
    <w:rsid w:val="00CC0456"/>
    <w:rsid w:val="00CC0557"/>
    <w:rsid w:val="00CC05AD"/>
    <w:rsid w:val="00CC0668"/>
    <w:rsid w:val="00CC06CC"/>
    <w:rsid w:val="00CC0751"/>
    <w:rsid w:val="00CC0852"/>
    <w:rsid w:val="00CC088E"/>
    <w:rsid w:val="00CC09FB"/>
    <w:rsid w:val="00CC0A23"/>
    <w:rsid w:val="00CC0A41"/>
    <w:rsid w:val="00CC0B0A"/>
    <w:rsid w:val="00CC0BE4"/>
    <w:rsid w:val="00CC0CFF"/>
    <w:rsid w:val="00CC0F68"/>
    <w:rsid w:val="00CC0FAC"/>
    <w:rsid w:val="00CC11CB"/>
    <w:rsid w:val="00CC1231"/>
    <w:rsid w:val="00CC12B3"/>
    <w:rsid w:val="00CC1430"/>
    <w:rsid w:val="00CC145A"/>
    <w:rsid w:val="00CC14A2"/>
    <w:rsid w:val="00CC14C7"/>
    <w:rsid w:val="00CC1502"/>
    <w:rsid w:val="00CC1516"/>
    <w:rsid w:val="00CC151F"/>
    <w:rsid w:val="00CC15F7"/>
    <w:rsid w:val="00CC1656"/>
    <w:rsid w:val="00CC1661"/>
    <w:rsid w:val="00CC1694"/>
    <w:rsid w:val="00CC17D8"/>
    <w:rsid w:val="00CC17FD"/>
    <w:rsid w:val="00CC1845"/>
    <w:rsid w:val="00CC1882"/>
    <w:rsid w:val="00CC18AE"/>
    <w:rsid w:val="00CC1A04"/>
    <w:rsid w:val="00CC1A32"/>
    <w:rsid w:val="00CC1A4C"/>
    <w:rsid w:val="00CC1A69"/>
    <w:rsid w:val="00CC1A8F"/>
    <w:rsid w:val="00CC1B3A"/>
    <w:rsid w:val="00CC1E2D"/>
    <w:rsid w:val="00CC1EDE"/>
    <w:rsid w:val="00CC1F14"/>
    <w:rsid w:val="00CC1F8F"/>
    <w:rsid w:val="00CC21A9"/>
    <w:rsid w:val="00CC2251"/>
    <w:rsid w:val="00CC2352"/>
    <w:rsid w:val="00CC23EC"/>
    <w:rsid w:val="00CC24DA"/>
    <w:rsid w:val="00CC25CC"/>
    <w:rsid w:val="00CC25EE"/>
    <w:rsid w:val="00CC2670"/>
    <w:rsid w:val="00CC2779"/>
    <w:rsid w:val="00CC2801"/>
    <w:rsid w:val="00CC298C"/>
    <w:rsid w:val="00CC2997"/>
    <w:rsid w:val="00CC2A6A"/>
    <w:rsid w:val="00CC2AF1"/>
    <w:rsid w:val="00CC2B0C"/>
    <w:rsid w:val="00CC2CCD"/>
    <w:rsid w:val="00CC2CE8"/>
    <w:rsid w:val="00CC2D01"/>
    <w:rsid w:val="00CC2D1B"/>
    <w:rsid w:val="00CC2D96"/>
    <w:rsid w:val="00CC2E0A"/>
    <w:rsid w:val="00CC2E1B"/>
    <w:rsid w:val="00CC2E6E"/>
    <w:rsid w:val="00CC2F04"/>
    <w:rsid w:val="00CC2F55"/>
    <w:rsid w:val="00CC3077"/>
    <w:rsid w:val="00CC3092"/>
    <w:rsid w:val="00CC314B"/>
    <w:rsid w:val="00CC31E0"/>
    <w:rsid w:val="00CC326F"/>
    <w:rsid w:val="00CC3272"/>
    <w:rsid w:val="00CC335A"/>
    <w:rsid w:val="00CC33C2"/>
    <w:rsid w:val="00CC3526"/>
    <w:rsid w:val="00CC3555"/>
    <w:rsid w:val="00CC35DC"/>
    <w:rsid w:val="00CC3647"/>
    <w:rsid w:val="00CC3676"/>
    <w:rsid w:val="00CC3718"/>
    <w:rsid w:val="00CC373F"/>
    <w:rsid w:val="00CC381F"/>
    <w:rsid w:val="00CC385D"/>
    <w:rsid w:val="00CC386E"/>
    <w:rsid w:val="00CC38DF"/>
    <w:rsid w:val="00CC398D"/>
    <w:rsid w:val="00CC3A03"/>
    <w:rsid w:val="00CC3A13"/>
    <w:rsid w:val="00CC3B56"/>
    <w:rsid w:val="00CC3B62"/>
    <w:rsid w:val="00CC3B8C"/>
    <w:rsid w:val="00CC3C60"/>
    <w:rsid w:val="00CC3D32"/>
    <w:rsid w:val="00CC3D3F"/>
    <w:rsid w:val="00CC3D5D"/>
    <w:rsid w:val="00CC3D7D"/>
    <w:rsid w:val="00CC3E55"/>
    <w:rsid w:val="00CC3EC0"/>
    <w:rsid w:val="00CC4092"/>
    <w:rsid w:val="00CC4165"/>
    <w:rsid w:val="00CC41CD"/>
    <w:rsid w:val="00CC42F5"/>
    <w:rsid w:val="00CC4333"/>
    <w:rsid w:val="00CC4375"/>
    <w:rsid w:val="00CC43CC"/>
    <w:rsid w:val="00CC4439"/>
    <w:rsid w:val="00CC47EA"/>
    <w:rsid w:val="00CC49AB"/>
    <w:rsid w:val="00CC4A0C"/>
    <w:rsid w:val="00CC4AA7"/>
    <w:rsid w:val="00CC4BEF"/>
    <w:rsid w:val="00CC4C9E"/>
    <w:rsid w:val="00CC4E97"/>
    <w:rsid w:val="00CC4F83"/>
    <w:rsid w:val="00CC5037"/>
    <w:rsid w:val="00CC5038"/>
    <w:rsid w:val="00CC505D"/>
    <w:rsid w:val="00CC509E"/>
    <w:rsid w:val="00CC50BF"/>
    <w:rsid w:val="00CC51D5"/>
    <w:rsid w:val="00CC52B6"/>
    <w:rsid w:val="00CC531F"/>
    <w:rsid w:val="00CC53ED"/>
    <w:rsid w:val="00CC544C"/>
    <w:rsid w:val="00CC5450"/>
    <w:rsid w:val="00CC55BD"/>
    <w:rsid w:val="00CC56A1"/>
    <w:rsid w:val="00CC5706"/>
    <w:rsid w:val="00CC58DF"/>
    <w:rsid w:val="00CC5A74"/>
    <w:rsid w:val="00CC5AAA"/>
    <w:rsid w:val="00CC5AAB"/>
    <w:rsid w:val="00CC5AE2"/>
    <w:rsid w:val="00CC5B63"/>
    <w:rsid w:val="00CC5B72"/>
    <w:rsid w:val="00CC5B7A"/>
    <w:rsid w:val="00CC5B9D"/>
    <w:rsid w:val="00CC5BDC"/>
    <w:rsid w:val="00CC5C30"/>
    <w:rsid w:val="00CC5C6D"/>
    <w:rsid w:val="00CC5DEB"/>
    <w:rsid w:val="00CC5EFD"/>
    <w:rsid w:val="00CC5FDA"/>
    <w:rsid w:val="00CC6021"/>
    <w:rsid w:val="00CC6031"/>
    <w:rsid w:val="00CC60A3"/>
    <w:rsid w:val="00CC61B5"/>
    <w:rsid w:val="00CC6280"/>
    <w:rsid w:val="00CC62C4"/>
    <w:rsid w:val="00CC6305"/>
    <w:rsid w:val="00CC634F"/>
    <w:rsid w:val="00CC636C"/>
    <w:rsid w:val="00CC6462"/>
    <w:rsid w:val="00CC674B"/>
    <w:rsid w:val="00CC680C"/>
    <w:rsid w:val="00CC6828"/>
    <w:rsid w:val="00CC6927"/>
    <w:rsid w:val="00CC694B"/>
    <w:rsid w:val="00CC6977"/>
    <w:rsid w:val="00CC6AFD"/>
    <w:rsid w:val="00CC6B22"/>
    <w:rsid w:val="00CC6B9C"/>
    <w:rsid w:val="00CC6C16"/>
    <w:rsid w:val="00CC6DC6"/>
    <w:rsid w:val="00CC6F1F"/>
    <w:rsid w:val="00CC6FC6"/>
    <w:rsid w:val="00CC707F"/>
    <w:rsid w:val="00CC7097"/>
    <w:rsid w:val="00CC70D1"/>
    <w:rsid w:val="00CC7153"/>
    <w:rsid w:val="00CC7203"/>
    <w:rsid w:val="00CC72FA"/>
    <w:rsid w:val="00CC737F"/>
    <w:rsid w:val="00CC7455"/>
    <w:rsid w:val="00CC74B7"/>
    <w:rsid w:val="00CC74E5"/>
    <w:rsid w:val="00CC7573"/>
    <w:rsid w:val="00CC7635"/>
    <w:rsid w:val="00CC7671"/>
    <w:rsid w:val="00CC7717"/>
    <w:rsid w:val="00CC7723"/>
    <w:rsid w:val="00CC772B"/>
    <w:rsid w:val="00CC7796"/>
    <w:rsid w:val="00CC796D"/>
    <w:rsid w:val="00CC7992"/>
    <w:rsid w:val="00CC7AC3"/>
    <w:rsid w:val="00CC7B09"/>
    <w:rsid w:val="00CC7B50"/>
    <w:rsid w:val="00CC7BCB"/>
    <w:rsid w:val="00CC7C58"/>
    <w:rsid w:val="00CC7CFD"/>
    <w:rsid w:val="00CC7E0A"/>
    <w:rsid w:val="00CC7E19"/>
    <w:rsid w:val="00CC7F76"/>
    <w:rsid w:val="00CD0055"/>
    <w:rsid w:val="00CD0098"/>
    <w:rsid w:val="00CD00D9"/>
    <w:rsid w:val="00CD013F"/>
    <w:rsid w:val="00CD032F"/>
    <w:rsid w:val="00CD0585"/>
    <w:rsid w:val="00CD05AC"/>
    <w:rsid w:val="00CD061C"/>
    <w:rsid w:val="00CD06D8"/>
    <w:rsid w:val="00CD0811"/>
    <w:rsid w:val="00CD0AC1"/>
    <w:rsid w:val="00CD0B24"/>
    <w:rsid w:val="00CD0BEF"/>
    <w:rsid w:val="00CD0C19"/>
    <w:rsid w:val="00CD0C3C"/>
    <w:rsid w:val="00CD0DEF"/>
    <w:rsid w:val="00CD0E93"/>
    <w:rsid w:val="00CD0F02"/>
    <w:rsid w:val="00CD0F04"/>
    <w:rsid w:val="00CD1103"/>
    <w:rsid w:val="00CD12B4"/>
    <w:rsid w:val="00CD12C6"/>
    <w:rsid w:val="00CD131A"/>
    <w:rsid w:val="00CD1435"/>
    <w:rsid w:val="00CD17CB"/>
    <w:rsid w:val="00CD17DA"/>
    <w:rsid w:val="00CD17E7"/>
    <w:rsid w:val="00CD18DF"/>
    <w:rsid w:val="00CD1A58"/>
    <w:rsid w:val="00CD1B1B"/>
    <w:rsid w:val="00CD1B5A"/>
    <w:rsid w:val="00CD1BFF"/>
    <w:rsid w:val="00CD1C2A"/>
    <w:rsid w:val="00CD1CC4"/>
    <w:rsid w:val="00CD1CFA"/>
    <w:rsid w:val="00CD1D48"/>
    <w:rsid w:val="00CD1D4B"/>
    <w:rsid w:val="00CD1D56"/>
    <w:rsid w:val="00CD1EAE"/>
    <w:rsid w:val="00CD20AE"/>
    <w:rsid w:val="00CD2142"/>
    <w:rsid w:val="00CD219F"/>
    <w:rsid w:val="00CD21EB"/>
    <w:rsid w:val="00CD2209"/>
    <w:rsid w:val="00CD2276"/>
    <w:rsid w:val="00CD22C6"/>
    <w:rsid w:val="00CD2308"/>
    <w:rsid w:val="00CD232D"/>
    <w:rsid w:val="00CD235C"/>
    <w:rsid w:val="00CD23B2"/>
    <w:rsid w:val="00CD241A"/>
    <w:rsid w:val="00CD2487"/>
    <w:rsid w:val="00CD2535"/>
    <w:rsid w:val="00CD27AB"/>
    <w:rsid w:val="00CD28F5"/>
    <w:rsid w:val="00CD2902"/>
    <w:rsid w:val="00CD29F5"/>
    <w:rsid w:val="00CD2A08"/>
    <w:rsid w:val="00CD2A9E"/>
    <w:rsid w:val="00CD2B30"/>
    <w:rsid w:val="00CD2C55"/>
    <w:rsid w:val="00CD2CF6"/>
    <w:rsid w:val="00CD2CF7"/>
    <w:rsid w:val="00CD2D43"/>
    <w:rsid w:val="00CD2D6F"/>
    <w:rsid w:val="00CD2DAB"/>
    <w:rsid w:val="00CD2E39"/>
    <w:rsid w:val="00CD2E64"/>
    <w:rsid w:val="00CD310A"/>
    <w:rsid w:val="00CD315C"/>
    <w:rsid w:val="00CD3223"/>
    <w:rsid w:val="00CD3248"/>
    <w:rsid w:val="00CD32AB"/>
    <w:rsid w:val="00CD33C1"/>
    <w:rsid w:val="00CD3554"/>
    <w:rsid w:val="00CD3770"/>
    <w:rsid w:val="00CD38BB"/>
    <w:rsid w:val="00CD38DF"/>
    <w:rsid w:val="00CD38FD"/>
    <w:rsid w:val="00CD3A32"/>
    <w:rsid w:val="00CD3AD0"/>
    <w:rsid w:val="00CD3C09"/>
    <w:rsid w:val="00CD3D6E"/>
    <w:rsid w:val="00CD3DA2"/>
    <w:rsid w:val="00CD3DC6"/>
    <w:rsid w:val="00CD3DFC"/>
    <w:rsid w:val="00CD3E5C"/>
    <w:rsid w:val="00CD3F14"/>
    <w:rsid w:val="00CD3F53"/>
    <w:rsid w:val="00CD4031"/>
    <w:rsid w:val="00CD413D"/>
    <w:rsid w:val="00CD417C"/>
    <w:rsid w:val="00CD42BB"/>
    <w:rsid w:val="00CD4317"/>
    <w:rsid w:val="00CD4335"/>
    <w:rsid w:val="00CD4466"/>
    <w:rsid w:val="00CD4548"/>
    <w:rsid w:val="00CD463A"/>
    <w:rsid w:val="00CD46DF"/>
    <w:rsid w:val="00CD471A"/>
    <w:rsid w:val="00CD47E8"/>
    <w:rsid w:val="00CD4A2F"/>
    <w:rsid w:val="00CD4A8A"/>
    <w:rsid w:val="00CD4B52"/>
    <w:rsid w:val="00CD4B82"/>
    <w:rsid w:val="00CD4E2F"/>
    <w:rsid w:val="00CD4E4D"/>
    <w:rsid w:val="00CD5190"/>
    <w:rsid w:val="00CD52D7"/>
    <w:rsid w:val="00CD53F1"/>
    <w:rsid w:val="00CD545E"/>
    <w:rsid w:val="00CD5525"/>
    <w:rsid w:val="00CD55ED"/>
    <w:rsid w:val="00CD5744"/>
    <w:rsid w:val="00CD57AB"/>
    <w:rsid w:val="00CD5ABE"/>
    <w:rsid w:val="00CD5AE3"/>
    <w:rsid w:val="00CD5B45"/>
    <w:rsid w:val="00CD5B5D"/>
    <w:rsid w:val="00CD5B6A"/>
    <w:rsid w:val="00CD5BAF"/>
    <w:rsid w:val="00CD5BC9"/>
    <w:rsid w:val="00CD5EB2"/>
    <w:rsid w:val="00CD5EF4"/>
    <w:rsid w:val="00CD5F70"/>
    <w:rsid w:val="00CD601B"/>
    <w:rsid w:val="00CD612E"/>
    <w:rsid w:val="00CD6162"/>
    <w:rsid w:val="00CD6181"/>
    <w:rsid w:val="00CD6316"/>
    <w:rsid w:val="00CD6358"/>
    <w:rsid w:val="00CD63DE"/>
    <w:rsid w:val="00CD6554"/>
    <w:rsid w:val="00CD6563"/>
    <w:rsid w:val="00CD6783"/>
    <w:rsid w:val="00CD67F6"/>
    <w:rsid w:val="00CD69A9"/>
    <w:rsid w:val="00CD69F3"/>
    <w:rsid w:val="00CD6AD2"/>
    <w:rsid w:val="00CD6ADA"/>
    <w:rsid w:val="00CD6B36"/>
    <w:rsid w:val="00CD6E6B"/>
    <w:rsid w:val="00CD6EA7"/>
    <w:rsid w:val="00CD6F1C"/>
    <w:rsid w:val="00CD6F74"/>
    <w:rsid w:val="00CD6FDA"/>
    <w:rsid w:val="00CD7039"/>
    <w:rsid w:val="00CD70BA"/>
    <w:rsid w:val="00CD7106"/>
    <w:rsid w:val="00CD715F"/>
    <w:rsid w:val="00CD72FC"/>
    <w:rsid w:val="00CD734C"/>
    <w:rsid w:val="00CD73D0"/>
    <w:rsid w:val="00CD7684"/>
    <w:rsid w:val="00CD775C"/>
    <w:rsid w:val="00CD78E2"/>
    <w:rsid w:val="00CD78E8"/>
    <w:rsid w:val="00CD797D"/>
    <w:rsid w:val="00CD7B86"/>
    <w:rsid w:val="00CD7C5E"/>
    <w:rsid w:val="00CD7D67"/>
    <w:rsid w:val="00CD7E2A"/>
    <w:rsid w:val="00CD7E47"/>
    <w:rsid w:val="00CD7E50"/>
    <w:rsid w:val="00CD7E9D"/>
    <w:rsid w:val="00CD7FA4"/>
    <w:rsid w:val="00CE0094"/>
    <w:rsid w:val="00CE009C"/>
    <w:rsid w:val="00CE0164"/>
    <w:rsid w:val="00CE0230"/>
    <w:rsid w:val="00CE0296"/>
    <w:rsid w:val="00CE02BD"/>
    <w:rsid w:val="00CE0300"/>
    <w:rsid w:val="00CE0307"/>
    <w:rsid w:val="00CE030D"/>
    <w:rsid w:val="00CE039E"/>
    <w:rsid w:val="00CE0487"/>
    <w:rsid w:val="00CE04D9"/>
    <w:rsid w:val="00CE0514"/>
    <w:rsid w:val="00CE0596"/>
    <w:rsid w:val="00CE0638"/>
    <w:rsid w:val="00CE0643"/>
    <w:rsid w:val="00CE065C"/>
    <w:rsid w:val="00CE066A"/>
    <w:rsid w:val="00CE06EF"/>
    <w:rsid w:val="00CE0872"/>
    <w:rsid w:val="00CE088D"/>
    <w:rsid w:val="00CE0937"/>
    <w:rsid w:val="00CE09F9"/>
    <w:rsid w:val="00CE0A28"/>
    <w:rsid w:val="00CE0AEA"/>
    <w:rsid w:val="00CE0C0C"/>
    <w:rsid w:val="00CE0C20"/>
    <w:rsid w:val="00CE0C3A"/>
    <w:rsid w:val="00CE0D9A"/>
    <w:rsid w:val="00CE0E32"/>
    <w:rsid w:val="00CE0F0B"/>
    <w:rsid w:val="00CE0F66"/>
    <w:rsid w:val="00CE0F6C"/>
    <w:rsid w:val="00CE0FDC"/>
    <w:rsid w:val="00CE1087"/>
    <w:rsid w:val="00CE10AD"/>
    <w:rsid w:val="00CE1104"/>
    <w:rsid w:val="00CE1181"/>
    <w:rsid w:val="00CE11EF"/>
    <w:rsid w:val="00CE1229"/>
    <w:rsid w:val="00CE1282"/>
    <w:rsid w:val="00CE12B6"/>
    <w:rsid w:val="00CE1354"/>
    <w:rsid w:val="00CE1363"/>
    <w:rsid w:val="00CE137F"/>
    <w:rsid w:val="00CE13EB"/>
    <w:rsid w:val="00CE1789"/>
    <w:rsid w:val="00CE17ED"/>
    <w:rsid w:val="00CE1868"/>
    <w:rsid w:val="00CE1892"/>
    <w:rsid w:val="00CE19EF"/>
    <w:rsid w:val="00CE1A09"/>
    <w:rsid w:val="00CE1A30"/>
    <w:rsid w:val="00CE1B06"/>
    <w:rsid w:val="00CE1B50"/>
    <w:rsid w:val="00CE1C3D"/>
    <w:rsid w:val="00CE1C94"/>
    <w:rsid w:val="00CE1DBA"/>
    <w:rsid w:val="00CE1E6F"/>
    <w:rsid w:val="00CE2166"/>
    <w:rsid w:val="00CE22DF"/>
    <w:rsid w:val="00CE2506"/>
    <w:rsid w:val="00CE2654"/>
    <w:rsid w:val="00CE2819"/>
    <w:rsid w:val="00CE28C4"/>
    <w:rsid w:val="00CE2903"/>
    <w:rsid w:val="00CE291A"/>
    <w:rsid w:val="00CE2AEF"/>
    <w:rsid w:val="00CE2B59"/>
    <w:rsid w:val="00CE2BC0"/>
    <w:rsid w:val="00CE2BDF"/>
    <w:rsid w:val="00CE2D11"/>
    <w:rsid w:val="00CE2DAD"/>
    <w:rsid w:val="00CE2F09"/>
    <w:rsid w:val="00CE2FCB"/>
    <w:rsid w:val="00CE2FE3"/>
    <w:rsid w:val="00CE30BB"/>
    <w:rsid w:val="00CE323E"/>
    <w:rsid w:val="00CE3274"/>
    <w:rsid w:val="00CE3368"/>
    <w:rsid w:val="00CE336A"/>
    <w:rsid w:val="00CE3422"/>
    <w:rsid w:val="00CE352C"/>
    <w:rsid w:val="00CE37DC"/>
    <w:rsid w:val="00CE383B"/>
    <w:rsid w:val="00CE38E4"/>
    <w:rsid w:val="00CE3A9C"/>
    <w:rsid w:val="00CE3B24"/>
    <w:rsid w:val="00CE3B2D"/>
    <w:rsid w:val="00CE3CAC"/>
    <w:rsid w:val="00CE3DC0"/>
    <w:rsid w:val="00CE3E14"/>
    <w:rsid w:val="00CE3F3B"/>
    <w:rsid w:val="00CE421D"/>
    <w:rsid w:val="00CE427E"/>
    <w:rsid w:val="00CE42E6"/>
    <w:rsid w:val="00CE4389"/>
    <w:rsid w:val="00CE4445"/>
    <w:rsid w:val="00CE454B"/>
    <w:rsid w:val="00CE4798"/>
    <w:rsid w:val="00CE4829"/>
    <w:rsid w:val="00CE4852"/>
    <w:rsid w:val="00CE48CA"/>
    <w:rsid w:val="00CE4B19"/>
    <w:rsid w:val="00CE4BC5"/>
    <w:rsid w:val="00CE4C31"/>
    <w:rsid w:val="00CE4C82"/>
    <w:rsid w:val="00CE4CF2"/>
    <w:rsid w:val="00CE4D8F"/>
    <w:rsid w:val="00CE4DE3"/>
    <w:rsid w:val="00CE4EAE"/>
    <w:rsid w:val="00CE4F2F"/>
    <w:rsid w:val="00CE4F37"/>
    <w:rsid w:val="00CE515E"/>
    <w:rsid w:val="00CE5226"/>
    <w:rsid w:val="00CE5239"/>
    <w:rsid w:val="00CE524F"/>
    <w:rsid w:val="00CE5254"/>
    <w:rsid w:val="00CE53EB"/>
    <w:rsid w:val="00CE5487"/>
    <w:rsid w:val="00CE54C5"/>
    <w:rsid w:val="00CE5539"/>
    <w:rsid w:val="00CE556D"/>
    <w:rsid w:val="00CE5687"/>
    <w:rsid w:val="00CE56C7"/>
    <w:rsid w:val="00CE5A5C"/>
    <w:rsid w:val="00CE5A62"/>
    <w:rsid w:val="00CE5ADB"/>
    <w:rsid w:val="00CE5B9C"/>
    <w:rsid w:val="00CE5C12"/>
    <w:rsid w:val="00CE5D0A"/>
    <w:rsid w:val="00CE5E1F"/>
    <w:rsid w:val="00CE5EE7"/>
    <w:rsid w:val="00CE5F22"/>
    <w:rsid w:val="00CE5F61"/>
    <w:rsid w:val="00CE6000"/>
    <w:rsid w:val="00CE6027"/>
    <w:rsid w:val="00CE61AE"/>
    <w:rsid w:val="00CE61E9"/>
    <w:rsid w:val="00CE6393"/>
    <w:rsid w:val="00CE63E8"/>
    <w:rsid w:val="00CE654E"/>
    <w:rsid w:val="00CE6561"/>
    <w:rsid w:val="00CE6660"/>
    <w:rsid w:val="00CE6723"/>
    <w:rsid w:val="00CE675C"/>
    <w:rsid w:val="00CE6789"/>
    <w:rsid w:val="00CE6835"/>
    <w:rsid w:val="00CE68F5"/>
    <w:rsid w:val="00CE6919"/>
    <w:rsid w:val="00CE6A5B"/>
    <w:rsid w:val="00CE6B6E"/>
    <w:rsid w:val="00CE6CEA"/>
    <w:rsid w:val="00CE6E97"/>
    <w:rsid w:val="00CE6F4D"/>
    <w:rsid w:val="00CE6F5B"/>
    <w:rsid w:val="00CE6F76"/>
    <w:rsid w:val="00CE710A"/>
    <w:rsid w:val="00CE7328"/>
    <w:rsid w:val="00CE7440"/>
    <w:rsid w:val="00CE7511"/>
    <w:rsid w:val="00CE7706"/>
    <w:rsid w:val="00CE770C"/>
    <w:rsid w:val="00CE7748"/>
    <w:rsid w:val="00CE7911"/>
    <w:rsid w:val="00CE7917"/>
    <w:rsid w:val="00CE791F"/>
    <w:rsid w:val="00CE7943"/>
    <w:rsid w:val="00CE7A28"/>
    <w:rsid w:val="00CE7A4A"/>
    <w:rsid w:val="00CE7A95"/>
    <w:rsid w:val="00CE7BF9"/>
    <w:rsid w:val="00CE7C53"/>
    <w:rsid w:val="00CE7C70"/>
    <w:rsid w:val="00CE7D11"/>
    <w:rsid w:val="00CE7D9E"/>
    <w:rsid w:val="00CE7F39"/>
    <w:rsid w:val="00CF0033"/>
    <w:rsid w:val="00CF0227"/>
    <w:rsid w:val="00CF024F"/>
    <w:rsid w:val="00CF037C"/>
    <w:rsid w:val="00CF03F4"/>
    <w:rsid w:val="00CF0467"/>
    <w:rsid w:val="00CF04AD"/>
    <w:rsid w:val="00CF050D"/>
    <w:rsid w:val="00CF052F"/>
    <w:rsid w:val="00CF05A9"/>
    <w:rsid w:val="00CF0689"/>
    <w:rsid w:val="00CF07A7"/>
    <w:rsid w:val="00CF07CB"/>
    <w:rsid w:val="00CF0873"/>
    <w:rsid w:val="00CF08C8"/>
    <w:rsid w:val="00CF09B5"/>
    <w:rsid w:val="00CF09D4"/>
    <w:rsid w:val="00CF09EE"/>
    <w:rsid w:val="00CF0A48"/>
    <w:rsid w:val="00CF0BC9"/>
    <w:rsid w:val="00CF0BCC"/>
    <w:rsid w:val="00CF0C81"/>
    <w:rsid w:val="00CF0C87"/>
    <w:rsid w:val="00CF0D86"/>
    <w:rsid w:val="00CF0DA5"/>
    <w:rsid w:val="00CF0F43"/>
    <w:rsid w:val="00CF0FE4"/>
    <w:rsid w:val="00CF1029"/>
    <w:rsid w:val="00CF104B"/>
    <w:rsid w:val="00CF10BF"/>
    <w:rsid w:val="00CF121C"/>
    <w:rsid w:val="00CF1247"/>
    <w:rsid w:val="00CF12DD"/>
    <w:rsid w:val="00CF1305"/>
    <w:rsid w:val="00CF13FD"/>
    <w:rsid w:val="00CF1502"/>
    <w:rsid w:val="00CF1675"/>
    <w:rsid w:val="00CF16C0"/>
    <w:rsid w:val="00CF1710"/>
    <w:rsid w:val="00CF173C"/>
    <w:rsid w:val="00CF1740"/>
    <w:rsid w:val="00CF17B9"/>
    <w:rsid w:val="00CF17FF"/>
    <w:rsid w:val="00CF18E8"/>
    <w:rsid w:val="00CF1957"/>
    <w:rsid w:val="00CF19EC"/>
    <w:rsid w:val="00CF1A44"/>
    <w:rsid w:val="00CF1AF8"/>
    <w:rsid w:val="00CF1CBD"/>
    <w:rsid w:val="00CF1DFE"/>
    <w:rsid w:val="00CF1F41"/>
    <w:rsid w:val="00CF1FC3"/>
    <w:rsid w:val="00CF2367"/>
    <w:rsid w:val="00CF23EB"/>
    <w:rsid w:val="00CF23EF"/>
    <w:rsid w:val="00CF2417"/>
    <w:rsid w:val="00CF2539"/>
    <w:rsid w:val="00CF2559"/>
    <w:rsid w:val="00CF26CA"/>
    <w:rsid w:val="00CF276A"/>
    <w:rsid w:val="00CF28D2"/>
    <w:rsid w:val="00CF2A1F"/>
    <w:rsid w:val="00CF2A5E"/>
    <w:rsid w:val="00CF2EC7"/>
    <w:rsid w:val="00CF2F01"/>
    <w:rsid w:val="00CF2F0A"/>
    <w:rsid w:val="00CF30D5"/>
    <w:rsid w:val="00CF3186"/>
    <w:rsid w:val="00CF31A7"/>
    <w:rsid w:val="00CF329F"/>
    <w:rsid w:val="00CF3328"/>
    <w:rsid w:val="00CF338D"/>
    <w:rsid w:val="00CF348A"/>
    <w:rsid w:val="00CF3569"/>
    <w:rsid w:val="00CF35B0"/>
    <w:rsid w:val="00CF37A1"/>
    <w:rsid w:val="00CF37D2"/>
    <w:rsid w:val="00CF38A7"/>
    <w:rsid w:val="00CF3A45"/>
    <w:rsid w:val="00CF3AF2"/>
    <w:rsid w:val="00CF3B96"/>
    <w:rsid w:val="00CF3C4A"/>
    <w:rsid w:val="00CF3DC3"/>
    <w:rsid w:val="00CF3E88"/>
    <w:rsid w:val="00CF3F64"/>
    <w:rsid w:val="00CF3FD7"/>
    <w:rsid w:val="00CF41E5"/>
    <w:rsid w:val="00CF42FD"/>
    <w:rsid w:val="00CF4305"/>
    <w:rsid w:val="00CF4486"/>
    <w:rsid w:val="00CF4574"/>
    <w:rsid w:val="00CF457D"/>
    <w:rsid w:val="00CF4661"/>
    <w:rsid w:val="00CF4725"/>
    <w:rsid w:val="00CF4813"/>
    <w:rsid w:val="00CF4876"/>
    <w:rsid w:val="00CF4A50"/>
    <w:rsid w:val="00CF4B2C"/>
    <w:rsid w:val="00CF4D29"/>
    <w:rsid w:val="00CF4E13"/>
    <w:rsid w:val="00CF4F9B"/>
    <w:rsid w:val="00CF5150"/>
    <w:rsid w:val="00CF5178"/>
    <w:rsid w:val="00CF51AD"/>
    <w:rsid w:val="00CF51B5"/>
    <w:rsid w:val="00CF52D4"/>
    <w:rsid w:val="00CF533D"/>
    <w:rsid w:val="00CF55AE"/>
    <w:rsid w:val="00CF560F"/>
    <w:rsid w:val="00CF5652"/>
    <w:rsid w:val="00CF565A"/>
    <w:rsid w:val="00CF56A4"/>
    <w:rsid w:val="00CF57D3"/>
    <w:rsid w:val="00CF590D"/>
    <w:rsid w:val="00CF59C5"/>
    <w:rsid w:val="00CF5A88"/>
    <w:rsid w:val="00CF5AB3"/>
    <w:rsid w:val="00CF5ACD"/>
    <w:rsid w:val="00CF5B08"/>
    <w:rsid w:val="00CF5C00"/>
    <w:rsid w:val="00CF5D94"/>
    <w:rsid w:val="00CF5ED2"/>
    <w:rsid w:val="00CF5FE0"/>
    <w:rsid w:val="00CF60B3"/>
    <w:rsid w:val="00CF6202"/>
    <w:rsid w:val="00CF625D"/>
    <w:rsid w:val="00CF6457"/>
    <w:rsid w:val="00CF64A3"/>
    <w:rsid w:val="00CF64C5"/>
    <w:rsid w:val="00CF64F4"/>
    <w:rsid w:val="00CF6525"/>
    <w:rsid w:val="00CF65AF"/>
    <w:rsid w:val="00CF65D6"/>
    <w:rsid w:val="00CF65D9"/>
    <w:rsid w:val="00CF65E9"/>
    <w:rsid w:val="00CF65EB"/>
    <w:rsid w:val="00CF669A"/>
    <w:rsid w:val="00CF67E9"/>
    <w:rsid w:val="00CF684A"/>
    <w:rsid w:val="00CF6860"/>
    <w:rsid w:val="00CF697A"/>
    <w:rsid w:val="00CF6A2F"/>
    <w:rsid w:val="00CF6A99"/>
    <w:rsid w:val="00CF6B1E"/>
    <w:rsid w:val="00CF6B9A"/>
    <w:rsid w:val="00CF6C1A"/>
    <w:rsid w:val="00CF6E1F"/>
    <w:rsid w:val="00CF6EAF"/>
    <w:rsid w:val="00CF7068"/>
    <w:rsid w:val="00CF70BF"/>
    <w:rsid w:val="00CF70C1"/>
    <w:rsid w:val="00CF70DA"/>
    <w:rsid w:val="00CF7260"/>
    <w:rsid w:val="00CF7305"/>
    <w:rsid w:val="00CF7395"/>
    <w:rsid w:val="00CF7469"/>
    <w:rsid w:val="00CF7547"/>
    <w:rsid w:val="00CF7566"/>
    <w:rsid w:val="00CF75D5"/>
    <w:rsid w:val="00CF7631"/>
    <w:rsid w:val="00CF779A"/>
    <w:rsid w:val="00CF7856"/>
    <w:rsid w:val="00CF7871"/>
    <w:rsid w:val="00CF7913"/>
    <w:rsid w:val="00CF7914"/>
    <w:rsid w:val="00CF7927"/>
    <w:rsid w:val="00CF7985"/>
    <w:rsid w:val="00CF79BB"/>
    <w:rsid w:val="00CF7A68"/>
    <w:rsid w:val="00CF7AC7"/>
    <w:rsid w:val="00CF7B22"/>
    <w:rsid w:val="00CF7B41"/>
    <w:rsid w:val="00CF7C8A"/>
    <w:rsid w:val="00CF7CBE"/>
    <w:rsid w:val="00CF7E7A"/>
    <w:rsid w:val="00CF7F92"/>
    <w:rsid w:val="00D00123"/>
    <w:rsid w:val="00D00145"/>
    <w:rsid w:val="00D00304"/>
    <w:rsid w:val="00D00312"/>
    <w:rsid w:val="00D0031D"/>
    <w:rsid w:val="00D0033F"/>
    <w:rsid w:val="00D00347"/>
    <w:rsid w:val="00D00367"/>
    <w:rsid w:val="00D00398"/>
    <w:rsid w:val="00D00458"/>
    <w:rsid w:val="00D0047C"/>
    <w:rsid w:val="00D004E9"/>
    <w:rsid w:val="00D0064F"/>
    <w:rsid w:val="00D00794"/>
    <w:rsid w:val="00D00903"/>
    <w:rsid w:val="00D0092C"/>
    <w:rsid w:val="00D00A9F"/>
    <w:rsid w:val="00D00B64"/>
    <w:rsid w:val="00D00BAC"/>
    <w:rsid w:val="00D00C9A"/>
    <w:rsid w:val="00D00CA4"/>
    <w:rsid w:val="00D00D99"/>
    <w:rsid w:val="00D00E43"/>
    <w:rsid w:val="00D00EEE"/>
    <w:rsid w:val="00D00F99"/>
    <w:rsid w:val="00D01007"/>
    <w:rsid w:val="00D01015"/>
    <w:rsid w:val="00D01034"/>
    <w:rsid w:val="00D01064"/>
    <w:rsid w:val="00D01144"/>
    <w:rsid w:val="00D011C5"/>
    <w:rsid w:val="00D0136D"/>
    <w:rsid w:val="00D014D9"/>
    <w:rsid w:val="00D01672"/>
    <w:rsid w:val="00D0172F"/>
    <w:rsid w:val="00D017B0"/>
    <w:rsid w:val="00D017F9"/>
    <w:rsid w:val="00D01C54"/>
    <w:rsid w:val="00D01C86"/>
    <w:rsid w:val="00D01D31"/>
    <w:rsid w:val="00D01ECC"/>
    <w:rsid w:val="00D01FBF"/>
    <w:rsid w:val="00D01FF3"/>
    <w:rsid w:val="00D0207E"/>
    <w:rsid w:val="00D0218E"/>
    <w:rsid w:val="00D021B0"/>
    <w:rsid w:val="00D02318"/>
    <w:rsid w:val="00D02445"/>
    <w:rsid w:val="00D02482"/>
    <w:rsid w:val="00D02558"/>
    <w:rsid w:val="00D02568"/>
    <w:rsid w:val="00D02644"/>
    <w:rsid w:val="00D02647"/>
    <w:rsid w:val="00D02648"/>
    <w:rsid w:val="00D02656"/>
    <w:rsid w:val="00D026ED"/>
    <w:rsid w:val="00D0273E"/>
    <w:rsid w:val="00D0280E"/>
    <w:rsid w:val="00D02AC6"/>
    <w:rsid w:val="00D02C5A"/>
    <w:rsid w:val="00D02D00"/>
    <w:rsid w:val="00D02D07"/>
    <w:rsid w:val="00D02D6E"/>
    <w:rsid w:val="00D02FD7"/>
    <w:rsid w:val="00D030D7"/>
    <w:rsid w:val="00D03123"/>
    <w:rsid w:val="00D03314"/>
    <w:rsid w:val="00D03411"/>
    <w:rsid w:val="00D0342D"/>
    <w:rsid w:val="00D03432"/>
    <w:rsid w:val="00D03471"/>
    <w:rsid w:val="00D0352C"/>
    <w:rsid w:val="00D0368F"/>
    <w:rsid w:val="00D036AA"/>
    <w:rsid w:val="00D036D0"/>
    <w:rsid w:val="00D036ED"/>
    <w:rsid w:val="00D03742"/>
    <w:rsid w:val="00D0392F"/>
    <w:rsid w:val="00D039D7"/>
    <w:rsid w:val="00D039EE"/>
    <w:rsid w:val="00D03A4E"/>
    <w:rsid w:val="00D03A5F"/>
    <w:rsid w:val="00D03C3E"/>
    <w:rsid w:val="00D03C7C"/>
    <w:rsid w:val="00D03E39"/>
    <w:rsid w:val="00D03E51"/>
    <w:rsid w:val="00D03E6F"/>
    <w:rsid w:val="00D04092"/>
    <w:rsid w:val="00D040EE"/>
    <w:rsid w:val="00D0415C"/>
    <w:rsid w:val="00D04179"/>
    <w:rsid w:val="00D0418B"/>
    <w:rsid w:val="00D04203"/>
    <w:rsid w:val="00D0427E"/>
    <w:rsid w:val="00D04328"/>
    <w:rsid w:val="00D04412"/>
    <w:rsid w:val="00D04446"/>
    <w:rsid w:val="00D0444F"/>
    <w:rsid w:val="00D0458B"/>
    <w:rsid w:val="00D0460D"/>
    <w:rsid w:val="00D046AD"/>
    <w:rsid w:val="00D04711"/>
    <w:rsid w:val="00D0471D"/>
    <w:rsid w:val="00D047FA"/>
    <w:rsid w:val="00D0492F"/>
    <w:rsid w:val="00D0493D"/>
    <w:rsid w:val="00D0497A"/>
    <w:rsid w:val="00D049A4"/>
    <w:rsid w:val="00D04A6D"/>
    <w:rsid w:val="00D04AEA"/>
    <w:rsid w:val="00D04C20"/>
    <w:rsid w:val="00D04CA9"/>
    <w:rsid w:val="00D04D24"/>
    <w:rsid w:val="00D04D7F"/>
    <w:rsid w:val="00D04DB4"/>
    <w:rsid w:val="00D04DCA"/>
    <w:rsid w:val="00D04ECF"/>
    <w:rsid w:val="00D04F59"/>
    <w:rsid w:val="00D04F8E"/>
    <w:rsid w:val="00D050D3"/>
    <w:rsid w:val="00D050DF"/>
    <w:rsid w:val="00D051A4"/>
    <w:rsid w:val="00D05258"/>
    <w:rsid w:val="00D054B7"/>
    <w:rsid w:val="00D055A8"/>
    <w:rsid w:val="00D055AD"/>
    <w:rsid w:val="00D05601"/>
    <w:rsid w:val="00D05617"/>
    <w:rsid w:val="00D05649"/>
    <w:rsid w:val="00D056AC"/>
    <w:rsid w:val="00D0576F"/>
    <w:rsid w:val="00D0589E"/>
    <w:rsid w:val="00D058FF"/>
    <w:rsid w:val="00D0596D"/>
    <w:rsid w:val="00D0598B"/>
    <w:rsid w:val="00D05B58"/>
    <w:rsid w:val="00D05CD5"/>
    <w:rsid w:val="00D05CF0"/>
    <w:rsid w:val="00D05D1A"/>
    <w:rsid w:val="00D05DEB"/>
    <w:rsid w:val="00D05E1C"/>
    <w:rsid w:val="00D05E55"/>
    <w:rsid w:val="00D05E64"/>
    <w:rsid w:val="00D05E89"/>
    <w:rsid w:val="00D05F63"/>
    <w:rsid w:val="00D0613F"/>
    <w:rsid w:val="00D06141"/>
    <w:rsid w:val="00D061FF"/>
    <w:rsid w:val="00D06217"/>
    <w:rsid w:val="00D06236"/>
    <w:rsid w:val="00D06366"/>
    <w:rsid w:val="00D064CE"/>
    <w:rsid w:val="00D0652B"/>
    <w:rsid w:val="00D06609"/>
    <w:rsid w:val="00D06783"/>
    <w:rsid w:val="00D069BF"/>
    <w:rsid w:val="00D069C4"/>
    <w:rsid w:val="00D06A81"/>
    <w:rsid w:val="00D06B13"/>
    <w:rsid w:val="00D06B28"/>
    <w:rsid w:val="00D06BF0"/>
    <w:rsid w:val="00D06CF7"/>
    <w:rsid w:val="00D06DC8"/>
    <w:rsid w:val="00D06EA2"/>
    <w:rsid w:val="00D07005"/>
    <w:rsid w:val="00D070A0"/>
    <w:rsid w:val="00D07127"/>
    <w:rsid w:val="00D0719B"/>
    <w:rsid w:val="00D0723F"/>
    <w:rsid w:val="00D0724C"/>
    <w:rsid w:val="00D072B9"/>
    <w:rsid w:val="00D07425"/>
    <w:rsid w:val="00D07450"/>
    <w:rsid w:val="00D074D9"/>
    <w:rsid w:val="00D07617"/>
    <w:rsid w:val="00D07625"/>
    <w:rsid w:val="00D07682"/>
    <w:rsid w:val="00D076E9"/>
    <w:rsid w:val="00D07771"/>
    <w:rsid w:val="00D078F4"/>
    <w:rsid w:val="00D07912"/>
    <w:rsid w:val="00D07AE0"/>
    <w:rsid w:val="00D07AE9"/>
    <w:rsid w:val="00D07B57"/>
    <w:rsid w:val="00D07B61"/>
    <w:rsid w:val="00D07C49"/>
    <w:rsid w:val="00D07D03"/>
    <w:rsid w:val="00D07D0F"/>
    <w:rsid w:val="00D07EE2"/>
    <w:rsid w:val="00D10016"/>
    <w:rsid w:val="00D1007E"/>
    <w:rsid w:val="00D10160"/>
    <w:rsid w:val="00D10165"/>
    <w:rsid w:val="00D101E5"/>
    <w:rsid w:val="00D10251"/>
    <w:rsid w:val="00D10290"/>
    <w:rsid w:val="00D102E4"/>
    <w:rsid w:val="00D102F1"/>
    <w:rsid w:val="00D10330"/>
    <w:rsid w:val="00D10602"/>
    <w:rsid w:val="00D107CA"/>
    <w:rsid w:val="00D10895"/>
    <w:rsid w:val="00D108A8"/>
    <w:rsid w:val="00D108F3"/>
    <w:rsid w:val="00D10912"/>
    <w:rsid w:val="00D109ED"/>
    <w:rsid w:val="00D10B93"/>
    <w:rsid w:val="00D10C46"/>
    <w:rsid w:val="00D10DA9"/>
    <w:rsid w:val="00D10F1E"/>
    <w:rsid w:val="00D10FA7"/>
    <w:rsid w:val="00D110FE"/>
    <w:rsid w:val="00D1119A"/>
    <w:rsid w:val="00D111E7"/>
    <w:rsid w:val="00D1130E"/>
    <w:rsid w:val="00D1131D"/>
    <w:rsid w:val="00D114EC"/>
    <w:rsid w:val="00D114F1"/>
    <w:rsid w:val="00D11526"/>
    <w:rsid w:val="00D11532"/>
    <w:rsid w:val="00D11539"/>
    <w:rsid w:val="00D115A4"/>
    <w:rsid w:val="00D115B6"/>
    <w:rsid w:val="00D1177D"/>
    <w:rsid w:val="00D117B5"/>
    <w:rsid w:val="00D117F7"/>
    <w:rsid w:val="00D11879"/>
    <w:rsid w:val="00D118C4"/>
    <w:rsid w:val="00D11BDB"/>
    <w:rsid w:val="00D11C2D"/>
    <w:rsid w:val="00D11CB4"/>
    <w:rsid w:val="00D11CF7"/>
    <w:rsid w:val="00D11D17"/>
    <w:rsid w:val="00D11DA5"/>
    <w:rsid w:val="00D11EF9"/>
    <w:rsid w:val="00D11F7B"/>
    <w:rsid w:val="00D1203B"/>
    <w:rsid w:val="00D1209C"/>
    <w:rsid w:val="00D12128"/>
    <w:rsid w:val="00D12249"/>
    <w:rsid w:val="00D12344"/>
    <w:rsid w:val="00D12347"/>
    <w:rsid w:val="00D12555"/>
    <w:rsid w:val="00D12644"/>
    <w:rsid w:val="00D12872"/>
    <w:rsid w:val="00D128F3"/>
    <w:rsid w:val="00D12999"/>
    <w:rsid w:val="00D12ACB"/>
    <w:rsid w:val="00D12C8A"/>
    <w:rsid w:val="00D12D2A"/>
    <w:rsid w:val="00D12D3B"/>
    <w:rsid w:val="00D12E2C"/>
    <w:rsid w:val="00D12E55"/>
    <w:rsid w:val="00D12EEC"/>
    <w:rsid w:val="00D12FD8"/>
    <w:rsid w:val="00D1300B"/>
    <w:rsid w:val="00D13032"/>
    <w:rsid w:val="00D132E5"/>
    <w:rsid w:val="00D13412"/>
    <w:rsid w:val="00D134C2"/>
    <w:rsid w:val="00D13713"/>
    <w:rsid w:val="00D1376F"/>
    <w:rsid w:val="00D139AB"/>
    <w:rsid w:val="00D13B01"/>
    <w:rsid w:val="00D13C8A"/>
    <w:rsid w:val="00D13CEC"/>
    <w:rsid w:val="00D13D0C"/>
    <w:rsid w:val="00D13D16"/>
    <w:rsid w:val="00D13D1F"/>
    <w:rsid w:val="00D13D37"/>
    <w:rsid w:val="00D13E89"/>
    <w:rsid w:val="00D13F6B"/>
    <w:rsid w:val="00D13F92"/>
    <w:rsid w:val="00D13FDD"/>
    <w:rsid w:val="00D1405F"/>
    <w:rsid w:val="00D140D4"/>
    <w:rsid w:val="00D140E9"/>
    <w:rsid w:val="00D14120"/>
    <w:rsid w:val="00D141B7"/>
    <w:rsid w:val="00D141CE"/>
    <w:rsid w:val="00D14235"/>
    <w:rsid w:val="00D1438A"/>
    <w:rsid w:val="00D14400"/>
    <w:rsid w:val="00D14433"/>
    <w:rsid w:val="00D1447C"/>
    <w:rsid w:val="00D144A9"/>
    <w:rsid w:val="00D144F1"/>
    <w:rsid w:val="00D145B5"/>
    <w:rsid w:val="00D145E8"/>
    <w:rsid w:val="00D14697"/>
    <w:rsid w:val="00D1470C"/>
    <w:rsid w:val="00D14BB6"/>
    <w:rsid w:val="00D14D2B"/>
    <w:rsid w:val="00D14E2B"/>
    <w:rsid w:val="00D14E33"/>
    <w:rsid w:val="00D14ED5"/>
    <w:rsid w:val="00D14F32"/>
    <w:rsid w:val="00D14F99"/>
    <w:rsid w:val="00D14FC6"/>
    <w:rsid w:val="00D15074"/>
    <w:rsid w:val="00D152C5"/>
    <w:rsid w:val="00D152D4"/>
    <w:rsid w:val="00D15342"/>
    <w:rsid w:val="00D1534A"/>
    <w:rsid w:val="00D153F9"/>
    <w:rsid w:val="00D1547C"/>
    <w:rsid w:val="00D154AA"/>
    <w:rsid w:val="00D1569B"/>
    <w:rsid w:val="00D156B4"/>
    <w:rsid w:val="00D1574C"/>
    <w:rsid w:val="00D15794"/>
    <w:rsid w:val="00D1581F"/>
    <w:rsid w:val="00D1584C"/>
    <w:rsid w:val="00D158BC"/>
    <w:rsid w:val="00D1592A"/>
    <w:rsid w:val="00D1595C"/>
    <w:rsid w:val="00D15976"/>
    <w:rsid w:val="00D159C0"/>
    <w:rsid w:val="00D15A14"/>
    <w:rsid w:val="00D15AB9"/>
    <w:rsid w:val="00D15AE3"/>
    <w:rsid w:val="00D15B27"/>
    <w:rsid w:val="00D15BDB"/>
    <w:rsid w:val="00D15C84"/>
    <w:rsid w:val="00D15DAA"/>
    <w:rsid w:val="00D15E0F"/>
    <w:rsid w:val="00D15F32"/>
    <w:rsid w:val="00D16089"/>
    <w:rsid w:val="00D16167"/>
    <w:rsid w:val="00D162B3"/>
    <w:rsid w:val="00D162D7"/>
    <w:rsid w:val="00D16486"/>
    <w:rsid w:val="00D16495"/>
    <w:rsid w:val="00D1651C"/>
    <w:rsid w:val="00D16537"/>
    <w:rsid w:val="00D166D3"/>
    <w:rsid w:val="00D16749"/>
    <w:rsid w:val="00D168B6"/>
    <w:rsid w:val="00D16A11"/>
    <w:rsid w:val="00D16BF7"/>
    <w:rsid w:val="00D16C14"/>
    <w:rsid w:val="00D16C1E"/>
    <w:rsid w:val="00D16C72"/>
    <w:rsid w:val="00D16CBB"/>
    <w:rsid w:val="00D16DEF"/>
    <w:rsid w:val="00D16F9C"/>
    <w:rsid w:val="00D1708E"/>
    <w:rsid w:val="00D170BE"/>
    <w:rsid w:val="00D170E7"/>
    <w:rsid w:val="00D17103"/>
    <w:rsid w:val="00D172A7"/>
    <w:rsid w:val="00D17330"/>
    <w:rsid w:val="00D17405"/>
    <w:rsid w:val="00D17505"/>
    <w:rsid w:val="00D1753D"/>
    <w:rsid w:val="00D175F8"/>
    <w:rsid w:val="00D176F4"/>
    <w:rsid w:val="00D178A8"/>
    <w:rsid w:val="00D1799F"/>
    <w:rsid w:val="00D17A62"/>
    <w:rsid w:val="00D17AA8"/>
    <w:rsid w:val="00D17C33"/>
    <w:rsid w:val="00D17C97"/>
    <w:rsid w:val="00D17D2C"/>
    <w:rsid w:val="00D17D80"/>
    <w:rsid w:val="00D17EDF"/>
    <w:rsid w:val="00D2009D"/>
    <w:rsid w:val="00D20137"/>
    <w:rsid w:val="00D20172"/>
    <w:rsid w:val="00D201B4"/>
    <w:rsid w:val="00D202C5"/>
    <w:rsid w:val="00D204B6"/>
    <w:rsid w:val="00D204F5"/>
    <w:rsid w:val="00D2054E"/>
    <w:rsid w:val="00D20563"/>
    <w:rsid w:val="00D2086D"/>
    <w:rsid w:val="00D2087D"/>
    <w:rsid w:val="00D208CD"/>
    <w:rsid w:val="00D20A1A"/>
    <w:rsid w:val="00D20A35"/>
    <w:rsid w:val="00D20A7D"/>
    <w:rsid w:val="00D20B77"/>
    <w:rsid w:val="00D20BA3"/>
    <w:rsid w:val="00D20BB9"/>
    <w:rsid w:val="00D20C5A"/>
    <w:rsid w:val="00D20C5B"/>
    <w:rsid w:val="00D20C7E"/>
    <w:rsid w:val="00D20D29"/>
    <w:rsid w:val="00D20D7D"/>
    <w:rsid w:val="00D20EB0"/>
    <w:rsid w:val="00D20EC0"/>
    <w:rsid w:val="00D20F17"/>
    <w:rsid w:val="00D20F3C"/>
    <w:rsid w:val="00D20FA6"/>
    <w:rsid w:val="00D20FED"/>
    <w:rsid w:val="00D21074"/>
    <w:rsid w:val="00D21081"/>
    <w:rsid w:val="00D211C4"/>
    <w:rsid w:val="00D211F6"/>
    <w:rsid w:val="00D21226"/>
    <w:rsid w:val="00D212EC"/>
    <w:rsid w:val="00D212FD"/>
    <w:rsid w:val="00D21307"/>
    <w:rsid w:val="00D21467"/>
    <w:rsid w:val="00D214A6"/>
    <w:rsid w:val="00D214E5"/>
    <w:rsid w:val="00D215A1"/>
    <w:rsid w:val="00D21713"/>
    <w:rsid w:val="00D217CD"/>
    <w:rsid w:val="00D21878"/>
    <w:rsid w:val="00D21931"/>
    <w:rsid w:val="00D21A98"/>
    <w:rsid w:val="00D21AEB"/>
    <w:rsid w:val="00D21B21"/>
    <w:rsid w:val="00D21C3B"/>
    <w:rsid w:val="00D21C4D"/>
    <w:rsid w:val="00D21E84"/>
    <w:rsid w:val="00D21EAE"/>
    <w:rsid w:val="00D21EE3"/>
    <w:rsid w:val="00D22009"/>
    <w:rsid w:val="00D22061"/>
    <w:rsid w:val="00D2207E"/>
    <w:rsid w:val="00D2212B"/>
    <w:rsid w:val="00D2214F"/>
    <w:rsid w:val="00D22153"/>
    <w:rsid w:val="00D22190"/>
    <w:rsid w:val="00D221C6"/>
    <w:rsid w:val="00D221F0"/>
    <w:rsid w:val="00D2229A"/>
    <w:rsid w:val="00D222FE"/>
    <w:rsid w:val="00D22475"/>
    <w:rsid w:val="00D22579"/>
    <w:rsid w:val="00D2267F"/>
    <w:rsid w:val="00D22855"/>
    <w:rsid w:val="00D228C9"/>
    <w:rsid w:val="00D22912"/>
    <w:rsid w:val="00D2292A"/>
    <w:rsid w:val="00D2297F"/>
    <w:rsid w:val="00D22A91"/>
    <w:rsid w:val="00D22B7A"/>
    <w:rsid w:val="00D22BD7"/>
    <w:rsid w:val="00D22CBB"/>
    <w:rsid w:val="00D22D64"/>
    <w:rsid w:val="00D22DF9"/>
    <w:rsid w:val="00D22E0F"/>
    <w:rsid w:val="00D23036"/>
    <w:rsid w:val="00D23082"/>
    <w:rsid w:val="00D2327C"/>
    <w:rsid w:val="00D23366"/>
    <w:rsid w:val="00D23564"/>
    <w:rsid w:val="00D23783"/>
    <w:rsid w:val="00D23A69"/>
    <w:rsid w:val="00D23AC8"/>
    <w:rsid w:val="00D23B79"/>
    <w:rsid w:val="00D23BF6"/>
    <w:rsid w:val="00D2402E"/>
    <w:rsid w:val="00D2403A"/>
    <w:rsid w:val="00D24113"/>
    <w:rsid w:val="00D241BB"/>
    <w:rsid w:val="00D24245"/>
    <w:rsid w:val="00D2426B"/>
    <w:rsid w:val="00D24323"/>
    <w:rsid w:val="00D243F9"/>
    <w:rsid w:val="00D2442B"/>
    <w:rsid w:val="00D244DB"/>
    <w:rsid w:val="00D2458F"/>
    <w:rsid w:val="00D24592"/>
    <w:rsid w:val="00D24738"/>
    <w:rsid w:val="00D248BC"/>
    <w:rsid w:val="00D248EF"/>
    <w:rsid w:val="00D24A93"/>
    <w:rsid w:val="00D24AC3"/>
    <w:rsid w:val="00D24CBC"/>
    <w:rsid w:val="00D24D49"/>
    <w:rsid w:val="00D24D71"/>
    <w:rsid w:val="00D24D89"/>
    <w:rsid w:val="00D25000"/>
    <w:rsid w:val="00D25076"/>
    <w:rsid w:val="00D250C9"/>
    <w:rsid w:val="00D250D1"/>
    <w:rsid w:val="00D250DA"/>
    <w:rsid w:val="00D25164"/>
    <w:rsid w:val="00D25223"/>
    <w:rsid w:val="00D252DE"/>
    <w:rsid w:val="00D25346"/>
    <w:rsid w:val="00D254E8"/>
    <w:rsid w:val="00D25521"/>
    <w:rsid w:val="00D25570"/>
    <w:rsid w:val="00D2560C"/>
    <w:rsid w:val="00D25670"/>
    <w:rsid w:val="00D258FA"/>
    <w:rsid w:val="00D2591F"/>
    <w:rsid w:val="00D25A08"/>
    <w:rsid w:val="00D25A62"/>
    <w:rsid w:val="00D25A6D"/>
    <w:rsid w:val="00D25AE5"/>
    <w:rsid w:val="00D25B10"/>
    <w:rsid w:val="00D25BEA"/>
    <w:rsid w:val="00D25D2B"/>
    <w:rsid w:val="00D25DF5"/>
    <w:rsid w:val="00D25E9B"/>
    <w:rsid w:val="00D25FE1"/>
    <w:rsid w:val="00D260B3"/>
    <w:rsid w:val="00D26169"/>
    <w:rsid w:val="00D261C7"/>
    <w:rsid w:val="00D261CA"/>
    <w:rsid w:val="00D262A7"/>
    <w:rsid w:val="00D262EB"/>
    <w:rsid w:val="00D262EC"/>
    <w:rsid w:val="00D26550"/>
    <w:rsid w:val="00D26582"/>
    <w:rsid w:val="00D2663E"/>
    <w:rsid w:val="00D26836"/>
    <w:rsid w:val="00D26858"/>
    <w:rsid w:val="00D26A09"/>
    <w:rsid w:val="00D26A2F"/>
    <w:rsid w:val="00D26A48"/>
    <w:rsid w:val="00D26D65"/>
    <w:rsid w:val="00D26E01"/>
    <w:rsid w:val="00D26EED"/>
    <w:rsid w:val="00D26EFE"/>
    <w:rsid w:val="00D27040"/>
    <w:rsid w:val="00D2722A"/>
    <w:rsid w:val="00D27296"/>
    <w:rsid w:val="00D272A2"/>
    <w:rsid w:val="00D27336"/>
    <w:rsid w:val="00D27350"/>
    <w:rsid w:val="00D273D4"/>
    <w:rsid w:val="00D2740C"/>
    <w:rsid w:val="00D2741D"/>
    <w:rsid w:val="00D27529"/>
    <w:rsid w:val="00D275D8"/>
    <w:rsid w:val="00D275FA"/>
    <w:rsid w:val="00D276E7"/>
    <w:rsid w:val="00D27924"/>
    <w:rsid w:val="00D2797A"/>
    <w:rsid w:val="00D27987"/>
    <w:rsid w:val="00D27A0A"/>
    <w:rsid w:val="00D27A88"/>
    <w:rsid w:val="00D27B03"/>
    <w:rsid w:val="00D27C6E"/>
    <w:rsid w:val="00D27D13"/>
    <w:rsid w:val="00D27DB5"/>
    <w:rsid w:val="00D27E7D"/>
    <w:rsid w:val="00D27EED"/>
    <w:rsid w:val="00D27F6C"/>
    <w:rsid w:val="00D27FAD"/>
    <w:rsid w:val="00D300B8"/>
    <w:rsid w:val="00D30224"/>
    <w:rsid w:val="00D30299"/>
    <w:rsid w:val="00D30317"/>
    <w:rsid w:val="00D304EE"/>
    <w:rsid w:val="00D305F0"/>
    <w:rsid w:val="00D30643"/>
    <w:rsid w:val="00D30737"/>
    <w:rsid w:val="00D30791"/>
    <w:rsid w:val="00D307B5"/>
    <w:rsid w:val="00D3085E"/>
    <w:rsid w:val="00D3092F"/>
    <w:rsid w:val="00D3093E"/>
    <w:rsid w:val="00D309B9"/>
    <w:rsid w:val="00D30A0F"/>
    <w:rsid w:val="00D30A9C"/>
    <w:rsid w:val="00D30BA5"/>
    <w:rsid w:val="00D30D34"/>
    <w:rsid w:val="00D30DAE"/>
    <w:rsid w:val="00D310A2"/>
    <w:rsid w:val="00D3111D"/>
    <w:rsid w:val="00D31149"/>
    <w:rsid w:val="00D3133A"/>
    <w:rsid w:val="00D31386"/>
    <w:rsid w:val="00D313B8"/>
    <w:rsid w:val="00D31454"/>
    <w:rsid w:val="00D31589"/>
    <w:rsid w:val="00D315F9"/>
    <w:rsid w:val="00D316C8"/>
    <w:rsid w:val="00D318D9"/>
    <w:rsid w:val="00D31A39"/>
    <w:rsid w:val="00D31BC3"/>
    <w:rsid w:val="00D31BF6"/>
    <w:rsid w:val="00D31D47"/>
    <w:rsid w:val="00D31DAE"/>
    <w:rsid w:val="00D31DB7"/>
    <w:rsid w:val="00D31F61"/>
    <w:rsid w:val="00D324C4"/>
    <w:rsid w:val="00D32626"/>
    <w:rsid w:val="00D32731"/>
    <w:rsid w:val="00D327C7"/>
    <w:rsid w:val="00D3285B"/>
    <w:rsid w:val="00D3293B"/>
    <w:rsid w:val="00D32B12"/>
    <w:rsid w:val="00D32BB0"/>
    <w:rsid w:val="00D32C00"/>
    <w:rsid w:val="00D32C3F"/>
    <w:rsid w:val="00D32C92"/>
    <w:rsid w:val="00D32CBE"/>
    <w:rsid w:val="00D32D55"/>
    <w:rsid w:val="00D32DC0"/>
    <w:rsid w:val="00D32E0D"/>
    <w:rsid w:val="00D32E7C"/>
    <w:rsid w:val="00D32EDD"/>
    <w:rsid w:val="00D32EF1"/>
    <w:rsid w:val="00D32F24"/>
    <w:rsid w:val="00D32F31"/>
    <w:rsid w:val="00D33024"/>
    <w:rsid w:val="00D3303C"/>
    <w:rsid w:val="00D33054"/>
    <w:rsid w:val="00D330B0"/>
    <w:rsid w:val="00D331EC"/>
    <w:rsid w:val="00D331F1"/>
    <w:rsid w:val="00D33235"/>
    <w:rsid w:val="00D3325B"/>
    <w:rsid w:val="00D33289"/>
    <w:rsid w:val="00D3329C"/>
    <w:rsid w:val="00D332CD"/>
    <w:rsid w:val="00D33339"/>
    <w:rsid w:val="00D33371"/>
    <w:rsid w:val="00D33566"/>
    <w:rsid w:val="00D3359B"/>
    <w:rsid w:val="00D335C7"/>
    <w:rsid w:val="00D335F9"/>
    <w:rsid w:val="00D336A8"/>
    <w:rsid w:val="00D3381F"/>
    <w:rsid w:val="00D33A68"/>
    <w:rsid w:val="00D33B6B"/>
    <w:rsid w:val="00D33BCA"/>
    <w:rsid w:val="00D33CE8"/>
    <w:rsid w:val="00D33DAA"/>
    <w:rsid w:val="00D33DEE"/>
    <w:rsid w:val="00D33E01"/>
    <w:rsid w:val="00D33ED2"/>
    <w:rsid w:val="00D33EEC"/>
    <w:rsid w:val="00D34018"/>
    <w:rsid w:val="00D34020"/>
    <w:rsid w:val="00D34118"/>
    <w:rsid w:val="00D341A3"/>
    <w:rsid w:val="00D3423A"/>
    <w:rsid w:val="00D34247"/>
    <w:rsid w:val="00D3428A"/>
    <w:rsid w:val="00D343DD"/>
    <w:rsid w:val="00D34400"/>
    <w:rsid w:val="00D3448A"/>
    <w:rsid w:val="00D34496"/>
    <w:rsid w:val="00D344DB"/>
    <w:rsid w:val="00D3459E"/>
    <w:rsid w:val="00D3462F"/>
    <w:rsid w:val="00D348EE"/>
    <w:rsid w:val="00D3492E"/>
    <w:rsid w:val="00D34981"/>
    <w:rsid w:val="00D34A16"/>
    <w:rsid w:val="00D34B0F"/>
    <w:rsid w:val="00D34B64"/>
    <w:rsid w:val="00D34DFF"/>
    <w:rsid w:val="00D34E57"/>
    <w:rsid w:val="00D34FCF"/>
    <w:rsid w:val="00D352E6"/>
    <w:rsid w:val="00D35344"/>
    <w:rsid w:val="00D356CE"/>
    <w:rsid w:val="00D35853"/>
    <w:rsid w:val="00D35863"/>
    <w:rsid w:val="00D35A72"/>
    <w:rsid w:val="00D35AD5"/>
    <w:rsid w:val="00D35ADC"/>
    <w:rsid w:val="00D35AF3"/>
    <w:rsid w:val="00D35B1A"/>
    <w:rsid w:val="00D35C48"/>
    <w:rsid w:val="00D35C7E"/>
    <w:rsid w:val="00D35DB7"/>
    <w:rsid w:val="00D35E4F"/>
    <w:rsid w:val="00D35FB6"/>
    <w:rsid w:val="00D35FD3"/>
    <w:rsid w:val="00D35FF9"/>
    <w:rsid w:val="00D3604E"/>
    <w:rsid w:val="00D36086"/>
    <w:rsid w:val="00D360DB"/>
    <w:rsid w:val="00D360E1"/>
    <w:rsid w:val="00D36121"/>
    <w:rsid w:val="00D363DB"/>
    <w:rsid w:val="00D363EC"/>
    <w:rsid w:val="00D363F0"/>
    <w:rsid w:val="00D363F5"/>
    <w:rsid w:val="00D36822"/>
    <w:rsid w:val="00D368EB"/>
    <w:rsid w:val="00D36AD3"/>
    <w:rsid w:val="00D36AFA"/>
    <w:rsid w:val="00D36D32"/>
    <w:rsid w:val="00D36D65"/>
    <w:rsid w:val="00D36F00"/>
    <w:rsid w:val="00D36F5C"/>
    <w:rsid w:val="00D36F93"/>
    <w:rsid w:val="00D36FC9"/>
    <w:rsid w:val="00D36FEA"/>
    <w:rsid w:val="00D370A1"/>
    <w:rsid w:val="00D373C9"/>
    <w:rsid w:val="00D37514"/>
    <w:rsid w:val="00D3753D"/>
    <w:rsid w:val="00D375F5"/>
    <w:rsid w:val="00D377A6"/>
    <w:rsid w:val="00D3786E"/>
    <w:rsid w:val="00D3789E"/>
    <w:rsid w:val="00D37970"/>
    <w:rsid w:val="00D37B63"/>
    <w:rsid w:val="00D37C90"/>
    <w:rsid w:val="00D37E7C"/>
    <w:rsid w:val="00D40141"/>
    <w:rsid w:val="00D4034C"/>
    <w:rsid w:val="00D404D7"/>
    <w:rsid w:val="00D405AB"/>
    <w:rsid w:val="00D40626"/>
    <w:rsid w:val="00D4065B"/>
    <w:rsid w:val="00D40684"/>
    <w:rsid w:val="00D40688"/>
    <w:rsid w:val="00D4070F"/>
    <w:rsid w:val="00D40731"/>
    <w:rsid w:val="00D4079F"/>
    <w:rsid w:val="00D40A30"/>
    <w:rsid w:val="00D40B19"/>
    <w:rsid w:val="00D40BC9"/>
    <w:rsid w:val="00D40C0C"/>
    <w:rsid w:val="00D40C19"/>
    <w:rsid w:val="00D40D1E"/>
    <w:rsid w:val="00D40D2C"/>
    <w:rsid w:val="00D40E25"/>
    <w:rsid w:val="00D40E52"/>
    <w:rsid w:val="00D40E58"/>
    <w:rsid w:val="00D40FE2"/>
    <w:rsid w:val="00D41014"/>
    <w:rsid w:val="00D41068"/>
    <w:rsid w:val="00D410A5"/>
    <w:rsid w:val="00D41274"/>
    <w:rsid w:val="00D41513"/>
    <w:rsid w:val="00D41557"/>
    <w:rsid w:val="00D41570"/>
    <w:rsid w:val="00D4160C"/>
    <w:rsid w:val="00D41614"/>
    <w:rsid w:val="00D41630"/>
    <w:rsid w:val="00D41716"/>
    <w:rsid w:val="00D4174D"/>
    <w:rsid w:val="00D41841"/>
    <w:rsid w:val="00D41868"/>
    <w:rsid w:val="00D419B3"/>
    <w:rsid w:val="00D41A6F"/>
    <w:rsid w:val="00D41A9C"/>
    <w:rsid w:val="00D41C98"/>
    <w:rsid w:val="00D41D7B"/>
    <w:rsid w:val="00D41E20"/>
    <w:rsid w:val="00D41EEC"/>
    <w:rsid w:val="00D41F6B"/>
    <w:rsid w:val="00D41F84"/>
    <w:rsid w:val="00D41F95"/>
    <w:rsid w:val="00D42182"/>
    <w:rsid w:val="00D42187"/>
    <w:rsid w:val="00D42262"/>
    <w:rsid w:val="00D4235B"/>
    <w:rsid w:val="00D4238B"/>
    <w:rsid w:val="00D423BB"/>
    <w:rsid w:val="00D425C4"/>
    <w:rsid w:val="00D427E2"/>
    <w:rsid w:val="00D42911"/>
    <w:rsid w:val="00D42949"/>
    <w:rsid w:val="00D42953"/>
    <w:rsid w:val="00D42984"/>
    <w:rsid w:val="00D42A6D"/>
    <w:rsid w:val="00D42C39"/>
    <w:rsid w:val="00D42CC5"/>
    <w:rsid w:val="00D42EA5"/>
    <w:rsid w:val="00D42EBE"/>
    <w:rsid w:val="00D43087"/>
    <w:rsid w:val="00D432C0"/>
    <w:rsid w:val="00D4337F"/>
    <w:rsid w:val="00D43382"/>
    <w:rsid w:val="00D434B7"/>
    <w:rsid w:val="00D434FE"/>
    <w:rsid w:val="00D43542"/>
    <w:rsid w:val="00D436A4"/>
    <w:rsid w:val="00D4372F"/>
    <w:rsid w:val="00D43761"/>
    <w:rsid w:val="00D43876"/>
    <w:rsid w:val="00D439EA"/>
    <w:rsid w:val="00D43A55"/>
    <w:rsid w:val="00D43AC1"/>
    <w:rsid w:val="00D43AF2"/>
    <w:rsid w:val="00D43DC3"/>
    <w:rsid w:val="00D43F67"/>
    <w:rsid w:val="00D43FEF"/>
    <w:rsid w:val="00D44010"/>
    <w:rsid w:val="00D44085"/>
    <w:rsid w:val="00D440EB"/>
    <w:rsid w:val="00D440ED"/>
    <w:rsid w:val="00D440FF"/>
    <w:rsid w:val="00D44148"/>
    <w:rsid w:val="00D44203"/>
    <w:rsid w:val="00D44304"/>
    <w:rsid w:val="00D44370"/>
    <w:rsid w:val="00D44371"/>
    <w:rsid w:val="00D44516"/>
    <w:rsid w:val="00D44534"/>
    <w:rsid w:val="00D445B5"/>
    <w:rsid w:val="00D44600"/>
    <w:rsid w:val="00D449FA"/>
    <w:rsid w:val="00D44AE4"/>
    <w:rsid w:val="00D44C39"/>
    <w:rsid w:val="00D44CFB"/>
    <w:rsid w:val="00D44E00"/>
    <w:rsid w:val="00D44E03"/>
    <w:rsid w:val="00D44EC9"/>
    <w:rsid w:val="00D452B1"/>
    <w:rsid w:val="00D453A3"/>
    <w:rsid w:val="00D453BA"/>
    <w:rsid w:val="00D45463"/>
    <w:rsid w:val="00D45485"/>
    <w:rsid w:val="00D45548"/>
    <w:rsid w:val="00D45692"/>
    <w:rsid w:val="00D457DE"/>
    <w:rsid w:val="00D45A2D"/>
    <w:rsid w:val="00D45A8C"/>
    <w:rsid w:val="00D45B15"/>
    <w:rsid w:val="00D45B42"/>
    <w:rsid w:val="00D45B76"/>
    <w:rsid w:val="00D45C62"/>
    <w:rsid w:val="00D45CF3"/>
    <w:rsid w:val="00D45D5A"/>
    <w:rsid w:val="00D45DD8"/>
    <w:rsid w:val="00D45F0D"/>
    <w:rsid w:val="00D46040"/>
    <w:rsid w:val="00D46068"/>
    <w:rsid w:val="00D460A8"/>
    <w:rsid w:val="00D461AA"/>
    <w:rsid w:val="00D461F3"/>
    <w:rsid w:val="00D462A3"/>
    <w:rsid w:val="00D46308"/>
    <w:rsid w:val="00D4632D"/>
    <w:rsid w:val="00D463BB"/>
    <w:rsid w:val="00D46436"/>
    <w:rsid w:val="00D464D1"/>
    <w:rsid w:val="00D46517"/>
    <w:rsid w:val="00D465D0"/>
    <w:rsid w:val="00D467DE"/>
    <w:rsid w:val="00D46804"/>
    <w:rsid w:val="00D4689D"/>
    <w:rsid w:val="00D4689E"/>
    <w:rsid w:val="00D46A3E"/>
    <w:rsid w:val="00D46AA4"/>
    <w:rsid w:val="00D46C90"/>
    <w:rsid w:val="00D46D08"/>
    <w:rsid w:val="00D46D1A"/>
    <w:rsid w:val="00D46DAF"/>
    <w:rsid w:val="00D46E1B"/>
    <w:rsid w:val="00D46EB9"/>
    <w:rsid w:val="00D46F0A"/>
    <w:rsid w:val="00D46F48"/>
    <w:rsid w:val="00D46FCF"/>
    <w:rsid w:val="00D47023"/>
    <w:rsid w:val="00D4709E"/>
    <w:rsid w:val="00D47176"/>
    <w:rsid w:val="00D47291"/>
    <w:rsid w:val="00D47385"/>
    <w:rsid w:val="00D473EC"/>
    <w:rsid w:val="00D474DD"/>
    <w:rsid w:val="00D47564"/>
    <w:rsid w:val="00D47757"/>
    <w:rsid w:val="00D477CC"/>
    <w:rsid w:val="00D478B4"/>
    <w:rsid w:val="00D479C6"/>
    <w:rsid w:val="00D47AC8"/>
    <w:rsid w:val="00D47AFF"/>
    <w:rsid w:val="00D47B01"/>
    <w:rsid w:val="00D47BA0"/>
    <w:rsid w:val="00D47BC7"/>
    <w:rsid w:val="00D47BF8"/>
    <w:rsid w:val="00D47C1E"/>
    <w:rsid w:val="00D47E3B"/>
    <w:rsid w:val="00D47E89"/>
    <w:rsid w:val="00D5005D"/>
    <w:rsid w:val="00D500CB"/>
    <w:rsid w:val="00D50239"/>
    <w:rsid w:val="00D50302"/>
    <w:rsid w:val="00D5032A"/>
    <w:rsid w:val="00D50406"/>
    <w:rsid w:val="00D50477"/>
    <w:rsid w:val="00D504D8"/>
    <w:rsid w:val="00D505B3"/>
    <w:rsid w:val="00D506B1"/>
    <w:rsid w:val="00D5077E"/>
    <w:rsid w:val="00D507BD"/>
    <w:rsid w:val="00D5083B"/>
    <w:rsid w:val="00D50881"/>
    <w:rsid w:val="00D50897"/>
    <w:rsid w:val="00D508D4"/>
    <w:rsid w:val="00D5092F"/>
    <w:rsid w:val="00D50B3C"/>
    <w:rsid w:val="00D50C52"/>
    <w:rsid w:val="00D50E1E"/>
    <w:rsid w:val="00D50E29"/>
    <w:rsid w:val="00D50E3D"/>
    <w:rsid w:val="00D50EF3"/>
    <w:rsid w:val="00D50F2E"/>
    <w:rsid w:val="00D50F6D"/>
    <w:rsid w:val="00D50FFC"/>
    <w:rsid w:val="00D5101E"/>
    <w:rsid w:val="00D5119B"/>
    <w:rsid w:val="00D512DE"/>
    <w:rsid w:val="00D512E1"/>
    <w:rsid w:val="00D513EA"/>
    <w:rsid w:val="00D514B3"/>
    <w:rsid w:val="00D51568"/>
    <w:rsid w:val="00D516F7"/>
    <w:rsid w:val="00D5171C"/>
    <w:rsid w:val="00D5173E"/>
    <w:rsid w:val="00D5183C"/>
    <w:rsid w:val="00D51923"/>
    <w:rsid w:val="00D51978"/>
    <w:rsid w:val="00D519BC"/>
    <w:rsid w:val="00D51A62"/>
    <w:rsid w:val="00D51C2D"/>
    <w:rsid w:val="00D51C42"/>
    <w:rsid w:val="00D51CAE"/>
    <w:rsid w:val="00D51D4C"/>
    <w:rsid w:val="00D51D82"/>
    <w:rsid w:val="00D51DB6"/>
    <w:rsid w:val="00D51ED0"/>
    <w:rsid w:val="00D51F73"/>
    <w:rsid w:val="00D52070"/>
    <w:rsid w:val="00D52086"/>
    <w:rsid w:val="00D522CA"/>
    <w:rsid w:val="00D52320"/>
    <w:rsid w:val="00D52423"/>
    <w:rsid w:val="00D5254D"/>
    <w:rsid w:val="00D52559"/>
    <w:rsid w:val="00D5257F"/>
    <w:rsid w:val="00D52645"/>
    <w:rsid w:val="00D5264B"/>
    <w:rsid w:val="00D52762"/>
    <w:rsid w:val="00D527AA"/>
    <w:rsid w:val="00D528E9"/>
    <w:rsid w:val="00D52A06"/>
    <w:rsid w:val="00D52B28"/>
    <w:rsid w:val="00D52EC7"/>
    <w:rsid w:val="00D53028"/>
    <w:rsid w:val="00D53126"/>
    <w:rsid w:val="00D53258"/>
    <w:rsid w:val="00D53408"/>
    <w:rsid w:val="00D53535"/>
    <w:rsid w:val="00D53564"/>
    <w:rsid w:val="00D535ED"/>
    <w:rsid w:val="00D536A7"/>
    <w:rsid w:val="00D53902"/>
    <w:rsid w:val="00D53A33"/>
    <w:rsid w:val="00D53BA0"/>
    <w:rsid w:val="00D53BA1"/>
    <w:rsid w:val="00D53C04"/>
    <w:rsid w:val="00D53C11"/>
    <w:rsid w:val="00D53C9A"/>
    <w:rsid w:val="00D53D0A"/>
    <w:rsid w:val="00D53DB6"/>
    <w:rsid w:val="00D53DCB"/>
    <w:rsid w:val="00D53F82"/>
    <w:rsid w:val="00D53F94"/>
    <w:rsid w:val="00D53FBB"/>
    <w:rsid w:val="00D54004"/>
    <w:rsid w:val="00D54050"/>
    <w:rsid w:val="00D5412B"/>
    <w:rsid w:val="00D5414E"/>
    <w:rsid w:val="00D54258"/>
    <w:rsid w:val="00D5426D"/>
    <w:rsid w:val="00D543B8"/>
    <w:rsid w:val="00D54513"/>
    <w:rsid w:val="00D54598"/>
    <w:rsid w:val="00D545FA"/>
    <w:rsid w:val="00D546B7"/>
    <w:rsid w:val="00D54948"/>
    <w:rsid w:val="00D54AE9"/>
    <w:rsid w:val="00D54B53"/>
    <w:rsid w:val="00D54B97"/>
    <w:rsid w:val="00D54C17"/>
    <w:rsid w:val="00D54C27"/>
    <w:rsid w:val="00D54C2F"/>
    <w:rsid w:val="00D54CAF"/>
    <w:rsid w:val="00D54F79"/>
    <w:rsid w:val="00D55027"/>
    <w:rsid w:val="00D5506C"/>
    <w:rsid w:val="00D55093"/>
    <w:rsid w:val="00D55232"/>
    <w:rsid w:val="00D553A8"/>
    <w:rsid w:val="00D553B7"/>
    <w:rsid w:val="00D55403"/>
    <w:rsid w:val="00D55438"/>
    <w:rsid w:val="00D554E8"/>
    <w:rsid w:val="00D55534"/>
    <w:rsid w:val="00D5555E"/>
    <w:rsid w:val="00D55684"/>
    <w:rsid w:val="00D5570D"/>
    <w:rsid w:val="00D55739"/>
    <w:rsid w:val="00D55782"/>
    <w:rsid w:val="00D55787"/>
    <w:rsid w:val="00D557D5"/>
    <w:rsid w:val="00D557F1"/>
    <w:rsid w:val="00D559A2"/>
    <w:rsid w:val="00D55A11"/>
    <w:rsid w:val="00D55ADA"/>
    <w:rsid w:val="00D55B3F"/>
    <w:rsid w:val="00D55B53"/>
    <w:rsid w:val="00D55B8A"/>
    <w:rsid w:val="00D55B8E"/>
    <w:rsid w:val="00D55BAA"/>
    <w:rsid w:val="00D55D1D"/>
    <w:rsid w:val="00D55D7C"/>
    <w:rsid w:val="00D55E29"/>
    <w:rsid w:val="00D55E76"/>
    <w:rsid w:val="00D55EAE"/>
    <w:rsid w:val="00D55F26"/>
    <w:rsid w:val="00D561C9"/>
    <w:rsid w:val="00D561CA"/>
    <w:rsid w:val="00D5627C"/>
    <w:rsid w:val="00D56337"/>
    <w:rsid w:val="00D564BA"/>
    <w:rsid w:val="00D56634"/>
    <w:rsid w:val="00D566BB"/>
    <w:rsid w:val="00D567B1"/>
    <w:rsid w:val="00D567E7"/>
    <w:rsid w:val="00D56841"/>
    <w:rsid w:val="00D56999"/>
    <w:rsid w:val="00D56A6F"/>
    <w:rsid w:val="00D56C71"/>
    <w:rsid w:val="00D56CC4"/>
    <w:rsid w:val="00D56F9C"/>
    <w:rsid w:val="00D571FD"/>
    <w:rsid w:val="00D57237"/>
    <w:rsid w:val="00D5727D"/>
    <w:rsid w:val="00D572BA"/>
    <w:rsid w:val="00D5737E"/>
    <w:rsid w:val="00D57446"/>
    <w:rsid w:val="00D5748F"/>
    <w:rsid w:val="00D576B6"/>
    <w:rsid w:val="00D576BA"/>
    <w:rsid w:val="00D57778"/>
    <w:rsid w:val="00D578BC"/>
    <w:rsid w:val="00D579EB"/>
    <w:rsid w:val="00D57A54"/>
    <w:rsid w:val="00D57C14"/>
    <w:rsid w:val="00D57D6E"/>
    <w:rsid w:val="00D57E54"/>
    <w:rsid w:val="00D57F2D"/>
    <w:rsid w:val="00D57F52"/>
    <w:rsid w:val="00D5DB4B"/>
    <w:rsid w:val="00D6013D"/>
    <w:rsid w:val="00D60193"/>
    <w:rsid w:val="00D603D4"/>
    <w:rsid w:val="00D604DF"/>
    <w:rsid w:val="00D604FA"/>
    <w:rsid w:val="00D60539"/>
    <w:rsid w:val="00D60552"/>
    <w:rsid w:val="00D60579"/>
    <w:rsid w:val="00D60742"/>
    <w:rsid w:val="00D60787"/>
    <w:rsid w:val="00D60820"/>
    <w:rsid w:val="00D60938"/>
    <w:rsid w:val="00D60A85"/>
    <w:rsid w:val="00D60A99"/>
    <w:rsid w:val="00D60C2E"/>
    <w:rsid w:val="00D60CDA"/>
    <w:rsid w:val="00D60CE0"/>
    <w:rsid w:val="00D60D98"/>
    <w:rsid w:val="00D60E4B"/>
    <w:rsid w:val="00D610C0"/>
    <w:rsid w:val="00D61116"/>
    <w:rsid w:val="00D6116A"/>
    <w:rsid w:val="00D61252"/>
    <w:rsid w:val="00D61460"/>
    <w:rsid w:val="00D61556"/>
    <w:rsid w:val="00D61575"/>
    <w:rsid w:val="00D61587"/>
    <w:rsid w:val="00D618B3"/>
    <w:rsid w:val="00D619D5"/>
    <w:rsid w:val="00D619E5"/>
    <w:rsid w:val="00D61B46"/>
    <w:rsid w:val="00D61C35"/>
    <w:rsid w:val="00D61CFF"/>
    <w:rsid w:val="00D61D28"/>
    <w:rsid w:val="00D61D76"/>
    <w:rsid w:val="00D61DF1"/>
    <w:rsid w:val="00D61E6C"/>
    <w:rsid w:val="00D62049"/>
    <w:rsid w:val="00D6233B"/>
    <w:rsid w:val="00D62527"/>
    <w:rsid w:val="00D6254A"/>
    <w:rsid w:val="00D62633"/>
    <w:rsid w:val="00D6264E"/>
    <w:rsid w:val="00D6281A"/>
    <w:rsid w:val="00D62862"/>
    <w:rsid w:val="00D629D7"/>
    <w:rsid w:val="00D62A16"/>
    <w:rsid w:val="00D62A57"/>
    <w:rsid w:val="00D62CFC"/>
    <w:rsid w:val="00D62DA5"/>
    <w:rsid w:val="00D62DD2"/>
    <w:rsid w:val="00D62E7F"/>
    <w:rsid w:val="00D62FF1"/>
    <w:rsid w:val="00D63202"/>
    <w:rsid w:val="00D632D3"/>
    <w:rsid w:val="00D63333"/>
    <w:rsid w:val="00D633B8"/>
    <w:rsid w:val="00D633DF"/>
    <w:rsid w:val="00D633EB"/>
    <w:rsid w:val="00D63523"/>
    <w:rsid w:val="00D63569"/>
    <w:rsid w:val="00D63791"/>
    <w:rsid w:val="00D6379B"/>
    <w:rsid w:val="00D63891"/>
    <w:rsid w:val="00D63954"/>
    <w:rsid w:val="00D639D6"/>
    <w:rsid w:val="00D639FA"/>
    <w:rsid w:val="00D63A72"/>
    <w:rsid w:val="00D63A88"/>
    <w:rsid w:val="00D63A97"/>
    <w:rsid w:val="00D63D22"/>
    <w:rsid w:val="00D63D81"/>
    <w:rsid w:val="00D63E56"/>
    <w:rsid w:val="00D63F35"/>
    <w:rsid w:val="00D6401C"/>
    <w:rsid w:val="00D640ED"/>
    <w:rsid w:val="00D6415A"/>
    <w:rsid w:val="00D642FD"/>
    <w:rsid w:val="00D643C7"/>
    <w:rsid w:val="00D643DC"/>
    <w:rsid w:val="00D64417"/>
    <w:rsid w:val="00D6444E"/>
    <w:rsid w:val="00D64474"/>
    <w:rsid w:val="00D644DB"/>
    <w:rsid w:val="00D6458D"/>
    <w:rsid w:val="00D64688"/>
    <w:rsid w:val="00D6469F"/>
    <w:rsid w:val="00D64711"/>
    <w:rsid w:val="00D64746"/>
    <w:rsid w:val="00D649B1"/>
    <w:rsid w:val="00D64A03"/>
    <w:rsid w:val="00D64AC5"/>
    <w:rsid w:val="00D64B84"/>
    <w:rsid w:val="00D64BEB"/>
    <w:rsid w:val="00D64E64"/>
    <w:rsid w:val="00D64E9E"/>
    <w:rsid w:val="00D64EC4"/>
    <w:rsid w:val="00D6510F"/>
    <w:rsid w:val="00D65184"/>
    <w:rsid w:val="00D65206"/>
    <w:rsid w:val="00D6523B"/>
    <w:rsid w:val="00D65387"/>
    <w:rsid w:val="00D653C4"/>
    <w:rsid w:val="00D65498"/>
    <w:rsid w:val="00D65527"/>
    <w:rsid w:val="00D655C3"/>
    <w:rsid w:val="00D65777"/>
    <w:rsid w:val="00D6578B"/>
    <w:rsid w:val="00D657CC"/>
    <w:rsid w:val="00D658EB"/>
    <w:rsid w:val="00D65996"/>
    <w:rsid w:val="00D65AF3"/>
    <w:rsid w:val="00D65D1C"/>
    <w:rsid w:val="00D65D80"/>
    <w:rsid w:val="00D65E14"/>
    <w:rsid w:val="00D65E2F"/>
    <w:rsid w:val="00D65E99"/>
    <w:rsid w:val="00D65EF4"/>
    <w:rsid w:val="00D65F03"/>
    <w:rsid w:val="00D65F31"/>
    <w:rsid w:val="00D65F99"/>
    <w:rsid w:val="00D66165"/>
    <w:rsid w:val="00D6631F"/>
    <w:rsid w:val="00D66385"/>
    <w:rsid w:val="00D664F9"/>
    <w:rsid w:val="00D66562"/>
    <w:rsid w:val="00D6667D"/>
    <w:rsid w:val="00D66793"/>
    <w:rsid w:val="00D667EC"/>
    <w:rsid w:val="00D66801"/>
    <w:rsid w:val="00D6684A"/>
    <w:rsid w:val="00D669CD"/>
    <w:rsid w:val="00D66A0C"/>
    <w:rsid w:val="00D66B45"/>
    <w:rsid w:val="00D66B98"/>
    <w:rsid w:val="00D66B99"/>
    <w:rsid w:val="00D66C4D"/>
    <w:rsid w:val="00D66C61"/>
    <w:rsid w:val="00D66CBC"/>
    <w:rsid w:val="00D66D96"/>
    <w:rsid w:val="00D66DEE"/>
    <w:rsid w:val="00D66EDC"/>
    <w:rsid w:val="00D6705C"/>
    <w:rsid w:val="00D670E1"/>
    <w:rsid w:val="00D67134"/>
    <w:rsid w:val="00D671CC"/>
    <w:rsid w:val="00D6723C"/>
    <w:rsid w:val="00D67257"/>
    <w:rsid w:val="00D67545"/>
    <w:rsid w:val="00D67685"/>
    <w:rsid w:val="00D676AB"/>
    <w:rsid w:val="00D67737"/>
    <w:rsid w:val="00D67771"/>
    <w:rsid w:val="00D67779"/>
    <w:rsid w:val="00D67787"/>
    <w:rsid w:val="00D677B3"/>
    <w:rsid w:val="00D67BB2"/>
    <w:rsid w:val="00D67BD1"/>
    <w:rsid w:val="00D67CAD"/>
    <w:rsid w:val="00D67DA3"/>
    <w:rsid w:val="00D67DAA"/>
    <w:rsid w:val="00D67E34"/>
    <w:rsid w:val="00D67E65"/>
    <w:rsid w:val="00D67F2F"/>
    <w:rsid w:val="00D67F4F"/>
    <w:rsid w:val="00D67FD1"/>
    <w:rsid w:val="00D700C4"/>
    <w:rsid w:val="00D70138"/>
    <w:rsid w:val="00D70260"/>
    <w:rsid w:val="00D702A2"/>
    <w:rsid w:val="00D702BC"/>
    <w:rsid w:val="00D70372"/>
    <w:rsid w:val="00D70489"/>
    <w:rsid w:val="00D7060C"/>
    <w:rsid w:val="00D706DD"/>
    <w:rsid w:val="00D70A1B"/>
    <w:rsid w:val="00D70A42"/>
    <w:rsid w:val="00D70C47"/>
    <w:rsid w:val="00D70CD3"/>
    <w:rsid w:val="00D70D9F"/>
    <w:rsid w:val="00D70DD7"/>
    <w:rsid w:val="00D70E37"/>
    <w:rsid w:val="00D70F15"/>
    <w:rsid w:val="00D71021"/>
    <w:rsid w:val="00D71090"/>
    <w:rsid w:val="00D71176"/>
    <w:rsid w:val="00D711DA"/>
    <w:rsid w:val="00D7129D"/>
    <w:rsid w:val="00D712C7"/>
    <w:rsid w:val="00D712EB"/>
    <w:rsid w:val="00D71445"/>
    <w:rsid w:val="00D7151A"/>
    <w:rsid w:val="00D71594"/>
    <w:rsid w:val="00D717AD"/>
    <w:rsid w:val="00D71826"/>
    <w:rsid w:val="00D7184F"/>
    <w:rsid w:val="00D71947"/>
    <w:rsid w:val="00D71953"/>
    <w:rsid w:val="00D7198D"/>
    <w:rsid w:val="00D71998"/>
    <w:rsid w:val="00D719B1"/>
    <w:rsid w:val="00D71A4B"/>
    <w:rsid w:val="00D71A84"/>
    <w:rsid w:val="00D71B3C"/>
    <w:rsid w:val="00D71C47"/>
    <w:rsid w:val="00D71C79"/>
    <w:rsid w:val="00D71D5A"/>
    <w:rsid w:val="00D71DB5"/>
    <w:rsid w:val="00D71DEB"/>
    <w:rsid w:val="00D71E81"/>
    <w:rsid w:val="00D71FD4"/>
    <w:rsid w:val="00D71FDB"/>
    <w:rsid w:val="00D72189"/>
    <w:rsid w:val="00D7226E"/>
    <w:rsid w:val="00D7231F"/>
    <w:rsid w:val="00D724CD"/>
    <w:rsid w:val="00D72574"/>
    <w:rsid w:val="00D725D3"/>
    <w:rsid w:val="00D726E7"/>
    <w:rsid w:val="00D72770"/>
    <w:rsid w:val="00D72774"/>
    <w:rsid w:val="00D7278F"/>
    <w:rsid w:val="00D727AA"/>
    <w:rsid w:val="00D72845"/>
    <w:rsid w:val="00D72BFE"/>
    <w:rsid w:val="00D72C58"/>
    <w:rsid w:val="00D72C8E"/>
    <w:rsid w:val="00D72D20"/>
    <w:rsid w:val="00D72D85"/>
    <w:rsid w:val="00D72E1D"/>
    <w:rsid w:val="00D72FD1"/>
    <w:rsid w:val="00D7302E"/>
    <w:rsid w:val="00D7303A"/>
    <w:rsid w:val="00D73312"/>
    <w:rsid w:val="00D73423"/>
    <w:rsid w:val="00D73692"/>
    <w:rsid w:val="00D73926"/>
    <w:rsid w:val="00D73A18"/>
    <w:rsid w:val="00D73AA8"/>
    <w:rsid w:val="00D73AED"/>
    <w:rsid w:val="00D73B95"/>
    <w:rsid w:val="00D73BD5"/>
    <w:rsid w:val="00D73C9B"/>
    <w:rsid w:val="00D73D3C"/>
    <w:rsid w:val="00D73E73"/>
    <w:rsid w:val="00D73F1E"/>
    <w:rsid w:val="00D73F63"/>
    <w:rsid w:val="00D74152"/>
    <w:rsid w:val="00D74161"/>
    <w:rsid w:val="00D74378"/>
    <w:rsid w:val="00D743BB"/>
    <w:rsid w:val="00D74450"/>
    <w:rsid w:val="00D74692"/>
    <w:rsid w:val="00D74833"/>
    <w:rsid w:val="00D748A3"/>
    <w:rsid w:val="00D7494D"/>
    <w:rsid w:val="00D74A77"/>
    <w:rsid w:val="00D74AC3"/>
    <w:rsid w:val="00D74AF9"/>
    <w:rsid w:val="00D74B41"/>
    <w:rsid w:val="00D74C18"/>
    <w:rsid w:val="00D74D35"/>
    <w:rsid w:val="00D74E11"/>
    <w:rsid w:val="00D74F1A"/>
    <w:rsid w:val="00D74FD0"/>
    <w:rsid w:val="00D75249"/>
    <w:rsid w:val="00D753A3"/>
    <w:rsid w:val="00D75602"/>
    <w:rsid w:val="00D75619"/>
    <w:rsid w:val="00D75769"/>
    <w:rsid w:val="00D75809"/>
    <w:rsid w:val="00D75881"/>
    <w:rsid w:val="00D75887"/>
    <w:rsid w:val="00D758E5"/>
    <w:rsid w:val="00D7599A"/>
    <w:rsid w:val="00D759AD"/>
    <w:rsid w:val="00D759C9"/>
    <w:rsid w:val="00D75A7D"/>
    <w:rsid w:val="00D75C5F"/>
    <w:rsid w:val="00D75E46"/>
    <w:rsid w:val="00D75EE8"/>
    <w:rsid w:val="00D75FD7"/>
    <w:rsid w:val="00D7604B"/>
    <w:rsid w:val="00D760A3"/>
    <w:rsid w:val="00D76102"/>
    <w:rsid w:val="00D76137"/>
    <w:rsid w:val="00D76143"/>
    <w:rsid w:val="00D76144"/>
    <w:rsid w:val="00D7642B"/>
    <w:rsid w:val="00D7644E"/>
    <w:rsid w:val="00D766D6"/>
    <w:rsid w:val="00D76785"/>
    <w:rsid w:val="00D767B7"/>
    <w:rsid w:val="00D76893"/>
    <w:rsid w:val="00D768CE"/>
    <w:rsid w:val="00D768E2"/>
    <w:rsid w:val="00D768FB"/>
    <w:rsid w:val="00D769AA"/>
    <w:rsid w:val="00D76B6C"/>
    <w:rsid w:val="00D76C17"/>
    <w:rsid w:val="00D76C58"/>
    <w:rsid w:val="00D76CCF"/>
    <w:rsid w:val="00D76CE7"/>
    <w:rsid w:val="00D76D9B"/>
    <w:rsid w:val="00D76E72"/>
    <w:rsid w:val="00D76E8F"/>
    <w:rsid w:val="00D76E98"/>
    <w:rsid w:val="00D76F0D"/>
    <w:rsid w:val="00D76FF0"/>
    <w:rsid w:val="00D7701A"/>
    <w:rsid w:val="00D77060"/>
    <w:rsid w:val="00D77133"/>
    <w:rsid w:val="00D773C9"/>
    <w:rsid w:val="00D77446"/>
    <w:rsid w:val="00D7748A"/>
    <w:rsid w:val="00D77494"/>
    <w:rsid w:val="00D774B9"/>
    <w:rsid w:val="00D77688"/>
    <w:rsid w:val="00D77696"/>
    <w:rsid w:val="00D77709"/>
    <w:rsid w:val="00D7782C"/>
    <w:rsid w:val="00D7789C"/>
    <w:rsid w:val="00D77914"/>
    <w:rsid w:val="00D7793B"/>
    <w:rsid w:val="00D77B80"/>
    <w:rsid w:val="00D77CC3"/>
    <w:rsid w:val="00D77DFC"/>
    <w:rsid w:val="00D77FB4"/>
    <w:rsid w:val="00D80124"/>
    <w:rsid w:val="00D8015D"/>
    <w:rsid w:val="00D8020D"/>
    <w:rsid w:val="00D80282"/>
    <w:rsid w:val="00D80397"/>
    <w:rsid w:val="00D803DC"/>
    <w:rsid w:val="00D80432"/>
    <w:rsid w:val="00D804C4"/>
    <w:rsid w:val="00D8061A"/>
    <w:rsid w:val="00D8067A"/>
    <w:rsid w:val="00D808AF"/>
    <w:rsid w:val="00D809AE"/>
    <w:rsid w:val="00D80A9D"/>
    <w:rsid w:val="00D80AA5"/>
    <w:rsid w:val="00D80C38"/>
    <w:rsid w:val="00D80CF6"/>
    <w:rsid w:val="00D80D35"/>
    <w:rsid w:val="00D80D55"/>
    <w:rsid w:val="00D80E65"/>
    <w:rsid w:val="00D80EF6"/>
    <w:rsid w:val="00D8104E"/>
    <w:rsid w:val="00D810A2"/>
    <w:rsid w:val="00D81155"/>
    <w:rsid w:val="00D811A8"/>
    <w:rsid w:val="00D813C8"/>
    <w:rsid w:val="00D815BD"/>
    <w:rsid w:val="00D816CB"/>
    <w:rsid w:val="00D81727"/>
    <w:rsid w:val="00D817EB"/>
    <w:rsid w:val="00D81811"/>
    <w:rsid w:val="00D81835"/>
    <w:rsid w:val="00D8188A"/>
    <w:rsid w:val="00D81902"/>
    <w:rsid w:val="00D81965"/>
    <w:rsid w:val="00D819F9"/>
    <w:rsid w:val="00D81BAE"/>
    <w:rsid w:val="00D81C7A"/>
    <w:rsid w:val="00D81CA9"/>
    <w:rsid w:val="00D81D21"/>
    <w:rsid w:val="00D81D7A"/>
    <w:rsid w:val="00D81DFF"/>
    <w:rsid w:val="00D81E38"/>
    <w:rsid w:val="00D81E5B"/>
    <w:rsid w:val="00D82028"/>
    <w:rsid w:val="00D820F8"/>
    <w:rsid w:val="00D82235"/>
    <w:rsid w:val="00D823CF"/>
    <w:rsid w:val="00D823FF"/>
    <w:rsid w:val="00D82479"/>
    <w:rsid w:val="00D82575"/>
    <w:rsid w:val="00D825B6"/>
    <w:rsid w:val="00D8271C"/>
    <w:rsid w:val="00D827BA"/>
    <w:rsid w:val="00D827C7"/>
    <w:rsid w:val="00D82809"/>
    <w:rsid w:val="00D82816"/>
    <w:rsid w:val="00D829CC"/>
    <w:rsid w:val="00D82AB7"/>
    <w:rsid w:val="00D82C8E"/>
    <w:rsid w:val="00D82DDD"/>
    <w:rsid w:val="00D82E16"/>
    <w:rsid w:val="00D82EED"/>
    <w:rsid w:val="00D82F9F"/>
    <w:rsid w:val="00D830F6"/>
    <w:rsid w:val="00D831D7"/>
    <w:rsid w:val="00D832CC"/>
    <w:rsid w:val="00D83305"/>
    <w:rsid w:val="00D83370"/>
    <w:rsid w:val="00D83385"/>
    <w:rsid w:val="00D833EB"/>
    <w:rsid w:val="00D8350D"/>
    <w:rsid w:val="00D8358F"/>
    <w:rsid w:val="00D835BB"/>
    <w:rsid w:val="00D8367D"/>
    <w:rsid w:val="00D836D7"/>
    <w:rsid w:val="00D8382B"/>
    <w:rsid w:val="00D83838"/>
    <w:rsid w:val="00D83850"/>
    <w:rsid w:val="00D8388D"/>
    <w:rsid w:val="00D8390B"/>
    <w:rsid w:val="00D8390E"/>
    <w:rsid w:val="00D83A48"/>
    <w:rsid w:val="00D83C21"/>
    <w:rsid w:val="00D83CBE"/>
    <w:rsid w:val="00D83CD4"/>
    <w:rsid w:val="00D83DA3"/>
    <w:rsid w:val="00D83FCA"/>
    <w:rsid w:val="00D83FD4"/>
    <w:rsid w:val="00D83FEF"/>
    <w:rsid w:val="00D8409F"/>
    <w:rsid w:val="00D84234"/>
    <w:rsid w:val="00D842EF"/>
    <w:rsid w:val="00D84371"/>
    <w:rsid w:val="00D843FE"/>
    <w:rsid w:val="00D84413"/>
    <w:rsid w:val="00D84434"/>
    <w:rsid w:val="00D84530"/>
    <w:rsid w:val="00D8453D"/>
    <w:rsid w:val="00D8454D"/>
    <w:rsid w:val="00D845A9"/>
    <w:rsid w:val="00D8465F"/>
    <w:rsid w:val="00D846BE"/>
    <w:rsid w:val="00D846CD"/>
    <w:rsid w:val="00D84764"/>
    <w:rsid w:val="00D84797"/>
    <w:rsid w:val="00D847AF"/>
    <w:rsid w:val="00D84ADB"/>
    <w:rsid w:val="00D84B28"/>
    <w:rsid w:val="00D84B40"/>
    <w:rsid w:val="00D84C6D"/>
    <w:rsid w:val="00D84D15"/>
    <w:rsid w:val="00D84D9F"/>
    <w:rsid w:val="00D84DB1"/>
    <w:rsid w:val="00D84DEA"/>
    <w:rsid w:val="00D84E0B"/>
    <w:rsid w:val="00D84E23"/>
    <w:rsid w:val="00D84F70"/>
    <w:rsid w:val="00D851F8"/>
    <w:rsid w:val="00D852F2"/>
    <w:rsid w:val="00D85375"/>
    <w:rsid w:val="00D853FD"/>
    <w:rsid w:val="00D8556D"/>
    <w:rsid w:val="00D855C4"/>
    <w:rsid w:val="00D855F8"/>
    <w:rsid w:val="00D85608"/>
    <w:rsid w:val="00D8565B"/>
    <w:rsid w:val="00D8577D"/>
    <w:rsid w:val="00D857DA"/>
    <w:rsid w:val="00D85800"/>
    <w:rsid w:val="00D85870"/>
    <w:rsid w:val="00D859B5"/>
    <w:rsid w:val="00D85B06"/>
    <w:rsid w:val="00D85B2D"/>
    <w:rsid w:val="00D85B89"/>
    <w:rsid w:val="00D85C5B"/>
    <w:rsid w:val="00D85DFE"/>
    <w:rsid w:val="00D85FB5"/>
    <w:rsid w:val="00D86003"/>
    <w:rsid w:val="00D8618E"/>
    <w:rsid w:val="00D862EA"/>
    <w:rsid w:val="00D862F7"/>
    <w:rsid w:val="00D86315"/>
    <w:rsid w:val="00D8631D"/>
    <w:rsid w:val="00D86376"/>
    <w:rsid w:val="00D8649B"/>
    <w:rsid w:val="00D86537"/>
    <w:rsid w:val="00D8654E"/>
    <w:rsid w:val="00D86637"/>
    <w:rsid w:val="00D8665F"/>
    <w:rsid w:val="00D867B3"/>
    <w:rsid w:val="00D867CC"/>
    <w:rsid w:val="00D868FB"/>
    <w:rsid w:val="00D86907"/>
    <w:rsid w:val="00D86A54"/>
    <w:rsid w:val="00D86AE6"/>
    <w:rsid w:val="00D86BB0"/>
    <w:rsid w:val="00D86C74"/>
    <w:rsid w:val="00D86C87"/>
    <w:rsid w:val="00D86C99"/>
    <w:rsid w:val="00D86D22"/>
    <w:rsid w:val="00D86E1C"/>
    <w:rsid w:val="00D86E6D"/>
    <w:rsid w:val="00D8705F"/>
    <w:rsid w:val="00D8710C"/>
    <w:rsid w:val="00D87245"/>
    <w:rsid w:val="00D872EB"/>
    <w:rsid w:val="00D873A1"/>
    <w:rsid w:val="00D876B9"/>
    <w:rsid w:val="00D876C6"/>
    <w:rsid w:val="00D876D5"/>
    <w:rsid w:val="00D87720"/>
    <w:rsid w:val="00D8775B"/>
    <w:rsid w:val="00D8778B"/>
    <w:rsid w:val="00D877A1"/>
    <w:rsid w:val="00D879EC"/>
    <w:rsid w:val="00D87BE2"/>
    <w:rsid w:val="00D87C0F"/>
    <w:rsid w:val="00D87CC5"/>
    <w:rsid w:val="00D87CCC"/>
    <w:rsid w:val="00D87CE8"/>
    <w:rsid w:val="00D87D45"/>
    <w:rsid w:val="00D87E47"/>
    <w:rsid w:val="00D87F35"/>
    <w:rsid w:val="00D87FB6"/>
    <w:rsid w:val="00D87FB8"/>
    <w:rsid w:val="00D87FC4"/>
    <w:rsid w:val="00D9004E"/>
    <w:rsid w:val="00D90053"/>
    <w:rsid w:val="00D900A0"/>
    <w:rsid w:val="00D900D3"/>
    <w:rsid w:val="00D901EE"/>
    <w:rsid w:val="00D90201"/>
    <w:rsid w:val="00D90282"/>
    <w:rsid w:val="00D902EA"/>
    <w:rsid w:val="00D9032D"/>
    <w:rsid w:val="00D9035A"/>
    <w:rsid w:val="00D90423"/>
    <w:rsid w:val="00D90425"/>
    <w:rsid w:val="00D904A3"/>
    <w:rsid w:val="00D904AB"/>
    <w:rsid w:val="00D904B2"/>
    <w:rsid w:val="00D904C1"/>
    <w:rsid w:val="00D9061B"/>
    <w:rsid w:val="00D9062A"/>
    <w:rsid w:val="00D90638"/>
    <w:rsid w:val="00D90668"/>
    <w:rsid w:val="00D9066E"/>
    <w:rsid w:val="00D906DD"/>
    <w:rsid w:val="00D90713"/>
    <w:rsid w:val="00D90755"/>
    <w:rsid w:val="00D907A3"/>
    <w:rsid w:val="00D907B4"/>
    <w:rsid w:val="00D907EA"/>
    <w:rsid w:val="00D907F6"/>
    <w:rsid w:val="00D9096B"/>
    <w:rsid w:val="00D909AF"/>
    <w:rsid w:val="00D90A64"/>
    <w:rsid w:val="00D90A74"/>
    <w:rsid w:val="00D90ABC"/>
    <w:rsid w:val="00D90B4D"/>
    <w:rsid w:val="00D90C25"/>
    <w:rsid w:val="00D90D54"/>
    <w:rsid w:val="00D90E49"/>
    <w:rsid w:val="00D90ED5"/>
    <w:rsid w:val="00D90F2B"/>
    <w:rsid w:val="00D9101E"/>
    <w:rsid w:val="00D9105D"/>
    <w:rsid w:val="00D9113D"/>
    <w:rsid w:val="00D9121F"/>
    <w:rsid w:val="00D91295"/>
    <w:rsid w:val="00D912A0"/>
    <w:rsid w:val="00D91309"/>
    <w:rsid w:val="00D9137E"/>
    <w:rsid w:val="00D9146C"/>
    <w:rsid w:val="00D914B5"/>
    <w:rsid w:val="00D914D8"/>
    <w:rsid w:val="00D91590"/>
    <w:rsid w:val="00D9168E"/>
    <w:rsid w:val="00D916CE"/>
    <w:rsid w:val="00D91A37"/>
    <w:rsid w:val="00D91AB4"/>
    <w:rsid w:val="00D91B1F"/>
    <w:rsid w:val="00D91BCF"/>
    <w:rsid w:val="00D91C1E"/>
    <w:rsid w:val="00D91C7F"/>
    <w:rsid w:val="00D91CE3"/>
    <w:rsid w:val="00D91D54"/>
    <w:rsid w:val="00D91DF5"/>
    <w:rsid w:val="00D91E06"/>
    <w:rsid w:val="00D91ED0"/>
    <w:rsid w:val="00D91F1A"/>
    <w:rsid w:val="00D91F46"/>
    <w:rsid w:val="00D91FC8"/>
    <w:rsid w:val="00D920D6"/>
    <w:rsid w:val="00D92112"/>
    <w:rsid w:val="00D921C2"/>
    <w:rsid w:val="00D921D8"/>
    <w:rsid w:val="00D9223C"/>
    <w:rsid w:val="00D92435"/>
    <w:rsid w:val="00D924A6"/>
    <w:rsid w:val="00D924C0"/>
    <w:rsid w:val="00D925FD"/>
    <w:rsid w:val="00D92644"/>
    <w:rsid w:val="00D92694"/>
    <w:rsid w:val="00D9269B"/>
    <w:rsid w:val="00D92712"/>
    <w:rsid w:val="00D92974"/>
    <w:rsid w:val="00D92BF4"/>
    <w:rsid w:val="00D92D70"/>
    <w:rsid w:val="00D92DD7"/>
    <w:rsid w:val="00D92E7A"/>
    <w:rsid w:val="00D92F5E"/>
    <w:rsid w:val="00D93077"/>
    <w:rsid w:val="00D930C1"/>
    <w:rsid w:val="00D931EA"/>
    <w:rsid w:val="00D9324F"/>
    <w:rsid w:val="00D933CF"/>
    <w:rsid w:val="00D93405"/>
    <w:rsid w:val="00D9340F"/>
    <w:rsid w:val="00D935AA"/>
    <w:rsid w:val="00D935B8"/>
    <w:rsid w:val="00D93739"/>
    <w:rsid w:val="00D93767"/>
    <w:rsid w:val="00D938D7"/>
    <w:rsid w:val="00D939BA"/>
    <w:rsid w:val="00D93ADB"/>
    <w:rsid w:val="00D93B07"/>
    <w:rsid w:val="00D93B82"/>
    <w:rsid w:val="00D93C2E"/>
    <w:rsid w:val="00D93D46"/>
    <w:rsid w:val="00D93D74"/>
    <w:rsid w:val="00D93DA9"/>
    <w:rsid w:val="00D93DEB"/>
    <w:rsid w:val="00D93E18"/>
    <w:rsid w:val="00D93E22"/>
    <w:rsid w:val="00D93E42"/>
    <w:rsid w:val="00D93F26"/>
    <w:rsid w:val="00D93FA7"/>
    <w:rsid w:val="00D94054"/>
    <w:rsid w:val="00D9407D"/>
    <w:rsid w:val="00D940EB"/>
    <w:rsid w:val="00D94129"/>
    <w:rsid w:val="00D94160"/>
    <w:rsid w:val="00D941B3"/>
    <w:rsid w:val="00D9422E"/>
    <w:rsid w:val="00D942BE"/>
    <w:rsid w:val="00D942DC"/>
    <w:rsid w:val="00D943F0"/>
    <w:rsid w:val="00D9440C"/>
    <w:rsid w:val="00D9449A"/>
    <w:rsid w:val="00D94618"/>
    <w:rsid w:val="00D94790"/>
    <w:rsid w:val="00D94939"/>
    <w:rsid w:val="00D9494C"/>
    <w:rsid w:val="00D94957"/>
    <w:rsid w:val="00D94C35"/>
    <w:rsid w:val="00D94D39"/>
    <w:rsid w:val="00D94DBD"/>
    <w:rsid w:val="00D94F7F"/>
    <w:rsid w:val="00D94FBA"/>
    <w:rsid w:val="00D9504F"/>
    <w:rsid w:val="00D95073"/>
    <w:rsid w:val="00D9508E"/>
    <w:rsid w:val="00D9531C"/>
    <w:rsid w:val="00D95333"/>
    <w:rsid w:val="00D95345"/>
    <w:rsid w:val="00D954C6"/>
    <w:rsid w:val="00D9552F"/>
    <w:rsid w:val="00D9558E"/>
    <w:rsid w:val="00D955AF"/>
    <w:rsid w:val="00D9564A"/>
    <w:rsid w:val="00D956D2"/>
    <w:rsid w:val="00D95934"/>
    <w:rsid w:val="00D95946"/>
    <w:rsid w:val="00D959ED"/>
    <w:rsid w:val="00D95A80"/>
    <w:rsid w:val="00D95AB6"/>
    <w:rsid w:val="00D95B01"/>
    <w:rsid w:val="00D95BD4"/>
    <w:rsid w:val="00D95CEE"/>
    <w:rsid w:val="00D95DEE"/>
    <w:rsid w:val="00D95E77"/>
    <w:rsid w:val="00D9601D"/>
    <w:rsid w:val="00D9606F"/>
    <w:rsid w:val="00D96086"/>
    <w:rsid w:val="00D96091"/>
    <w:rsid w:val="00D960C2"/>
    <w:rsid w:val="00D960DA"/>
    <w:rsid w:val="00D9610D"/>
    <w:rsid w:val="00D96354"/>
    <w:rsid w:val="00D964E7"/>
    <w:rsid w:val="00D96522"/>
    <w:rsid w:val="00D9658C"/>
    <w:rsid w:val="00D965FA"/>
    <w:rsid w:val="00D96634"/>
    <w:rsid w:val="00D96635"/>
    <w:rsid w:val="00D966E6"/>
    <w:rsid w:val="00D9679E"/>
    <w:rsid w:val="00D967AC"/>
    <w:rsid w:val="00D96926"/>
    <w:rsid w:val="00D969D0"/>
    <w:rsid w:val="00D96A54"/>
    <w:rsid w:val="00D96AD5"/>
    <w:rsid w:val="00D96B32"/>
    <w:rsid w:val="00D96C4B"/>
    <w:rsid w:val="00D96CF4"/>
    <w:rsid w:val="00D96E1E"/>
    <w:rsid w:val="00D96F47"/>
    <w:rsid w:val="00D97025"/>
    <w:rsid w:val="00D970FE"/>
    <w:rsid w:val="00D9722F"/>
    <w:rsid w:val="00D972BA"/>
    <w:rsid w:val="00D973A2"/>
    <w:rsid w:val="00D974F0"/>
    <w:rsid w:val="00D97530"/>
    <w:rsid w:val="00D97582"/>
    <w:rsid w:val="00D978EA"/>
    <w:rsid w:val="00D9790B"/>
    <w:rsid w:val="00D97920"/>
    <w:rsid w:val="00D97A3D"/>
    <w:rsid w:val="00D97A6B"/>
    <w:rsid w:val="00D97B88"/>
    <w:rsid w:val="00D97CE0"/>
    <w:rsid w:val="00D97F12"/>
    <w:rsid w:val="00D97F99"/>
    <w:rsid w:val="00DA00E5"/>
    <w:rsid w:val="00DA00EB"/>
    <w:rsid w:val="00DA011F"/>
    <w:rsid w:val="00DA034F"/>
    <w:rsid w:val="00DA0495"/>
    <w:rsid w:val="00DA052B"/>
    <w:rsid w:val="00DA053E"/>
    <w:rsid w:val="00DA059A"/>
    <w:rsid w:val="00DA062E"/>
    <w:rsid w:val="00DA0713"/>
    <w:rsid w:val="00DA0724"/>
    <w:rsid w:val="00DA0754"/>
    <w:rsid w:val="00DA0757"/>
    <w:rsid w:val="00DA07C8"/>
    <w:rsid w:val="00DA091D"/>
    <w:rsid w:val="00DA0A55"/>
    <w:rsid w:val="00DA0B57"/>
    <w:rsid w:val="00DA0BCB"/>
    <w:rsid w:val="00DA0DB2"/>
    <w:rsid w:val="00DA0F21"/>
    <w:rsid w:val="00DA1134"/>
    <w:rsid w:val="00DA1161"/>
    <w:rsid w:val="00DA123B"/>
    <w:rsid w:val="00DA135F"/>
    <w:rsid w:val="00DA1429"/>
    <w:rsid w:val="00DA1484"/>
    <w:rsid w:val="00DA1502"/>
    <w:rsid w:val="00DA157A"/>
    <w:rsid w:val="00DA1642"/>
    <w:rsid w:val="00DA1680"/>
    <w:rsid w:val="00DA16EB"/>
    <w:rsid w:val="00DA174C"/>
    <w:rsid w:val="00DA1780"/>
    <w:rsid w:val="00DA17AA"/>
    <w:rsid w:val="00DA1911"/>
    <w:rsid w:val="00DA192C"/>
    <w:rsid w:val="00DA193B"/>
    <w:rsid w:val="00DA199A"/>
    <w:rsid w:val="00DA1AFA"/>
    <w:rsid w:val="00DA1C35"/>
    <w:rsid w:val="00DA1C66"/>
    <w:rsid w:val="00DA1D79"/>
    <w:rsid w:val="00DA1E4F"/>
    <w:rsid w:val="00DA1E50"/>
    <w:rsid w:val="00DA1EB1"/>
    <w:rsid w:val="00DA1F2F"/>
    <w:rsid w:val="00DA1F63"/>
    <w:rsid w:val="00DA1FD4"/>
    <w:rsid w:val="00DA2024"/>
    <w:rsid w:val="00DA2032"/>
    <w:rsid w:val="00DA2062"/>
    <w:rsid w:val="00DA206B"/>
    <w:rsid w:val="00DA2241"/>
    <w:rsid w:val="00DA2364"/>
    <w:rsid w:val="00DA242B"/>
    <w:rsid w:val="00DA2433"/>
    <w:rsid w:val="00DA24F3"/>
    <w:rsid w:val="00DA2644"/>
    <w:rsid w:val="00DA264F"/>
    <w:rsid w:val="00DA267E"/>
    <w:rsid w:val="00DA26A3"/>
    <w:rsid w:val="00DA2702"/>
    <w:rsid w:val="00DA273D"/>
    <w:rsid w:val="00DA27D3"/>
    <w:rsid w:val="00DA2909"/>
    <w:rsid w:val="00DA2C77"/>
    <w:rsid w:val="00DA2F03"/>
    <w:rsid w:val="00DA2F5A"/>
    <w:rsid w:val="00DA2FAD"/>
    <w:rsid w:val="00DA3000"/>
    <w:rsid w:val="00DA317B"/>
    <w:rsid w:val="00DA3207"/>
    <w:rsid w:val="00DA3255"/>
    <w:rsid w:val="00DA3259"/>
    <w:rsid w:val="00DA32F3"/>
    <w:rsid w:val="00DA33D7"/>
    <w:rsid w:val="00DA3409"/>
    <w:rsid w:val="00DA36B8"/>
    <w:rsid w:val="00DA36BE"/>
    <w:rsid w:val="00DA3933"/>
    <w:rsid w:val="00DA3A41"/>
    <w:rsid w:val="00DA3AFA"/>
    <w:rsid w:val="00DA3B01"/>
    <w:rsid w:val="00DA3C8E"/>
    <w:rsid w:val="00DA3D4D"/>
    <w:rsid w:val="00DA3D6F"/>
    <w:rsid w:val="00DA3DB0"/>
    <w:rsid w:val="00DA3DB3"/>
    <w:rsid w:val="00DA3F49"/>
    <w:rsid w:val="00DA410E"/>
    <w:rsid w:val="00DA4133"/>
    <w:rsid w:val="00DA413A"/>
    <w:rsid w:val="00DA422F"/>
    <w:rsid w:val="00DA43A9"/>
    <w:rsid w:val="00DA448A"/>
    <w:rsid w:val="00DA4498"/>
    <w:rsid w:val="00DA4561"/>
    <w:rsid w:val="00DA46A9"/>
    <w:rsid w:val="00DA46F1"/>
    <w:rsid w:val="00DA4748"/>
    <w:rsid w:val="00DA4768"/>
    <w:rsid w:val="00DA4776"/>
    <w:rsid w:val="00DA4836"/>
    <w:rsid w:val="00DA48BC"/>
    <w:rsid w:val="00DA490E"/>
    <w:rsid w:val="00DA497A"/>
    <w:rsid w:val="00DA49AF"/>
    <w:rsid w:val="00DA49DE"/>
    <w:rsid w:val="00DA4B5A"/>
    <w:rsid w:val="00DA4BEE"/>
    <w:rsid w:val="00DA4C58"/>
    <w:rsid w:val="00DA4C76"/>
    <w:rsid w:val="00DA4CC1"/>
    <w:rsid w:val="00DA4CF3"/>
    <w:rsid w:val="00DA4D13"/>
    <w:rsid w:val="00DA4D4B"/>
    <w:rsid w:val="00DA503B"/>
    <w:rsid w:val="00DA510F"/>
    <w:rsid w:val="00DA5120"/>
    <w:rsid w:val="00DA523B"/>
    <w:rsid w:val="00DA537E"/>
    <w:rsid w:val="00DA5418"/>
    <w:rsid w:val="00DA5568"/>
    <w:rsid w:val="00DA55C3"/>
    <w:rsid w:val="00DA5751"/>
    <w:rsid w:val="00DA578E"/>
    <w:rsid w:val="00DA593F"/>
    <w:rsid w:val="00DA5A36"/>
    <w:rsid w:val="00DA5A61"/>
    <w:rsid w:val="00DA5BB4"/>
    <w:rsid w:val="00DA5C20"/>
    <w:rsid w:val="00DA5CEA"/>
    <w:rsid w:val="00DA5D15"/>
    <w:rsid w:val="00DA5E37"/>
    <w:rsid w:val="00DA5E48"/>
    <w:rsid w:val="00DA5E61"/>
    <w:rsid w:val="00DA6048"/>
    <w:rsid w:val="00DA6132"/>
    <w:rsid w:val="00DA61CF"/>
    <w:rsid w:val="00DA6226"/>
    <w:rsid w:val="00DA629A"/>
    <w:rsid w:val="00DA632A"/>
    <w:rsid w:val="00DA6393"/>
    <w:rsid w:val="00DA6503"/>
    <w:rsid w:val="00DA669D"/>
    <w:rsid w:val="00DA66FA"/>
    <w:rsid w:val="00DA681A"/>
    <w:rsid w:val="00DA68C1"/>
    <w:rsid w:val="00DA6964"/>
    <w:rsid w:val="00DA6965"/>
    <w:rsid w:val="00DA69C2"/>
    <w:rsid w:val="00DA6A24"/>
    <w:rsid w:val="00DA6B11"/>
    <w:rsid w:val="00DA6C3D"/>
    <w:rsid w:val="00DA6C80"/>
    <w:rsid w:val="00DA6CD8"/>
    <w:rsid w:val="00DA6E95"/>
    <w:rsid w:val="00DA6EFE"/>
    <w:rsid w:val="00DA7055"/>
    <w:rsid w:val="00DA706C"/>
    <w:rsid w:val="00DA71D1"/>
    <w:rsid w:val="00DA7227"/>
    <w:rsid w:val="00DA7357"/>
    <w:rsid w:val="00DA7410"/>
    <w:rsid w:val="00DA74BA"/>
    <w:rsid w:val="00DA7568"/>
    <w:rsid w:val="00DA7663"/>
    <w:rsid w:val="00DA7675"/>
    <w:rsid w:val="00DA7774"/>
    <w:rsid w:val="00DA7994"/>
    <w:rsid w:val="00DA7A25"/>
    <w:rsid w:val="00DA7B73"/>
    <w:rsid w:val="00DA7BA0"/>
    <w:rsid w:val="00DA7C08"/>
    <w:rsid w:val="00DA7C60"/>
    <w:rsid w:val="00DA7D85"/>
    <w:rsid w:val="00DA7E2F"/>
    <w:rsid w:val="00DA7E54"/>
    <w:rsid w:val="00DA7EFA"/>
    <w:rsid w:val="00DB0067"/>
    <w:rsid w:val="00DB00C3"/>
    <w:rsid w:val="00DB0144"/>
    <w:rsid w:val="00DB025E"/>
    <w:rsid w:val="00DB02DE"/>
    <w:rsid w:val="00DB0311"/>
    <w:rsid w:val="00DB03FD"/>
    <w:rsid w:val="00DB044D"/>
    <w:rsid w:val="00DB0493"/>
    <w:rsid w:val="00DB04DB"/>
    <w:rsid w:val="00DB0697"/>
    <w:rsid w:val="00DB07D4"/>
    <w:rsid w:val="00DB091B"/>
    <w:rsid w:val="00DB0AE8"/>
    <w:rsid w:val="00DB0C2C"/>
    <w:rsid w:val="00DB0C92"/>
    <w:rsid w:val="00DB0CF8"/>
    <w:rsid w:val="00DB0D39"/>
    <w:rsid w:val="00DB1006"/>
    <w:rsid w:val="00DB1083"/>
    <w:rsid w:val="00DB1109"/>
    <w:rsid w:val="00DB116D"/>
    <w:rsid w:val="00DB11CE"/>
    <w:rsid w:val="00DB11D1"/>
    <w:rsid w:val="00DB1203"/>
    <w:rsid w:val="00DB120E"/>
    <w:rsid w:val="00DB12B5"/>
    <w:rsid w:val="00DB146E"/>
    <w:rsid w:val="00DB14AB"/>
    <w:rsid w:val="00DB15FF"/>
    <w:rsid w:val="00DB169E"/>
    <w:rsid w:val="00DB16A7"/>
    <w:rsid w:val="00DB1776"/>
    <w:rsid w:val="00DB17D0"/>
    <w:rsid w:val="00DB17F9"/>
    <w:rsid w:val="00DB19D0"/>
    <w:rsid w:val="00DB1A04"/>
    <w:rsid w:val="00DB1A65"/>
    <w:rsid w:val="00DB1AB6"/>
    <w:rsid w:val="00DB1D8B"/>
    <w:rsid w:val="00DB1EDB"/>
    <w:rsid w:val="00DB1F11"/>
    <w:rsid w:val="00DB2244"/>
    <w:rsid w:val="00DB2320"/>
    <w:rsid w:val="00DB2395"/>
    <w:rsid w:val="00DB2546"/>
    <w:rsid w:val="00DB2739"/>
    <w:rsid w:val="00DB277A"/>
    <w:rsid w:val="00DB283C"/>
    <w:rsid w:val="00DB2864"/>
    <w:rsid w:val="00DB298F"/>
    <w:rsid w:val="00DB2A75"/>
    <w:rsid w:val="00DB2BB6"/>
    <w:rsid w:val="00DB2C0D"/>
    <w:rsid w:val="00DB2C36"/>
    <w:rsid w:val="00DB2CDB"/>
    <w:rsid w:val="00DB2D19"/>
    <w:rsid w:val="00DB2E2E"/>
    <w:rsid w:val="00DB2E6D"/>
    <w:rsid w:val="00DB2F1D"/>
    <w:rsid w:val="00DB2FDC"/>
    <w:rsid w:val="00DB3020"/>
    <w:rsid w:val="00DB307D"/>
    <w:rsid w:val="00DB3093"/>
    <w:rsid w:val="00DB30E6"/>
    <w:rsid w:val="00DB3173"/>
    <w:rsid w:val="00DB31C5"/>
    <w:rsid w:val="00DB3234"/>
    <w:rsid w:val="00DB326D"/>
    <w:rsid w:val="00DB3485"/>
    <w:rsid w:val="00DB3523"/>
    <w:rsid w:val="00DB357E"/>
    <w:rsid w:val="00DB363C"/>
    <w:rsid w:val="00DB37E3"/>
    <w:rsid w:val="00DB37FB"/>
    <w:rsid w:val="00DB3828"/>
    <w:rsid w:val="00DB38F0"/>
    <w:rsid w:val="00DB3A84"/>
    <w:rsid w:val="00DB3BFF"/>
    <w:rsid w:val="00DB3C3D"/>
    <w:rsid w:val="00DB3C61"/>
    <w:rsid w:val="00DB3CBB"/>
    <w:rsid w:val="00DB3D81"/>
    <w:rsid w:val="00DB3E17"/>
    <w:rsid w:val="00DB3E7B"/>
    <w:rsid w:val="00DB3EC3"/>
    <w:rsid w:val="00DB3F22"/>
    <w:rsid w:val="00DB3FCC"/>
    <w:rsid w:val="00DB404C"/>
    <w:rsid w:val="00DB4134"/>
    <w:rsid w:val="00DB41D6"/>
    <w:rsid w:val="00DB43A4"/>
    <w:rsid w:val="00DB4623"/>
    <w:rsid w:val="00DB4719"/>
    <w:rsid w:val="00DB4738"/>
    <w:rsid w:val="00DB480D"/>
    <w:rsid w:val="00DB4924"/>
    <w:rsid w:val="00DB4A50"/>
    <w:rsid w:val="00DB4AC5"/>
    <w:rsid w:val="00DB4C39"/>
    <w:rsid w:val="00DB4E5E"/>
    <w:rsid w:val="00DB4EEA"/>
    <w:rsid w:val="00DB4F3E"/>
    <w:rsid w:val="00DB4FCC"/>
    <w:rsid w:val="00DB5191"/>
    <w:rsid w:val="00DB5203"/>
    <w:rsid w:val="00DB525E"/>
    <w:rsid w:val="00DB52B5"/>
    <w:rsid w:val="00DB5315"/>
    <w:rsid w:val="00DB531A"/>
    <w:rsid w:val="00DB53B3"/>
    <w:rsid w:val="00DB5471"/>
    <w:rsid w:val="00DB5529"/>
    <w:rsid w:val="00DB55A0"/>
    <w:rsid w:val="00DB55B3"/>
    <w:rsid w:val="00DB5883"/>
    <w:rsid w:val="00DB58A6"/>
    <w:rsid w:val="00DB5B58"/>
    <w:rsid w:val="00DB5BB4"/>
    <w:rsid w:val="00DB5BE6"/>
    <w:rsid w:val="00DB5C89"/>
    <w:rsid w:val="00DB5CE4"/>
    <w:rsid w:val="00DB5D25"/>
    <w:rsid w:val="00DB5E2B"/>
    <w:rsid w:val="00DB60C0"/>
    <w:rsid w:val="00DB60F7"/>
    <w:rsid w:val="00DB61F0"/>
    <w:rsid w:val="00DB635B"/>
    <w:rsid w:val="00DB63BE"/>
    <w:rsid w:val="00DB64F7"/>
    <w:rsid w:val="00DB6733"/>
    <w:rsid w:val="00DB6777"/>
    <w:rsid w:val="00DB67A9"/>
    <w:rsid w:val="00DB67CF"/>
    <w:rsid w:val="00DB6827"/>
    <w:rsid w:val="00DB684C"/>
    <w:rsid w:val="00DB686D"/>
    <w:rsid w:val="00DB68B7"/>
    <w:rsid w:val="00DB68E2"/>
    <w:rsid w:val="00DB6A1F"/>
    <w:rsid w:val="00DB6A60"/>
    <w:rsid w:val="00DB6B5F"/>
    <w:rsid w:val="00DB6D28"/>
    <w:rsid w:val="00DB6EB5"/>
    <w:rsid w:val="00DB6F20"/>
    <w:rsid w:val="00DB6F75"/>
    <w:rsid w:val="00DB6FE1"/>
    <w:rsid w:val="00DB7048"/>
    <w:rsid w:val="00DB70A5"/>
    <w:rsid w:val="00DB70A8"/>
    <w:rsid w:val="00DB71CD"/>
    <w:rsid w:val="00DB726F"/>
    <w:rsid w:val="00DB74FB"/>
    <w:rsid w:val="00DB7516"/>
    <w:rsid w:val="00DB7558"/>
    <w:rsid w:val="00DB75AB"/>
    <w:rsid w:val="00DB7711"/>
    <w:rsid w:val="00DB7864"/>
    <w:rsid w:val="00DB78FF"/>
    <w:rsid w:val="00DB795B"/>
    <w:rsid w:val="00DB7A07"/>
    <w:rsid w:val="00DB7A8E"/>
    <w:rsid w:val="00DB7C06"/>
    <w:rsid w:val="00DB7C23"/>
    <w:rsid w:val="00DB7CEB"/>
    <w:rsid w:val="00DB7D1C"/>
    <w:rsid w:val="00DB7D4A"/>
    <w:rsid w:val="00DB7ED3"/>
    <w:rsid w:val="00DB7EF0"/>
    <w:rsid w:val="00DB7F2F"/>
    <w:rsid w:val="00DB7F95"/>
    <w:rsid w:val="00DC002E"/>
    <w:rsid w:val="00DC0095"/>
    <w:rsid w:val="00DC01FB"/>
    <w:rsid w:val="00DC0212"/>
    <w:rsid w:val="00DC0270"/>
    <w:rsid w:val="00DC027B"/>
    <w:rsid w:val="00DC02CC"/>
    <w:rsid w:val="00DC0384"/>
    <w:rsid w:val="00DC0481"/>
    <w:rsid w:val="00DC055B"/>
    <w:rsid w:val="00DC06E1"/>
    <w:rsid w:val="00DC07E4"/>
    <w:rsid w:val="00DC08F8"/>
    <w:rsid w:val="00DC09C7"/>
    <w:rsid w:val="00DC0AA4"/>
    <w:rsid w:val="00DC0AAE"/>
    <w:rsid w:val="00DC0ABE"/>
    <w:rsid w:val="00DC0B34"/>
    <w:rsid w:val="00DC0B4B"/>
    <w:rsid w:val="00DC0C16"/>
    <w:rsid w:val="00DC0D49"/>
    <w:rsid w:val="00DC0E00"/>
    <w:rsid w:val="00DC0F06"/>
    <w:rsid w:val="00DC0F67"/>
    <w:rsid w:val="00DC0FB2"/>
    <w:rsid w:val="00DC0FF0"/>
    <w:rsid w:val="00DC1038"/>
    <w:rsid w:val="00DC10DD"/>
    <w:rsid w:val="00DC117F"/>
    <w:rsid w:val="00DC12E4"/>
    <w:rsid w:val="00DC1350"/>
    <w:rsid w:val="00DC13D3"/>
    <w:rsid w:val="00DC15DB"/>
    <w:rsid w:val="00DC16E1"/>
    <w:rsid w:val="00DC1752"/>
    <w:rsid w:val="00DC1818"/>
    <w:rsid w:val="00DC193E"/>
    <w:rsid w:val="00DC1CBF"/>
    <w:rsid w:val="00DC1D1D"/>
    <w:rsid w:val="00DC1D8C"/>
    <w:rsid w:val="00DC1DA2"/>
    <w:rsid w:val="00DC1E35"/>
    <w:rsid w:val="00DC1E89"/>
    <w:rsid w:val="00DC1F2B"/>
    <w:rsid w:val="00DC223B"/>
    <w:rsid w:val="00DC22B2"/>
    <w:rsid w:val="00DC26A2"/>
    <w:rsid w:val="00DC2779"/>
    <w:rsid w:val="00DC28A7"/>
    <w:rsid w:val="00DC28AA"/>
    <w:rsid w:val="00DC2A9B"/>
    <w:rsid w:val="00DC2CBF"/>
    <w:rsid w:val="00DC2D0E"/>
    <w:rsid w:val="00DC2D37"/>
    <w:rsid w:val="00DC2DC4"/>
    <w:rsid w:val="00DC304D"/>
    <w:rsid w:val="00DC309B"/>
    <w:rsid w:val="00DC30B2"/>
    <w:rsid w:val="00DC333A"/>
    <w:rsid w:val="00DC33EA"/>
    <w:rsid w:val="00DC3426"/>
    <w:rsid w:val="00DC3440"/>
    <w:rsid w:val="00DC3525"/>
    <w:rsid w:val="00DC3571"/>
    <w:rsid w:val="00DC36FA"/>
    <w:rsid w:val="00DC3826"/>
    <w:rsid w:val="00DC3833"/>
    <w:rsid w:val="00DC393D"/>
    <w:rsid w:val="00DC3941"/>
    <w:rsid w:val="00DC3B46"/>
    <w:rsid w:val="00DC3B90"/>
    <w:rsid w:val="00DC3C6F"/>
    <w:rsid w:val="00DC3D28"/>
    <w:rsid w:val="00DC3D60"/>
    <w:rsid w:val="00DC3D91"/>
    <w:rsid w:val="00DC3DFF"/>
    <w:rsid w:val="00DC3E9A"/>
    <w:rsid w:val="00DC3EEF"/>
    <w:rsid w:val="00DC3F78"/>
    <w:rsid w:val="00DC3F81"/>
    <w:rsid w:val="00DC4047"/>
    <w:rsid w:val="00DC4165"/>
    <w:rsid w:val="00DC4166"/>
    <w:rsid w:val="00DC4713"/>
    <w:rsid w:val="00DC4804"/>
    <w:rsid w:val="00DC49BF"/>
    <w:rsid w:val="00DC4CA4"/>
    <w:rsid w:val="00DC4CAD"/>
    <w:rsid w:val="00DC4CAF"/>
    <w:rsid w:val="00DC4F27"/>
    <w:rsid w:val="00DC50E6"/>
    <w:rsid w:val="00DC510A"/>
    <w:rsid w:val="00DC51FA"/>
    <w:rsid w:val="00DC5219"/>
    <w:rsid w:val="00DC5302"/>
    <w:rsid w:val="00DC5527"/>
    <w:rsid w:val="00DC557B"/>
    <w:rsid w:val="00DC5583"/>
    <w:rsid w:val="00DC55A8"/>
    <w:rsid w:val="00DC55DB"/>
    <w:rsid w:val="00DC574A"/>
    <w:rsid w:val="00DC57D5"/>
    <w:rsid w:val="00DC5911"/>
    <w:rsid w:val="00DC59DB"/>
    <w:rsid w:val="00DC5AA5"/>
    <w:rsid w:val="00DC5B09"/>
    <w:rsid w:val="00DC5BD5"/>
    <w:rsid w:val="00DC5E6B"/>
    <w:rsid w:val="00DC5F59"/>
    <w:rsid w:val="00DC5FFB"/>
    <w:rsid w:val="00DC6044"/>
    <w:rsid w:val="00DC60FB"/>
    <w:rsid w:val="00DC614C"/>
    <w:rsid w:val="00DC615D"/>
    <w:rsid w:val="00DC62FF"/>
    <w:rsid w:val="00DC635C"/>
    <w:rsid w:val="00DC6412"/>
    <w:rsid w:val="00DC643B"/>
    <w:rsid w:val="00DC6504"/>
    <w:rsid w:val="00DC6644"/>
    <w:rsid w:val="00DC6646"/>
    <w:rsid w:val="00DC6716"/>
    <w:rsid w:val="00DC672D"/>
    <w:rsid w:val="00DC6738"/>
    <w:rsid w:val="00DC676C"/>
    <w:rsid w:val="00DC67CB"/>
    <w:rsid w:val="00DC68EC"/>
    <w:rsid w:val="00DC69E1"/>
    <w:rsid w:val="00DC6A13"/>
    <w:rsid w:val="00DC6AA3"/>
    <w:rsid w:val="00DC6C4A"/>
    <w:rsid w:val="00DC6D2F"/>
    <w:rsid w:val="00DC6D70"/>
    <w:rsid w:val="00DC6D79"/>
    <w:rsid w:val="00DC6D86"/>
    <w:rsid w:val="00DC70B6"/>
    <w:rsid w:val="00DC70FF"/>
    <w:rsid w:val="00DC7103"/>
    <w:rsid w:val="00DC713D"/>
    <w:rsid w:val="00DC7308"/>
    <w:rsid w:val="00DC7323"/>
    <w:rsid w:val="00DC7372"/>
    <w:rsid w:val="00DC7387"/>
    <w:rsid w:val="00DC73AC"/>
    <w:rsid w:val="00DC73F6"/>
    <w:rsid w:val="00DC7515"/>
    <w:rsid w:val="00DC752A"/>
    <w:rsid w:val="00DC7530"/>
    <w:rsid w:val="00DC7581"/>
    <w:rsid w:val="00DC75A8"/>
    <w:rsid w:val="00DC7609"/>
    <w:rsid w:val="00DC770F"/>
    <w:rsid w:val="00DC7A51"/>
    <w:rsid w:val="00DC7BA0"/>
    <w:rsid w:val="00DC7BF9"/>
    <w:rsid w:val="00DC7D50"/>
    <w:rsid w:val="00DC7E1E"/>
    <w:rsid w:val="00DC7E37"/>
    <w:rsid w:val="00DC7EDE"/>
    <w:rsid w:val="00DC7F20"/>
    <w:rsid w:val="00DC7F28"/>
    <w:rsid w:val="00DC7F5B"/>
    <w:rsid w:val="00DC7FCB"/>
    <w:rsid w:val="00DD0009"/>
    <w:rsid w:val="00DD005F"/>
    <w:rsid w:val="00DD0199"/>
    <w:rsid w:val="00DD01EB"/>
    <w:rsid w:val="00DD037B"/>
    <w:rsid w:val="00DD03D3"/>
    <w:rsid w:val="00DD04EE"/>
    <w:rsid w:val="00DD0522"/>
    <w:rsid w:val="00DD05EC"/>
    <w:rsid w:val="00DD0695"/>
    <w:rsid w:val="00DD070C"/>
    <w:rsid w:val="00DD0826"/>
    <w:rsid w:val="00DD0907"/>
    <w:rsid w:val="00DD096D"/>
    <w:rsid w:val="00DD0A05"/>
    <w:rsid w:val="00DD0B67"/>
    <w:rsid w:val="00DD0BC1"/>
    <w:rsid w:val="00DD0BCC"/>
    <w:rsid w:val="00DD0BF6"/>
    <w:rsid w:val="00DD0C51"/>
    <w:rsid w:val="00DD0CAF"/>
    <w:rsid w:val="00DD0DCD"/>
    <w:rsid w:val="00DD0E8D"/>
    <w:rsid w:val="00DD0F1D"/>
    <w:rsid w:val="00DD0FA4"/>
    <w:rsid w:val="00DD1053"/>
    <w:rsid w:val="00DD105C"/>
    <w:rsid w:val="00DD10CF"/>
    <w:rsid w:val="00DD1140"/>
    <w:rsid w:val="00DD116D"/>
    <w:rsid w:val="00DD11B1"/>
    <w:rsid w:val="00DD127F"/>
    <w:rsid w:val="00DD1366"/>
    <w:rsid w:val="00DD140F"/>
    <w:rsid w:val="00DD143A"/>
    <w:rsid w:val="00DD144F"/>
    <w:rsid w:val="00DD145B"/>
    <w:rsid w:val="00DD14D7"/>
    <w:rsid w:val="00DD153F"/>
    <w:rsid w:val="00DD187D"/>
    <w:rsid w:val="00DD1880"/>
    <w:rsid w:val="00DD18DD"/>
    <w:rsid w:val="00DD197F"/>
    <w:rsid w:val="00DD19B0"/>
    <w:rsid w:val="00DD19E7"/>
    <w:rsid w:val="00DD1B22"/>
    <w:rsid w:val="00DD1C09"/>
    <w:rsid w:val="00DD1C17"/>
    <w:rsid w:val="00DD1D35"/>
    <w:rsid w:val="00DD1D83"/>
    <w:rsid w:val="00DD1FF2"/>
    <w:rsid w:val="00DD202E"/>
    <w:rsid w:val="00DD238E"/>
    <w:rsid w:val="00DD23BC"/>
    <w:rsid w:val="00DD23C3"/>
    <w:rsid w:val="00DD246B"/>
    <w:rsid w:val="00DD257F"/>
    <w:rsid w:val="00DD2804"/>
    <w:rsid w:val="00DD29AE"/>
    <w:rsid w:val="00DD29BC"/>
    <w:rsid w:val="00DD29CF"/>
    <w:rsid w:val="00DD2A22"/>
    <w:rsid w:val="00DD2CA3"/>
    <w:rsid w:val="00DD2CAA"/>
    <w:rsid w:val="00DD2D21"/>
    <w:rsid w:val="00DD2D53"/>
    <w:rsid w:val="00DD2D90"/>
    <w:rsid w:val="00DD2E12"/>
    <w:rsid w:val="00DD2E33"/>
    <w:rsid w:val="00DD2E57"/>
    <w:rsid w:val="00DD2E95"/>
    <w:rsid w:val="00DD31A1"/>
    <w:rsid w:val="00DD31BB"/>
    <w:rsid w:val="00DD31FC"/>
    <w:rsid w:val="00DD320C"/>
    <w:rsid w:val="00DD3266"/>
    <w:rsid w:val="00DD339D"/>
    <w:rsid w:val="00DD33FB"/>
    <w:rsid w:val="00DD3596"/>
    <w:rsid w:val="00DD3640"/>
    <w:rsid w:val="00DD38EB"/>
    <w:rsid w:val="00DD3975"/>
    <w:rsid w:val="00DD3A93"/>
    <w:rsid w:val="00DD3ABD"/>
    <w:rsid w:val="00DD3B7B"/>
    <w:rsid w:val="00DD3B85"/>
    <w:rsid w:val="00DD3B97"/>
    <w:rsid w:val="00DD3CA3"/>
    <w:rsid w:val="00DD3E8A"/>
    <w:rsid w:val="00DD3F4A"/>
    <w:rsid w:val="00DD3FEC"/>
    <w:rsid w:val="00DD4049"/>
    <w:rsid w:val="00DD40D2"/>
    <w:rsid w:val="00DD4145"/>
    <w:rsid w:val="00DD4179"/>
    <w:rsid w:val="00DD4341"/>
    <w:rsid w:val="00DD43F5"/>
    <w:rsid w:val="00DD43F7"/>
    <w:rsid w:val="00DD45E1"/>
    <w:rsid w:val="00DD45EB"/>
    <w:rsid w:val="00DD46FF"/>
    <w:rsid w:val="00DD488C"/>
    <w:rsid w:val="00DD4907"/>
    <w:rsid w:val="00DD492A"/>
    <w:rsid w:val="00DD497B"/>
    <w:rsid w:val="00DD49EF"/>
    <w:rsid w:val="00DD4A5A"/>
    <w:rsid w:val="00DD4B07"/>
    <w:rsid w:val="00DD4BA2"/>
    <w:rsid w:val="00DD4C66"/>
    <w:rsid w:val="00DD4CE7"/>
    <w:rsid w:val="00DD4ED7"/>
    <w:rsid w:val="00DD4FA5"/>
    <w:rsid w:val="00DD4FF6"/>
    <w:rsid w:val="00DD500D"/>
    <w:rsid w:val="00DD528C"/>
    <w:rsid w:val="00DD52DC"/>
    <w:rsid w:val="00DD5347"/>
    <w:rsid w:val="00DD55EC"/>
    <w:rsid w:val="00DD56BC"/>
    <w:rsid w:val="00DD56D5"/>
    <w:rsid w:val="00DD57C6"/>
    <w:rsid w:val="00DD5833"/>
    <w:rsid w:val="00DD5925"/>
    <w:rsid w:val="00DD59F1"/>
    <w:rsid w:val="00DD5A0B"/>
    <w:rsid w:val="00DD5A14"/>
    <w:rsid w:val="00DD5AFE"/>
    <w:rsid w:val="00DD5B09"/>
    <w:rsid w:val="00DD5B93"/>
    <w:rsid w:val="00DD5CB1"/>
    <w:rsid w:val="00DD5E02"/>
    <w:rsid w:val="00DD5E32"/>
    <w:rsid w:val="00DD5EA0"/>
    <w:rsid w:val="00DD5F0F"/>
    <w:rsid w:val="00DD5FA8"/>
    <w:rsid w:val="00DD5FED"/>
    <w:rsid w:val="00DD6094"/>
    <w:rsid w:val="00DD61C1"/>
    <w:rsid w:val="00DD61FE"/>
    <w:rsid w:val="00DD62BF"/>
    <w:rsid w:val="00DD631F"/>
    <w:rsid w:val="00DD63A1"/>
    <w:rsid w:val="00DD63E1"/>
    <w:rsid w:val="00DD6485"/>
    <w:rsid w:val="00DD6498"/>
    <w:rsid w:val="00DD64F9"/>
    <w:rsid w:val="00DD66AD"/>
    <w:rsid w:val="00DD6749"/>
    <w:rsid w:val="00DD67AE"/>
    <w:rsid w:val="00DD69A3"/>
    <w:rsid w:val="00DD69C2"/>
    <w:rsid w:val="00DD6BFC"/>
    <w:rsid w:val="00DD6C95"/>
    <w:rsid w:val="00DD6D0F"/>
    <w:rsid w:val="00DD6D71"/>
    <w:rsid w:val="00DD6EF7"/>
    <w:rsid w:val="00DD6F5C"/>
    <w:rsid w:val="00DD6F94"/>
    <w:rsid w:val="00DD7095"/>
    <w:rsid w:val="00DD70E4"/>
    <w:rsid w:val="00DD7166"/>
    <w:rsid w:val="00DD716A"/>
    <w:rsid w:val="00DD7332"/>
    <w:rsid w:val="00DD734D"/>
    <w:rsid w:val="00DD7425"/>
    <w:rsid w:val="00DD742A"/>
    <w:rsid w:val="00DD74CD"/>
    <w:rsid w:val="00DD74D2"/>
    <w:rsid w:val="00DD74E3"/>
    <w:rsid w:val="00DD74EC"/>
    <w:rsid w:val="00DD75FA"/>
    <w:rsid w:val="00DD769A"/>
    <w:rsid w:val="00DD76F5"/>
    <w:rsid w:val="00DD7983"/>
    <w:rsid w:val="00DD79F2"/>
    <w:rsid w:val="00DD79F9"/>
    <w:rsid w:val="00DD7A05"/>
    <w:rsid w:val="00DD7BEE"/>
    <w:rsid w:val="00DD7BF9"/>
    <w:rsid w:val="00DD7CB8"/>
    <w:rsid w:val="00DD7CB9"/>
    <w:rsid w:val="00DD7D41"/>
    <w:rsid w:val="00DD7E09"/>
    <w:rsid w:val="00DD7E0D"/>
    <w:rsid w:val="00DE00F9"/>
    <w:rsid w:val="00DE01A5"/>
    <w:rsid w:val="00DE0268"/>
    <w:rsid w:val="00DE02CC"/>
    <w:rsid w:val="00DE02F7"/>
    <w:rsid w:val="00DE03C8"/>
    <w:rsid w:val="00DE0447"/>
    <w:rsid w:val="00DE04C2"/>
    <w:rsid w:val="00DE04C9"/>
    <w:rsid w:val="00DE054C"/>
    <w:rsid w:val="00DE06D8"/>
    <w:rsid w:val="00DE06F0"/>
    <w:rsid w:val="00DE077B"/>
    <w:rsid w:val="00DE07F2"/>
    <w:rsid w:val="00DE0B38"/>
    <w:rsid w:val="00DE0BA9"/>
    <w:rsid w:val="00DE0CF8"/>
    <w:rsid w:val="00DE0D09"/>
    <w:rsid w:val="00DE0FB5"/>
    <w:rsid w:val="00DE0FF9"/>
    <w:rsid w:val="00DE11A8"/>
    <w:rsid w:val="00DE1207"/>
    <w:rsid w:val="00DE1286"/>
    <w:rsid w:val="00DE12DD"/>
    <w:rsid w:val="00DE12FA"/>
    <w:rsid w:val="00DE1502"/>
    <w:rsid w:val="00DE193A"/>
    <w:rsid w:val="00DE197C"/>
    <w:rsid w:val="00DE1993"/>
    <w:rsid w:val="00DE1A93"/>
    <w:rsid w:val="00DE1B42"/>
    <w:rsid w:val="00DE1B58"/>
    <w:rsid w:val="00DE1BD0"/>
    <w:rsid w:val="00DE1BED"/>
    <w:rsid w:val="00DE1C08"/>
    <w:rsid w:val="00DE1DDA"/>
    <w:rsid w:val="00DE1E22"/>
    <w:rsid w:val="00DE1E69"/>
    <w:rsid w:val="00DE1E86"/>
    <w:rsid w:val="00DE1F77"/>
    <w:rsid w:val="00DE20B2"/>
    <w:rsid w:val="00DE20B4"/>
    <w:rsid w:val="00DE20D6"/>
    <w:rsid w:val="00DE21A6"/>
    <w:rsid w:val="00DE21C7"/>
    <w:rsid w:val="00DE2242"/>
    <w:rsid w:val="00DE2376"/>
    <w:rsid w:val="00DE256D"/>
    <w:rsid w:val="00DE25DD"/>
    <w:rsid w:val="00DE2640"/>
    <w:rsid w:val="00DE28AD"/>
    <w:rsid w:val="00DE28EE"/>
    <w:rsid w:val="00DE2974"/>
    <w:rsid w:val="00DE2A3A"/>
    <w:rsid w:val="00DE2A75"/>
    <w:rsid w:val="00DE2ABC"/>
    <w:rsid w:val="00DE2BAC"/>
    <w:rsid w:val="00DE2D9F"/>
    <w:rsid w:val="00DE2F10"/>
    <w:rsid w:val="00DE2FAE"/>
    <w:rsid w:val="00DE2FFE"/>
    <w:rsid w:val="00DE300B"/>
    <w:rsid w:val="00DE3020"/>
    <w:rsid w:val="00DE311E"/>
    <w:rsid w:val="00DE33B5"/>
    <w:rsid w:val="00DE353D"/>
    <w:rsid w:val="00DE3547"/>
    <w:rsid w:val="00DE3679"/>
    <w:rsid w:val="00DE3726"/>
    <w:rsid w:val="00DE380A"/>
    <w:rsid w:val="00DE382B"/>
    <w:rsid w:val="00DE3830"/>
    <w:rsid w:val="00DE3895"/>
    <w:rsid w:val="00DE3982"/>
    <w:rsid w:val="00DE3A00"/>
    <w:rsid w:val="00DE3A92"/>
    <w:rsid w:val="00DE3C73"/>
    <w:rsid w:val="00DE3D3D"/>
    <w:rsid w:val="00DE3D7B"/>
    <w:rsid w:val="00DE3F23"/>
    <w:rsid w:val="00DE3FB0"/>
    <w:rsid w:val="00DE3FBD"/>
    <w:rsid w:val="00DE40A5"/>
    <w:rsid w:val="00DE40B7"/>
    <w:rsid w:val="00DE4105"/>
    <w:rsid w:val="00DE4116"/>
    <w:rsid w:val="00DE41C1"/>
    <w:rsid w:val="00DE42AB"/>
    <w:rsid w:val="00DE42F0"/>
    <w:rsid w:val="00DE435A"/>
    <w:rsid w:val="00DE437D"/>
    <w:rsid w:val="00DE43DB"/>
    <w:rsid w:val="00DE4428"/>
    <w:rsid w:val="00DE4436"/>
    <w:rsid w:val="00DE448A"/>
    <w:rsid w:val="00DE44BD"/>
    <w:rsid w:val="00DE451C"/>
    <w:rsid w:val="00DE452A"/>
    <w:rsid w:val="00DE4635"/>
    <w:rsid w:val="00DE4690"/>
    <w:rsid w:val="00DE46AF"/>
    <w:rsid w:val="00DE4A4A"/>
    <w:rsid w:val="00DE4B0B"/>
    <w:rsid w:val="00DE4D31"/>
    <w:rsid w:val="00DE4DCA"/>
    <w:rsid w:val="00DE4DE9"/>
    <w:rsid w:val="00DE4EA7"/>
    <w:rsid w:val="00DE51BC"/>
    <w:rsid w:val="00DE5298"/>
    <w:rsid w:val="00DE52E7"/>
    <w:rsid w:val="00DE533B"/>
    <w:rsid w:val="00DE5412"/>
    <w:rsid w:val="00DE545C"/>
    <w:rsid w:val="00DE5484"/>
    <w:rsid w:val="00DE55BD"/>
    <w:rsid w:val="00DE56E9"/>
    <w:rsid w:val="00DE57B9"/>
    <w:rsid w:val="00DE57E8"/>
    <w:rsid w:val="00DE589D"/>
    <w:rsid w:val="00DE5986"/>
    <w:rsid w:val="00DE59F4"/>
    <w:rsid w:val="00DE5B24"/>
    <w:rsid w:val="00DE5B46"/>
    <w:rsid w:val="00DE5BD0"/>
    <w:rsid w:val="00DE5C1A"/>
    <w:rsid w:val="00DE5EA6"/>
    <w:rsid w:val="00DE5F1A"/>
    <w:rsid w:val="00DE5F66"/>
    <w:rsid w:val="00DE605D"/>
    <w:rsid w:val="00DE612E"/>
    <w:rsid w:val="00DE6139"/>
    <w:rsid w:val="00DE617D"/>
    <w:rsid w:val="00DE61BC"/>
    <w:rsid w:val="00DE61CF"/>
    <w:rsid w:val="00DE61E3"/>
    <w:rsid w:val="00DE626C"/>
    <w:rsid w:val="00DE6292"/>
    <w:rsid w:val="00DE6328"/>
    <w:rsid w:val="00DE640C"/>
    <w:rsid w:val="00DE6499"/>
    <w:rsid w:val="00DE655A"/>
    <w:rsid w:val="00DE6573"/>
    <w:rsid w:val="00DE657A"/>
    <w:rsid w:val="00DE6709"/>
    <w:rsid w:val="00DE670F"/>
    <w:rsid w:val="00DE6767"/>
    <w:rsid w:val="00DE679E"/>
    <w:rsid w:val="00DE6841"/>
    <w:rsid w:val="00DE6862"/>
    <w:rsid w:val="00DE69E1"/>
    <w:rsid w:val="00DE6A7A"/>
    <w:rsid w:val="00DE6B33"/>
    <w:rsid w:val="00DE6C72"/>
    <w:rsid w:val="00DE6D30"/>
    <w:rsid w:val="00DE6DB9"/>
    <w:rsid w:val="00DE6DFC"/>
    <w:rsid w:val="00DE6E67"/>
    <w:rsid w:val="00DE6E8A"/>
    <w:rsid w:val="00DE6EC0"/>
    <w:rsid w:val="00DE7054"/>
    <w:rsid w:val="00DE70ED"/>
    <w:rsid w:val="00DE7148"/>
    <w:rsid w:val="00DE7158"/>
    <w:rsid w:val="00DE721A"/>
    <w:rsid w:val="00DE722B"/>
    <w:rsid w:val="00DE728C"/>
    <w:rsid w:val="00DE72F7"/>
    <w:rsid w:val="00DE7305"/>
    <w:rsid w:val="00DE733B"/>
    <w:rsid w:val="00DE7459"/>
    <w:rsid w:val="00DE74F2"/>
    <w:rsid w:val="00DE7548"/>
    <w:rsid w:val="00DE7695"/>
    <w:rsid w:val="00DE7799"/>
    <w:rsid w:val="00DE77E3"/>
    <w:rsid w:val="00DE7806"/>
    <w:rsid w:val="00DE7989"/>
    <w:rsid w:val="00DE7A2E"/>
    <w:rsid w:val="00DE7AC2"/>
    <w:rsid w:val="00DE7C2B"/>
    <w:rsid w:val="00DE7CB3"/>
    <w:rsid w:val="00DE7CFD"/>
    <w:rsid w:val="00DE7DD3"/>
    <w:rsid w:val="00DE7E23"/>
    <w:rsid w:val="00DE7E42"/>
    <w:rsid w:val="00DE7F0F"/>
    <w:rsid w:val="00DF0003"/>
    <w:rsid w:val="00DF01D9"/>
    <w:rsid w:val="00DF02C1"/>
    <w:rsid w:val="00DF0550"/>
    <w:rsid w:val="00DF0590"/>
    <w:rsid w:val="00DF0742"/>
    <w:rsid w:val="00DF07D7"/>
    <w:rsid w:val="00DF07E5"/>
    <w:rsid w:val="00DF082E"/>
    <w:rsid w:val="00DF0873"/>
    <w:rsid w:val="00DF08A3"/>
    <w:rsid w:val="00DF09BE"/>
    <w:rsid w:val="00DF0AE5"/>
    <w:rsid w:val="00DF0C85"/>
    <w:rsid w:val="00DF0D4A"/>
    <w:rsid w:val="00DF0E28"/>
    <w:rsid w:val="00DF0E38"/>
    <w:rsid w:val="00DF0E8E"/>
    <w:rsid w:val="00DF101E"/>
    <w:rsid w:val="00DF1054"/>
    <w:rsid w:val="00DF10A1"/>
    <w:rsid w:val="00DF10CB"/>
    <w:rsid w:val="00DF122F"/>
    <w:rsid w:val="00DF123D"/>
    <w:rsid w:val="00DF12F8"/>
    <w:rsid w:val="00DF13AD"/>
    <w:rsid w:val="00DF155E"/>
    <w:rsid w:val="00DF15AC"/>
    <w:rsid w:val="00DF15E2"/>
    <w:rsid w:val="00DF15F5"/>
    <w:rsid w:val="00DF1701"/>
    <w:rsid w:val="00DF174E"/>
    <w:rsid w:val="00DF1786"/>
    <w:rsid w:val="00DF17ED"/>
    <w:rsid w:val="00DF1803"/>
    <w:rsid w:val="00DF1848"/>
    <w:rsid w:val="00DF1912"/>
    <w:rsid w:val="00DF19AF"/>
    <w:rsid w:val="00DF19ED"/>
    <w:rsid w:val="00DF1A0C"/>
    <w:rsid w:val="00DF1A8D"/>
    <w:rsid w:val="00DF1B17"/>
    <w:rsid w:val="00DF1B23"/>
    <w:rsid w:val="00DF1D1D"/>
    <w:rsid w:val="00DF1ECE"/>
    <w:rsid w:val="00DF1F1C"/>
    <w:rsid w:val="00DF1F6B"/>
    <w:rsid w:val="00DF2144"/>
    <w:rsid w:val="00DF2164"/>
    <w:rsid w:val="00DF218E"/>
    <w:rsid w:val="00DF2262"/>
    <w:rsid w:val="00DF22CE"/>
    <w:rsid w:val="00DF2320"/>
    <w:rsid w:val="00DF2492"/>
    <w:rsid w:val="00DF2518"/>
    <w:rsid w:val="00DF25AE"/>
    <w:rsid w:val="00DF268B"/>
    <w:rsid w:val="00DF2735"/>
    <w:rsid w:val="00DF2A17"/>
    <w:rsid w:val="00DF2A2D"/>
    <w:rsid w:val="00DF2AF2"/>
    <w:rsid w:val="00DF2B1A"/>
    <w:rsid w:val="00DF2B33"/>
    <w:rsid w:val="00DF2BAE"/>
    <w:rsid w:val="00DF2C45"/>
    <w:rsid w:val="00DF2CE1"/>
    <w:rsid w:val="00DF2D45"/>
    <w:rsid w:val="00DF2D82"/>
    <w:rsid w:val="00DF2E71"/>
    <w:rsid w:val="00DF2F21"/>
    <w:rsid w:val="00DF2F9C"/>
    <w:rsid w:val="00DF3252"/>
    <w:rsid w:val="00DF3643"/>
    <w:rsid w:val="00DF3677"/>
    <w:rsid w:val="00DF36F2"/>
    <w:rsid w:val="00DF3727"/>
    <w:rsid w:val="00DF3762"/>
    <w:rsid w:val="00DF3860"/>
    <w:rsid w:val="00DF386A"/>
    <w:rsid w:val="00DF3883"/>
    <w:rsid w:val="00DF3988"/>
    <w:rsid w:val="00DF3B5E"/>
    <w:rsid w:val="00DF3B6B"/>
    <w:rsid w:val="00DF3D7B"/>
    <w:rsid w:val="00DF3DBF"/>
    <w:rsid w:val="00DF3DFF"/>
    <w:rsid w:val="00DF3F1A"/>
    <w:rsid w:val="00DF403F"/>
    <w:rsid w:val="00DF4203"/>
    <w:rsid w:val="00DF424F"/>
    <w:rsid w:val="00DF429C"/>
    <w:rsid w:val="00DF43AA"/>
    <w:rsid w:val="00DF444B"/>
    <w:rsid w:val="00DF44F3"/>
    <w:rsid w:val="00DF46BF"/>
    <w:rsid w:val="00DF4788"/>
    <w:rsid w:val="00DF48B4"/>
    <w:rsid w:val="00DF49CB"/>
    <w:rsid w:val="00DF4B94"/>
    <w:rsid w:val="00DF4D38"/>
    <w:rsid w:val="00DF4D39"/>
    <w:rsid w:val="00DF4D4C"/>
    <w:rsid w:val="00DF4E16"/>
    <w:rsid w:val="00DF4E22"/>
    <w:rsid w:val="00DF4E4A"/>
    <w:rsid w:val="00DF4E70"/>
    <w:rsid w:val="00DF50F0"/>
    <w:rsid w:val="00DF5140"/>
    <w:rsid w:val="00DF5257"/>
    <w:rsid w:val="00DF55C8"/>
    <w:rsid w:val="00DF55EA"/>
    <w:rsid w:val="00DF5648"/>
    <w:rsid w:val="00DF5664"/>
    <w:rsid w:val="00DF56A8"/>
    <w:rsid w:val="00DF5808"/>
    <w:rsid w:val="00DF5852"/>
    <w:rsid w:val="00DF5891"/>
    <w:rsid w:val="00DF58B9"/>
    <w:rsid w:val="00DF5A7C"/>
    <w:rsid w:val="00DF5AE6"/>
    <w:rsid w:val="00DF5BC5"/>
    <w:rsid w:val="00DF5C1B"/>
    <w:rsid w:val="00DF5CE7"/>
    <w:rsid w:val="00DF5D48"/>
    <w:rsid w:val="00DF5DE1"/>
    <w:rsid w:val="00DF5E3B"/>
    <w:rsid w:val="00DF5EA8"/>
    <w:rsid w:val="00DF5F1E"/>
    <w:rsid w:val="00DF5F88"/>
    <w:rsid w:val="00DF5FA3"/>
    <w:rsid w:val="00DF5FE7"/>
    <w:rsid w:val="00DF6027"/>
    <w:rsid w:val="00DF60D8"/>
    <w:rsid w:val="00DF6146"/>
    <w:rsid w:val="00DF6201"/>
    <w:rsid w:val="00DF620A"/>
    <w:rsid w:val="00DF62DB"/>
    <w:rsid w:val="00DF6381"/>
    <w:rsid w:val="00DF657E"/>
    <w:rsid w:val="00DF65A4"/>
    <w:rsid w:val="00DF6645"/>
    <w:rsid w:val="00DF66CE"/>
    <w:rsid w:val="00DF674D"/>
    <w:rsid w:val="00DF67FC"/>
    <w:rsid w:val="00DF688D"/>
    <w:rsid w:val="00DF6970"/>
    <w:rsid w:val="00DF698F"/>
    <w:rsid w:val="00DF6A10"/>
    <w:rsid w:val="00DF6A5E"/>
    <w:rsid w:val="00DF6ADA"/>
    <w:rsid w:val="00DF6BCB"/>
    <w:rsid w:val="00DF6C49"/>
    <w:rsid w:val="00DF6E28"/>
    <w:rsid w:val="00DF6E70"/>
    <w:rsid w:val="00DF6F45"/>
    <w:rsid w:val="00DF6F69"/>
    <w:rsid w:val="00DF7049"/>
    <w:rsid w:val="00DF708F"/>
    <w:rsid w:val="00DF711D"/>
    <w:rsid w:val="00DF72AB"/>
    <w:rsid w:val="00DF7560"/>
    <w:rsid w:val="00DF768E"/>
    <w:rsid w:val="00DF76EA"/>
    <w:rsid w:val="00DF77AB"/>
    <w:rsid w:val="00DF77E6"/>
    <w:rsid w:val="00DF7889"/>
    <w:rsid w:val="00DF789C"/>
    <w:rsid w:val="00DF7953"/>
    <w:rsid w:val="00DF796A"/>
    <w:rsid w:val="00DF79EB"/>
    <w:rsid w:val="00DF7C80"/>
    <w:rsid w:val="00DF7CE5"/>
    <w:rsid w:val="00DF7D27"/>
    <w:rsid w:val="00DF7DA6"/>
    <w:rsid w:val="00DF7E39"/>
    <w:rsid w:val="00DF7E51"/>
    <w:rsid w:val="00E00025"/>
    <w:rsid w:val="00E00081"/>
    <w:rsid w:val="00E0008E"/>
    <w:rsid w:val="00E00113"/>
    <w:rsid w:val="00E0018C"/>
    <w:rsid w:val="00E00309"/>
    <w:rsid w:val="00E003D1"/>
    <w:rsid w:val="00E004D3"/>
    <w:rsid w:val="00E005E0"/>
    <w:rsid w:val="00E00639"/>
    <w:rsid w:val="00E006BA"/>
    <w:rsid w:val="00E0073E"/>
    <w:rsid w:val="00E007C2"/>
    <w:rsid w:val="00E00805"/>
    <w:rsid w:val="00E00928"/>
    <w:rsid w:val="00E00B20"/>
    <w:rsid w:val="00E00C00"/>
    <w:rsid w:val="00E00C6F"/>
    <w:rsid w:val="00E00E92"/>
    <w:rsid w:val="00E00F5F"/>
    <w:rsid w:val="00E00FB5"/>
    <w:rsid w:val="00E00FC3"/>
    <w:rsid w:val="00E00FF0"/>
    <w:rsid w:val="00E00FF1"/>
    <w:rsid w:val="00E01016"/>
    <w:rsid w:val="00E01124"/>
    <w:rsid w:val="00E011B9"/>
    <w:rsid w:val="00E012A1"/>
    <w:rsid w:val="00E01327"/>
    <w:rsid w:val="00E01371"/>
    <w:rsid w:val="00E013A5"/>
    <w:rsid w:val="00E0146F"/>
    <w:rsid w:val="00E014B5"/>
    <w:rsid w:val="00E01579"/>
    <w:rsid w:val="00E015BA"/>
    <w:rsid w:val="00E0177F"/>
    <w:rsid w:val="00E0183D"/>
    <w:rsid w:val="00E01951"/>
    <w:rsid w:val="00E019F4"/>
    <w:rsid w:val="00E01BCC"/>
    <w:rsid w:val="00E01BD9"/>
    <w:rsid w:val="00E01BDB"/>
    <w:rsid w:val="00E01C29"/>
    <w:rsid w:val="00E01C6C"/>
    <w:rsid w:val="00E01CF7"/>
    <w:rsid w:val="00E01D37"/>
    <w:rsid w:val="00E01F31"/>
    <w:rsid w:val="00E01F4E"/>
    <w:rsid w:val="00E0201B"/>
    <w:rsid w:val="00E0203D"/>
    <w:rsid w:val="00E02068"/>
    <w:rsid w:val="00E02077"/>
    <w:rsid w:val="00E0209C"/>
    <w:rsid w:val="00E020DD"/>
    <w:rsid w:val="00E021A1"/>
    <w:rsid w:val="00E021D4"/>
    <w:rsid w:val="00E0221B"/>
    <w:rsid w:val="00E02229"/>
    <w:rsid w:val="00E02268"/>
    <w:rsid w:val="00E022CA"/>
    <w:rsid w:val="00E023DF"/>
    <w:rsid w:val="00E026A6"/>
    <w:rsid w:val="00E026D0"/>
    <w:rsid w:val="00E02731"/>
    <w:rsid w:val="00E027B8"/>
    <w:rsid w:val="00E028F2"/>
    <w:rsid w:val="00E02A80"/>
    <w:rsid w:val="00E02B19"/>
    <w:rsid w:val="00E02CFC"/>
    <w:rsid w:val="00E02CFE"/>
    <w:rsid w:val="00E02DC7"/>
    <w:rsid w:val="00E02F06"/>
    <w:rsid w:val="00E02F15"/>
    <w:rsid w:val="00E030E2"/>
    <w:rsid w:val="00E031FD"/>
    <w:rsid w:val="00E03221"/>
    <w:rsid w:val="00E0335B"/>
    <w:rsid w:val="00E035AC"/>
    <w:rsid w:val="00E037D3"/>
    <w:rsid w:val="00E03961"/>
    <w:rsid w:val="00E0397A"/>
    <w:rsid w:val="00E03AB7"/>
    <w:rsid w:val="00E03AF2"/>
    <w:rsid w:val="00E03B13"/>
    <w:rsid w:val="00E03B2B"/>
    <w:rsid w:val="00E03B4E"/>
    <w:rsid w:val="00E03BB1"/>
    <w:rsid w:val="00E03D4E"/>
    <w:rsid w:val="00E03D7D"/>
    <w:rsid w:val="00E03E64"/>
    <w:rsid w:val="00E03F1A"/>
    <w:rsid w:val="00E03F25"/>
    <w:rsid w:val="00E03FD2"/>
    <w:rsid w:val="00E0421C"/>
    <w:rsid w:val="00E04255"/>
    <w:rsid w:val="00E04449"/>
    <w:rsid w:val="00E044F1"/>
    <w:rsid w:val="00E04540"/>
    <w:rsid w:val="00E04639"/>
    <w:rsid w:val="00E0470E"/>
    <w:rsid w:val="00E047B4"/>
    <w:rsid w:val="00E047C9"/>
    <w:rsid w:val="00E047FA"/>
    <w:rsid w:val="00E0483E"/>
    <w:rsid w:val="00E048EE"/>
    <w:rsid w:val="00E049EB"/>
    <w:rsid w:val="00E04A3E"/>
    <w:rsid w:val="00E04A43"/>
    <w:rsid w:val="00E04AE5"/>
    <w:rsid w:val="00E04B0C"/>
    <w:rsid w:val="00E04CE6"/>
    <w:rsid w:val="00E04DD8"/>
    <w:rsid w:val="00E04DFB"/>
    <w:rsid w:val="00E04EFF"/>
    <w:rsid w:val="00E04F75"/>
    <w:rsid w:val="00E04F96"/>
    <w:rsid w:val="00E05206"/>
    <w:rsid w:val="00E0522A"/>
    <w:rsid w:val="00E05292"/>
    <w:rsid w:val="00E05367"/>
    <w:rsid w:val="00E053C6"/>
    <w:rsid w:val="00E054AF"/>
    <w:rsid w:val="00E055CF"/>
    <w:rsid w:val="00E0564B"/>
    <w:rsid w:val="00E05668"/>
    <w:rsid w:val="00E05817"/>
    <w:rsid w:val="00E05855"/>
    <w:rsid w:val="00E058A1"/>
    <w:rsid w:val="00E058CA"/>
    <w:rsid w:val="00E05A2D"/>
    <w:rsid w:val="00E05AE3"/>
    <w:rsid w:val="00E05BAF"/>
    <w:rsid w:val="00E05BFD"/>
    <w:rsid w:val="00E05C34"/>
    <w:rsid w:val="00E05C60"/>
    <w:rsid w:val="00E05C62"/>
    <w:rsid w:val="00E05C98"/>
    <w:rsid w:val="00E05D40"/>
    <w:rsid w:val="00E05D6C"/>
    <w:rsid w:val="00E05DB5"/>
    <w:rsid w:val="00E05E43"/>
    <w:rsid w:val="00E05E88"/>
    <w:rsid w:val="00E05F4C"/>
    <w:rsid w:val="00E05FBB"/>
    <w:rsid w:val="00E06074"/>
    <w:rsid w:val="00E061B8"/>
    <w:rsid w:val="00E0624B"/>
    <w:rsid w:val="00E0652F"/>
    <w:rsid w:val="00E0654F"/>
    <w:rsid w:val="00E065AB"/>
    <w:rsid w:val="00E0672B"/>
    <w:rsid w:val="00E06800"/>
    <w:rsid w:val="00E06813"/>
    <w:rsid w:val="00E068B6"/>
    <w:rsid w:val="00E068D9"/>
    <w:rsid w:val="00E069BB"/>
    <w:rsid w:val="00E069E5"/>
    <w:rsid w:val="00E06B0E"/>
    <w:rsid w:val="00E06BF3"/>
    <w:rsid w:val="00E06D7E"/>
    <w:rsid w:val="00E06EAF"/>
    <w:rsid w:val="00E06EEE"/>
    <w:rsid w:val="00E06FC6"/>
    <w:rsid w:val="00E0702B"/>
    <w:rsid w:val="00E07082"/>
    <w:rsid w:val="00E0709D"/>
    <w:rsid w:val="00E07236"/>
    <w:rsid w:val="00E07250"/>
    <w:rsid w:val="00E0725B"/>
    <w:rsid w:val="00E07364"/>
    <w:rsid w:val="00E073C8"/>
    <w:rsid w:val="00E073DD"/>
    <w:rsid w:val="00E0750A"/>
    <w:rsid w:val="00E0752F"/>
    <w:rsid w:val="00E07578"/>
    <w:rsid w:val="00E075F9"/>
    <w:rsid w:val="00E077D9"/>
    <w:rsid w:val="00E07808"/>
    <w:rsid w:val="00E078C8"/>
    <w:rsid w:val="00E079AE"/>
    <w:rsid w:val="00E07A25"/>
    <w:rsid w:val="00E07A5E"/>
    <w:rsid w:val="00E07A74"/>
    <w:rsid w:val="00E07B78"/>
    <w:rsid w:val="00E07BA1"/>
    <w:rsid w:val="00E07BCD"/>
    <w:rsid w:val="00E07C1C"/>
    <w:rsid w:val="00E07CAE"/>
    <w:rsid w:val="00E07DBC"/>
    <w:rsid w:val="00E07DF7"/>
    <w:rsid w:val="00E10381"/>
    <w:rsid w:val="00E103B3"/>
    <w:rsid w:val="00E103BB"/>
    <w:rsid w:val="00E1042B"/>
    <w:rsid w:val="00E10473"/>
    <w:rsid w:val="00E1056C"/>
    <w:rsid w:val="00E10623"/>
    <w:rsid w:val="00E10635"/>
    <w:rsid w:val="00E10668"/>
    <w:rsid w:val="00E106E5"/>
    <w:rsid w:val="00E1070B"/>
    <w:rsid w:val="00E1088A"/>
    <w:rsid w:val="00E10A96"/>
    <w:rsid w:val="00E10AD9"/>
    <w:rsid w:val="00E10B44"/>
    <w:rsid w:val="00E10BC2"/>
    <w:rsid w:val="00E10C06"/>
    <w:rsid w:val="00E10D2E"/>
    <w:rsid w:val="00E10D33"/>
    <w:rsid w:val="00E10DBA"/>
    <w:rsid w:val="00E10EF6"/>
    <w:rsid w:val="00E10F56"/>
    <w:rsid w:val="00E11089"/>
    <w:rsid w:val="00E110BC"/>
    <w:rsid w:val="00E110F6"/>
    <w:rsid w:val="00E1144B"/>
    <w:rsid w:val="00E1158C"/>
    <w:rsid w:val="00E1160B"/>
    <w:rsid w:val="00E117D1"/>
    <w:rsid w:val="00E1183E"/>
    <w:rsid w:val="00E118B4"/>
    <w:rsid w:val="00E11A8E"/>
    <w:rsid w:val="00E11AED"/>
    <w:rsid w:val="00E11B04"/>
    <w:rsid w:val="00E11B35"/>
    <w:rsid w:val="00E11B64"/>
    <w:rsid w:val="00E11D1C"/>
    <w:rsid w:val="00E11E71"/>
    <w:rsid w:val="00E11F21"/>
    <w:rsid w:val="00E11FB9"/>
    <w:rsid w:val="00E122E6"/>
    <w:rsid w:val="00E12331"/>
    <w:rsid w:val="00E1244D"/>
    <w:rsid w:val="00E1247A"/>
    <w:rsid w:val="00E126FA"/>
    <w:rsid w:val="00E127A1"/>
    <w:rsid w:val="00E127EA"/>
    <w:rsid w:val="00E12889"/>
    <w:rsid w:val="00E12898"/>
    <w:rsid w:val="00E128C2"/>
    <w:rsid w:val="00E12AF4"/>
    <w:rsid w:val="00E12B0C"/>
    <w:rsid w:val="00E12B9F"/>
    <w:rsid w:val="00E12CA0"/>
    <w:rsid w:val="00E12EAF"/>
    <w:rsid w:val="00E12F5F"/>
    <w:rsid w:val="00E12FE2"/>
    <w:rsid w:val="00E1301E"/>
    <w:rsid w:val="00E1303F"/>
    <w:rsid w:val="00E13069"/>
    <w:rsid w:val="00E131EC"/>
    <w:rsid w:val="00E13278"/>
    <w:rsid w:val="00E13414"/>
    <w:rsid w:val="00E13470"/>
    <w:rsid w:val="00E13538"/>
    <w:rsid w:val="00E13783"/>
    <w:rsid w:val="00E137DC"/>
    <w:rsid w:val="00E137FD"/>
    <w:rsid w:val="00E13A45"/>
    <w:rsid w:val="00E13A96"/>
    <w:rsid w:val="00E13B95"/>
    <w:rsid w:val="00E13C2A"/>
    <w:rsid w:val="00E13CCE"/>
    <w:rsid w:val="00E13CEE"/>
    <w:rsid w:val="00E13F03"/>
    <w:rsid w:val="00E13F75"/>
    <w:rsid w:val="00E14051"/>
    <w:rsid w:val="00E14083"/>
    <w:rsid w:val="00E141AD"/>
    <w:rsid w:val="00E141FE"/>
    <w:rsid w:val="00E14282"/>
    <w:rsid w:val="00E14294"/>
    <w:rsid w:val="00E1436F"/>
    <w:rsid w:val="00E14384"/>
    <w:rsid w:val="00E14400"/>
    <w:rsid w:val="00E145EE"/>
    <w:rsid w:val="00E1461C"/>
    <w:rsid w:val="00E14624"/>
    <w:rsid w:val="00E1463E"/>
    <w:rsid w:val="00E14708"/>
    <w:rsid w:val="00E14752"/>
    <w:rsid w:val="00E147B1"/>
    <w:rsid w:val="00E14858"/>
    <w:rsid w:val="00E148AB"/>
    <w:rsid w:val="00E14914"/>
    <w:rsid w:val="00E14937"/>
    <w:rsid w:val="00E14948"/>
    <w:rsid w:val="00E149A5"/>
    <w:rsid w:val="00E14A3F"/>
    <w:rsid w:val="00E14B2E"/>
    <w:rsid w:val="00E14C41"/>
    <w:rsid w:val="00E14D11"/>
    <w:rsid w:val="00E14DD5"/>
    <w:rsid w:val="00E14DDA"/>
    <w:rsid w:val="00E14DF5"/>
    <w:rsid w:val="00E14F89"/>
    <w:rsid w:val="00E1502E"/>
    <w:rsid w:val="00E1505F"/>
    <w:rsid w:val="00E150F9"/>
    <w:rsid w:val="00E1516D"/>
    <w:rsid w:val="00E151DE"/>
    <w:rsid w:val="00E154AD"/>
    <w:rsid w:val="00E158E6"/>
    <w:rsid w:val="00E1595F"/>
    <w:rsid w:val="00E15966"/>
    <w:rsid w:val="00E15A84"/>
    <w:rsid w:val="00E15B58"/>
    <w:rsid w:val="00E15C57"/>
    <w:rsid w:val="00E15CBC"/>
    <w:rsid w:val="00E15CCB"/>
    <w:rsid w:val="00E15E03"/>
    <w:rsid w:val="00E15E1A"/>
    <w:rsid w:val="00E15E43"/>
    <w:rsid w:val="00E15E51"/>
    <w:rsid w:val="00E160B7"/>
    <w:rsid w:val="00E162CC"/>
    <w:rsid w:val="00E16319"/>
    <w:rsid w:val="00E163DB"/>
    <w:rsid w:val="00E163E9"/>
    <w:rsid w:val="00E16463"/>
    <w:rsid w:val="00E1648A"/>
    <w:rsid w:val="00E1653E"/>
    <w:rsid w:val="00E16679"/>
    <w:rsid w:val="00E16811"/>
    <w:rsid w:val="00E16839"/>
    <w:rsid w:val="00E1689E"/>
    <w:rsid w:val="00E169CB"/>
    <w:rsid w:val="00E16AB0"/>
    <w:rsid w:val="00E16B0D"/>
    <w:rsid w:val="00E16CC9"/>
    <w:rsid w:val="00E16D74"/>
    <w:rsid w:val="00E16DD1"/>
    <w:rsid w:val="00E16FAE"/>
    <w:rsid w:val="00E170C4"/>
    <w:rsid w:val="00E1715B"/>
    <w:rsid w:val="00E171DA"/>
    <w:rsid w:val="00E1724D"/>
    <w:rsid w:val="00E172B9"/>
    <w:rsid w:val="00E17423"/>
    <w:rsid w:val="00E175BE"/>
    <w:rsid w:val="00E175FA"/>
    <w:rsid w:val="00E1763D"/>
    <w:rsid w:val="00E176F8"/>
    <w:rsid w:val="00E177FC"/>
    <w:rsid w:val="00E1782A"/>
    <w:rsid w:val="00E17886"/>
    <w:rsid w:val="00E178D1"/>
    <w:rsid w:val="00E17A57"/>
    <w:rsid w:val="00E17A7A"/>
    <w:rsid w:val="00E17AEF"/>
    <w:rsid w:val="00E17B07"/>
    <w:rsid w:val="00E17B26"/>
    <w:rsid w:val="00E17BFC"/>
    <w:rsid w:val="00E17C97"/>
    <w:rsid w:val="00E17D37"/>
    <w:rsid w:val="00E17E9B"/>
    <w:rsid w:val="00E17FAC"/>
    <w:rsid w:val="00E17FCA"/>
    <w:rsid w:val="00E2010A"/>
    <w:rsid w:val="00E20205"/>
    <w:rsid w:val="00E20208"/>
    <w:rsid w:val="00E20255"/>
    <w:rsid w:val="00E20290"/>
    <w:rsid w:val="00E20390"/>
    <w:rsid w:val="00E20474"/>
    <w:rsid w:val="00E20488"/>
    <w:rsid w:val="00E205BD"/>
    <w:rsid w:val="00E205F1"/>
    <w:rsid w:val="00E20633"/>
    <w:rsid w:val="00E20642"/>
    <w:rsid w:val="00E2067C"/>
    <w:rsid w:val="00E208EA"/>
    <w:rsid w:val="00E209AA"/>
    <w:rsid w:val="00E209C3"/>
    <w:rsid w:val="00E209EF"/>
    <w:rsid w:val="00E20A75"/>
    <w:rsid w:val="00E20AA6"/>
    <w:rsid w:val="00E20AC6"/>
    <w:rsid w:val="00E20B2F"/>
    <w:rsid w:val="00E20B97"/>
    <w:rsid w:val="00E20BF8"/>
    <w:rsid w:val="00E20CBC"/>
    <w:rsid w:val="00E20E92"/>
    <w:rsid w:val="00E20EE5"/>
    <w:rsid w:val="00E20F41"/>
    <w:rsid w:val="00E20F54"/>
    <w:rsid w:val="00E2116D"/>
    <w:rsid w:val="00E211B8"/>
    <w:rsid w:val="00E21343"/>
    <w:rsid w:val="00E2135F"/>
    <w:rsid w:val="00E2142F"/>
    <w:rsid w:val="00E21474"/>
    <w:rsid w:val="00E21527"/>
    <w:rsid w:val="00E2155F"/>
    <w:rsid w:val="00E215B0"/>
    <w:rsid w:val="00E218E6"/>
    <w:rsid w:val="00E21936"/>
    <w:rsid w:val="00E21A6B"/>
    <w:rsid w:val="00E21A91"/>
    <w:rsid w:val="00E21B6C"/>
    <w:rsid w:val="00E21C96"/>
    <w:rsid w:val="00E21E0C"/>
    <w:rsid w:val="00E21EE1"/>
    <w:rsid w:val="00E21FA5"/>
    <w:rsid w:val="00E2203E"/>
    <w:rsid w:val="00E22272"/>
    <w:rsid w:val="00E22337"/>
    <w:rsid w:val="00E225B3"/>
    <w:rsid w:val="00E225DB"/>
    <w:rsid w:val="00E2263F"/>
    <w:rsid w:val="00E22794"/>
    <w:rsid w:val="00E227A4"/>
    <w:rsid w:val="00E2282A"/>
    <w:rsid w:val="00E22897"/>
    <w:rsid w:val="00E22951"/>
    <w:rsid w:val="00E22BB1"/>
    <w:rsid w:val="00E22C54"/>
    <w:rsid w:val="00E22CA1"/>
    <w:rsid w:val="00E22CC2"/>
    <w:rsid w:val="00E22CED"/>
    <w:rsid w:val="00E22D84"/>
    <w:rsid w:val="00E22D9A"/>
    <w:rsid w:val="00E22DCE"/>
    <w:rsid w:val="00E22E32"/>
    <w:rsid w:val="00E22F8D"/>
    <w:rsid w:val="00E22FC4"/>
    <w:rsid w:val="00E230AC"/>
    <w:rsid w:val="00E230F2"/>
    <w:rsid w:val="00E23136"/>
    <w:rsid w:val="00E23231"/>
    <w:rsid w:val="00E23314"/>
    <w:rsid w:val="00E2339A"/>
    <w:rsid w:val="00E233DD"/>
    <w:rsid w:val="00E234DE"/>
    <w:rsid w:val="00E23525"/>
    <w:rsid w:val="00E23635"/>
    <w:rsid w:val="00E2366B"/>
    <w:rsid w:val="00E237A0"/>
    <w:rsid w:val="00E237FC"/>
    <w:rsid w:val="00E2389B"/>
    <w:rsid w:val="00E238D4"/>
    <w:rsid w:val="00E2390F"/>
    <w:rsid w:val="00E23B56"/>
    <w:rsid w:val="00E23B65"/>
    <w:rsid w:val="00E23B93"/>
    <w:rsid w:val="00E23CA5"/>
    <w:rsid w:val="00E23D5D"/>
    <w:rsid w:val="00E23D60"/>
    <w:rsid w:val="00E23E23"/>
    <w:rsid w:val="00E23E98"/>
    <w:rsid w:val="00E23EBC"/>
    <w:rsid w:val="00E23F40"/>
    <w:rsid w:val="00E23FF3"/>
    <w:rsid w:val="00E2413C"/>
    <w:rsid w:val="00E24282"/>
    <w:rsid w:val="00E242E2"/>
    <w:rsid w:val="00E242F5"/>
    <w:rsid w:val="00E24321"/>
    <w:rsid w:val="00E24332"/>
    <w:rsid w:val="00E243B8"/>
    <w:rsid w:val="00E24401"/>
    <w:rsid w:val="00E244DC"/>
    <w:rsid w:val="00E24540"/>
    <w:rsid w:val="00E24598"/>
    <w:rsid w:val="00E24675"/>
    <w:rsid w:val="00E247AB"/>
    <w:rsid w:val="00E247DC"/>
    <w:rsid w:val="00E248F4"/>
    <w:rsid w:val="00E248FF"/>
    <w:rsid w:val="00E24955"/>
    <w:rsid w:val="00E24B30"/>
    <w:rsid w:val="00E24BC0"/>
    <w:rsid w:val="00E24C1D"/>
    <w:rsid w:val="00E24C68"/>
    <w:rsid w:val="00E24CD5"/>
    <w:rsid w:val="00E24D41"/>
    <w:rsid w:val="00E24DF7"/>
    <w:rsid w:val="00E24FF4"/>
    <w:rsid w:val="00E25015"/>
    <w:rsid w:val="00E25078"/>
    <w:rsid w:val="00E251E9"/>
    <w:rsid w:val="00E253AE"/>
    <w:rsid w:val="00E2545F"/>
    <w:rsid w:val="00E2549F"/>
    <w:rsid w:val="00E2551A"/>
    <w:rsid w:val="00E255C0"/>
    <w:rsid w:val="00E2561F"/>
    <w:rsid w:val="00E25703"/>
    <w:rsid w:val="00E25807"/>
    <w:rsid w:val="00E2583B"/>
    <w:rsid w:val="00E259B8"/>
    <w:rsid w:val="00E259C0"/>
    <w:rsid w:val="00E25B6B"/>
    <w:rsid w:val="00E25C5B"/>
    <w:rsid w:val="00E25CBA"/>
    <w:rsid w:val="00E25E42"/>
    <w:rsid w:val="00E260BD"/>
    <w:rsid w:val="00E2616D"/>
    <w:rsid w:val="00E2624F"/>
    <w:rsid w:val="00E26467"/>
    <w:rsid w:val="00E26504"/>
    <w:rsid w:val="00E2650C"/>
    <w:rsid w:val="00E2652F"/>
    <w:rsid w:val="00E2662C"/>
    <w:rsid w:val="00E2684E"/>
    <w:rsid w:val="00E26886"/>
    <w:rsid w:val="00E268D6"/>
    <w:rsid w:val="00E26953"/>
    <w:rsid w:val="00E26985"/>
    <w:rsid w:val="00E26B2C"/>
    <w:rsid w:val="00E26B3D"/>
    <w:rsid w:val="00E26C58"/>
    <w:rsid w:val="00E26C78"/>
    <w:rsid w:val="00E26D44"/>
    <w:rsid w:val="00E26D59"/>
    <w:rsid w:val="00E26E51"/>
    <w:rsid w:val="00E26EBD"/>
    <w:rsid w:val="00E26EF1"/>
    <w:rsid w:val="00E26FCD"/>
    <w:rsid w:val="00E270A7"/>
    <w:rsid w:val="00E27131"/>
    <w:rsid w:val="00E27167"/>
    <w:rsid w:val="00E2729E"/>
    <w:rsid w:val="00E272C6"/>
    <w:rsid w:val="00E2743B"/>
    <w:rsid w:val="00E274BD"/>
    <w:rsid w:val="00E27566"/>
    <w:rsid w:val="00E275F0"/>
    <w:rsid w:val="00E27649"/>
    <w:rsid w:val="00E276BA"/>
    <w:rsid w:val="00E27733"/>
    <w:rsid w:val="00E27873"/>
    <w:rsid w:val="00E278D8"/>
    <w:rsid w:val="00E27AAC"/>
    <w:rsid w:val="00E27CA0"/>
    <w:rsid w:val="00E27DD1"/>
    <w:rsid w:val="00E27F90"/>
    <w:rsid w:val="00E30033"/>
    <w:rsid w:val="00E3008F"/>
    <w:rsid w:val="00E30098"/>
    <w:rsid w:val="00E301EC"/>
    <w:rsid w:val="00E303D1"/>
    <w:rsid w:val="00E30424"/>
    <w:rsid w:val="00E30440"/>
    <w:rsid w:val="00E304A8"/>
    <w:rsid w:val="00E304ED"/>
    <w:rsid w:val="00E30556"/>
    <w:rsid w:val="00E307E4"/>
    <w:rsid w:val="00E307E8"/>
    <w:rsid w:val="00E30920"/>
    <w:rsid w:val="00E30955"/>
    <w:rsid w:val="00E309C9"/>
    <w:rsid w:val="00E30B2E"/>
    <w:rsid w:val="00E30B44"/>
    <w:rsid w:val="00E30B72"/>
    <w:rsid w:val="00E30B84"/>
    <w:rsid w:val="00E30C5F"/>
    <w:rsid w:val="00E30C7E"/>
    <w:rsid w:val="00E30C8E"/>
    <w:rsid w:val="00E30CAA"/>
    <w:rsid w:val="00E30F04"/>
    <w:rsid w:val="00E310B1"/>
    <w:rsid w:val="00E31156"/>
    <w:rsid w:val="00E31187"/>
    <w:rsid w:val="00E311C0"/>
    <w:rsid w:val="00E31244"/>
    <w:rsid w:val="00E312AE"/>
    <w:rsid w:val="00E31397"/>
    <w:rsid w:val="00E313FC"/>
    <w:rsid w:val="00E31476"/>
    <w:rsid w:val="00E31483"/>
    <w:rsid w:val="00E315F7"/>
    <w:rsid w:val="00E31815"/>
    <w:rsid w:val="00E3183C"/>
    <w:rsid w:val="00E318C9"/>
    <w:rsid w:val="00E31A36"/>
    <w:rsid w:val="00E31BF5"/>
    <w:rsid w:val="00E31C3D"/>
    <w:rsid w:val="00E31D5B"/>
    <w:rsid w:val="00E31DFF"/>
    <w:rsid w:val="00E31EA2"/>
    <w:rsid w:val="00E31EDC"/>
    <w:rsid w:val="00E32013"/>
    <w:rsid w:val="00E32225"/>
    <w:rsid w:val="00E323AD"/>
    <w:rsid w:val="00E323E1"/>
    <w:rsid w:val="00E323F8"/>
    <w:rsid w:val="00E32436"/>
    <w:rsid w:val="00E32471"/>
    <w:rsid w:val="00E32617"/>
    <w:rsid w:val="00E32799"/>
    <w:rsid w:val="00E32873"/>
    <w:rsid w:val="00E32898"/>
    <w:rsid w:val="00E32958"/>
    <w:rsid w:val="00E32A31"/>
    <w:rsid w:val="00E32A43"/>
    <w:rsid w:val="00E32C5E"/>
    <w:rsid w:val="00E32D24"/>
    <w:rsid w:val="00E32E80"/>
    <w:rsid w:val="00E32F75"/>
    <w:rsid w:val="00E32F76"/>
    <w:rsid w:val="00E32FD0"/>
    <w:rsid w:val="00E330C0"/>
    <w:rsid w:val="00E331D2"/>
    <w:rsid w:val="00E33398"/>
    <w:rsid w:val="00E33444"/>
    <w:rsid w:val="00E33460"/>
    <w:rsid w:val="00E334A7"/>
    <w:rsid w:val="00E33571"/>
    <w:rsid w:val="00E3358F"/>
    <w:rsid w:val="00E33647"/>
    <w:rsid w:val="00E33866"/>
    <w:rsid w:val="00E338BE"/>
    <w:rsid w:val="00E338CB"/>
    <w:rsid w:val="00E339AA"/>
    <w:rsid w:val="00E33A35"/>
    <w:rsid w:val="00E33B76"/>
    <w:rsid w:val="00E33BC5"/>
    <w:rsid w:val="00E33C38"/>
    <w:rsid w:val="00E33CBF"/>
    <w:rsid w:val="00E33D75"/>
    <w:rsid w:val="00E33DD3"/>
    <w:rsid w:val="00E33DF2"/>
    <w:rsid w:val="00E33E0B"/>
    <w:rsid w:val="00E33E37"/>
    <w:rsid w:val="00E33E60"/>
    <w:rsid w:val="00E33E88"/>
    <w:rsid w:val="00E33EDF"/>
    <w:rsid w:val="00E33F19"/>
    <w:rsid w:val="00E33FB9"/>
    <w:rsid w:val="00E34037"/>
    <w:rsid w:val="00E3404F"/>
    <w:rsid w:val="00E34079"/>
    <w:rsid w:val="00E34165"/>
    <w:rsid w:val="00E343E7"/>
    <w:rsid w:val="00E3453A"/>
    <w:rsid w:val="00E345A4"/>
    <w:rsid w:val="00E346C3"/>
    <w:rsid w:val="00E34764"/>
    <w:rsid w:val="00E34795"/>
    <w:rsid w:val="00E34885"/>
    <w:rsid w:val="00E34A23"/>
    <w:rsid w:val="00E34AC3"/>
    <w:rsid w:val="00E34B20"/>
    <w:rsid w:val="00E34BA2"/>
    <w:rsid w:val="00E34D0D"/>
    <w:rsid w:val="00E34DCC"/>
    <w:rsid w:val="00E34EB9"/>
    <w:rsid w:val="00E34EE3"/>
    <w:rsid w:val="00E34F2A"/>
    <w:rsid w:val="00E35045"/>
    <w:rsid w:val="00E350FD"/>
    <w:rsid w:val="00E351BD"/>
    <w:rsid w:val="00E3520A"/>
    <w:rsid w:val="00E3520F"/>
    <w:rsid w:val="00E352E9"/>
    <w:rsid w:val="00E352F4"/>
    <w:rsid w:val="00E354E2"/>
    <w:rsid w:val="00E35540"/>
    <w:rsid w:val="00E35566"/>
    <w:rsid w:val="00E355E3"/>
    <w:rsid w:val="00E35866"/>
    <w:rsid w:val="00E3587E"/>
    <w:rsid w:val="00E35948"/>
    <w:rsid w:val="00E35968"/>
    <w:rsid w:val="00E35A8E"/>
    <w:rsid w:val="00E35B03"/>
    <w:rsid w:val="00E35B19"/>
    <w:rsid w:val="00E35BDF"/>
    <w:rsid w:val="00E35CDF"/>
    <w:rsid w:val="00E35D04"/>
    <w:rsid w:val="00E35D59"/>
    <w:rsid w:val="00E35DE8"/>
    <w:rsid w:val="00E35E49"/>
    <w:rsid w:val="00E35EDE"/>
    <w:rsid w:val="00E35F5F"/>
    <w:rsid w:val="00E36052"/>
    <w:rsid w:val="00E3627A"/>
    <w:rsid w:val="00E36302"/>
    <w:rsid w:val="00E363FF"/>
    <w:rsid w:val="00E364E5"/>
    <w:rsid w:val="00E36591"/>
    <w:rsid w:val="00E3665B"/>
    <w:rsid w:val="00E366F3"/>
    <w:rsid w:val="00E36709"/>
    <w:rsid w:val="00E367F1"/>
    <w:rsid w:val="00E3692C"/>
    <w:rsid w:val="00E36A7F"/>
    <w:rsid w:val="00E36B7D"/>
    <w:rsid w:val="00E36C2E"/>
    <w:rsid w:val="00E36C44"/>
    <w:rsid w:val="00E36D41"/>
    <w:rsid w:val="00E36F4F"/>
    <w:rsid w:val="00E37016"/>
    <w:rsid w:val="00E370DF"/>
    <w:rsid w:val="00E372B2"/>
    <w:rsid w:val="00E37352"/>
    <w:rsid w:val="00E37385"/>
    <w:rsid w:val="00E37488"/>
    <w:rsid w:val="00E3748B"/>
    <w:rsid w:val="00E3749B"/>
    <w:rsid w:val="00E374C6"/>
    <w:rsid w:val="00E3753B"/>
    <w:rsid w:val="00E3763A"/>
    <w:rsid w:val="00E37885"/>
    <w:rsid w:val="00E378C7"/>
    <w:rsid w:val="00E378D0"/>
    <w:rsid w:val="00E379DB"/>
    <w:rsid w:val="00E37B97"/>
    <w:rsid w:val="00E37BAB"/>
    <w:rsid w:val="00E37DF9"/>
    <w:rsid w:val="00E37EC5"/>
    <w:rsid w:val="00E37EFF"/>
    <w:rsid w:val="00E37F5D"/>
    <w:rsid w:val="00E37FEC"/>
    <w:rsid w:val="00E3F6BF"/>
    <w:rsid w:val="00E4000C"/>
    <w:rsid w:val="00E4005B"/>
    <w:rsid w:val="00E401A1"/>
    <w:rsid w:val="00E402D7"/>
    <w:rsid w:val="00E4049C"/>
    <w:rsid w:val="00E405B7"/>
    <w:rsid w:val="00E40618"/>
    <w:rsid w:val="00E4074F"/>
    <w:rsid w:val="00E4091D"/>
    <w:rsid w:val="00E40A88"/>
    <w:rsid w:val="00E40ACF"/>
    <w:rsid w:val="00E40B60"/>
    <w:rsid w:val="00E40BBA"/>
    <w:rsid w:val="00E40C4D"/>
    <w:rsid w:val="00E40CA7"/>
    <w:rsid w:val="00E40DCF"/>
    <w:rsid w:val="00E40F4D"/>
    <w:rsid w:val="00E41011"/>
    <w:rsid w:val="00E41013"/>
    <w:rsid w:val="00E41019"/>
    <w:rsid w:val="00E41191"/>
    <w:rsid w:val="00E411A4"/>
    <w:rsid w:val="00E411DF"/>
    <w:rsid w:val="00E41299"/>
    <w:rsid w:val="00E4149F"/>
    <w:rsid w:val="00E41525"/>
    <w:rsid w:val="00E4156A"/>
    <w:rsid w:val="00E41615"/>
    <w:rsid w:val="00E417C6"/>
    <w:rsid w:val="00E417C7"/>
    <w:rsid w:val="00E417D0"/>
    <w:rsid w:val="00E418A6"/>
    <w:rsid w:val="00E418C4"/>
    <w:rsid w:val="00E41989"/>
    <w:rsid w:val="00E41A7E"/>
    <w:rsid w:val="00E41A8A"/>
    <w:rsid w:val="00E41BC9"/>
    <w:rsid w:val="00E41CB9"/>
    <w:rsid w:val="00E41E58"/>
    <w:rsid w:val="00E41E6B"/>
    <w:rsid w:val="00E41EC6"/>
    <w:rsid w:val="00E41EEE"/>
    <w:rsid w:val="00E41EFF"/>
    <w:rsid w:val="00E42151"/>
    <w:rsid w:val="00E421A6"/>
    <w:rsid w:val="00E421DA"/>
    <w:rsid w:val="00E423F8"/>
    <w:rsid w:val="00E4263C"/>
    <w:rsid w:val="00E426F3"/>
    <w:rsid w:val="00E4275E"/>
    <w:rsid w:val="00E427D4"/>
    <w:rsid w:val="00E4295B"/>
    <w:rsid w:val="00E42B37"/>
    <w:rsid w:val="00E42C97"/>
    <w:rsid w:val="00E42F14"/>
    <w:rsid w:val="00E42F1C"/>
    <w:rsid w:val="00E431BF"/>
    <w:rsid w:val="00E4328B"/>
    <w:rsid w:val="00E432E0"/>
    <w:rsid w:val="00E43305"/>
    <w:rsid w:val="00E43329"/>
    <w:rsid w:val="00E4337C"/>
    <w:rsid w:val="00E433B0"/>
    <w:rsid w:val="00E43406"/>
    <w:rsid w:val="00E43451"/>
    <w:rsid w:val="00E434D6"/>
    <w:rsid w:val="00E436EA"/>
    <w:rsid w:val="00E43756"/>
    <w:rsid w:val="00E437CA"/>
    <w:rsid w:val="00E43A66"/>
    <w:rsid w:val="00E43C3A"/>
    <w:rsid w:val="00E43DA6"/>
    <w:rsid w:val="00E43F59"/>
    <w:rsid w:val="00E43FF4"/>
    <w:rsid w:val="00E44051"/>
    <w:rsid w:val="00E44096"/>
    <w:rsid w:val="00E44138"/>
    <w:rsid w:val="00E44359"/>
    <w:rsid w:val="00E44384"/>
    <w:rsid w:val="00E4467A"/>
    <w:rsid w:val="00E446A5"/>
    <w:rsid w:val="00E44800"/>
    <w:rsid w:val="00E44881"/>
    <w:rsid w:val="00E448E9"/>
    <w:rsid w:val="00E44C0F"/>
    <w:rsid w:val="00E44C27"/>
    <w:rsid w:val="00E44C4C"/>
    <w:rsid w:val="00E44E25"/>
    <w:rsid w:val="00E44E5F"/>
    <w:rsid w:val="00E44EDF"/>
    <w:rsid w:val="00E44F19"/>
    <w:rsid w:val="00E44FEF"/>
    <w:rsid w:val="00E45014"/>
    <w:rsid w:val="00E450B6"/>
    <w:rsid w:val="00E450F0"/>
    <w:rsid w:val="00E451C2"/>
    <w:rsid w:val="00E45210"/>
    <w:rsid w:val="00E452D0"/>
    <w:rsid w:val="00E45507"/>
    <w:rsid w:val="00E45750"/>
    <w:rsid w:val="00E45804"/>
    <w:rsid w:val="00E4588B"/>
    <w:rsid w:val="00E4589A"/>
    <w:rsid w:val="00E458C5"/>
    <w:rsid w:val="00E45A26"/>
    <w:rsid w:val="00E45A40"/>
    <w:rsid w:val="00E45AF0"/>
    <w:rsid w:val="00E45C46"/>
    <w:rsid w:val="00E45F1C"/>
    <w:rsid w:val="00E460C1"/>
    <w:rsid w:val="00E46251"/>
    <w:rsid w:val="00E46285"/>
    <w:rsid w:val="00E463BF"/>
    <w:rsid w:val="00E46415"/>
    <w:rsid w:val="00E464B5"/>
    <w:rsid w:val="00E464C5"/>
    <w:rsid w:val="00E464CB"/>
    <w:rsid w:val="00E46538"/>
    <w:rsid w:val="00E46671"/>
    <w:rsid w:val="00E46691"/>
    <w:rsid w:val="00E46703"/>
    <w:rsid w:val="00E46848"/>
    <w:rsid w:val="00E468A4"/>
    <w:rsid w:val="00E468E6"/>
    <w:rsid w:val="00E46A4F"/>
    <w:rsid w:val="00E46A55"/>
    <w:rsid w:val="00E46ABE"/>
    <w:rsid w:val="00E46B47"/>
    <w:rsid w:val="00E46B7C"/>
    <w:rsid w:val="00E46D53"/>
    <w:rsid w:val="00E46DD2"/>
    <w:rsid w:val="00E46E60"/>
    <w:rsid w:val="00E46EDB"/>
    <w:rsid w:val="00E46F27"/>
    <w:rsid w:val="00E46F91"/>
    <w:rsid w:val="00E4700B"/>
    <w:rsid w:val="00E47038"/>
    <w:rsid w:val="00E47083"/>
    <w:rsid w:val="00E470FD"/>
    <w:rsid w:val="00E4733B"/>
    <w:rsid w:val="00E47432"/>
    <w:rsid w:val="00E474E5"/>
    <w:rsid w:val="00E47739"/>
    <w:rsid w:val="00E4774B"/>
    <w:rsid w:val="00E478B2"/>
    <w:rsid w:val="00E4798D"/>
    <w:rsid w:val="00E47AAC"/>
    <w:rsid w:val="00E47B36"/>
    <w:rsid w:val="00E47B7E"/>
    <w:rsid w:val="00E47BF6"/>
    <w:rsid w:val="00E47D0C"/>
    <w:rsid w:val="00E47D14"/>
    <w:rsid w:val="00E47D93"/>
    <w:rsid w:val="00E47F0C"/>
    <w:rsid w:val="00E47FC3"/>
    <w:rsid w:val="00E5001A"/>
    <w:rsid w:val="00E5003F"/>
    <w:rsid w:val="00E500BC"/>
    <w:rsid w:val="00E501D4"/>
    <w:rsid w:val="00E501E8"/>
    <w:rsid w:val="00E50373"/>
    <w:rsid w:val="00E50429"/>
    <w:rsid w:val="00E5046C"/>
    <w:rsid w:val="00E504F7"/>
    <w:rsid w:val="00E50681"/>
    <w:rsid w:val="00E50715"/>
    <w:rsid w:val="00E507B7"/>
    <w:rsid w:val="00E50898"/>
    <w:rsid w:val="00E508A3"/>
    <w:rsid w:val="00E50A15"/>
    <w:rsid w:val="00E50AB7"/>
    <w:rsid w:val="00E50AC1"/>
    <w:rsid w:val="00E50AC8"/>
    <w:rsid w:val="00E50B6C"/>
    <w:rsid w:val="00E50BB8"/>
    <w:rsid w:val="00E50C45"/>
    <w:rsid w:val="00E50C50"/>
    <w:rsid w:val="00E50D2B"/>
    <w:rsid w:val="00E50DA7"/>
    <w:rsid w:val="00E510BD"/>
    <w:rsid w:val="00E511AC"/>
    <w:rsid w:val="00E51386"/>
    <w:rsid w:val="00E513D3"/>
    <w:rsid w:val="00E513E2"/>
    <w:rsid w:val="00E513E9"/>
    <w:rsid w:val="00E513EA"/>
    <w:rsid w:val="00E51424"/>
    <w:rsid w:val="00E51494"/>
    <w:rsid w:val="00E5158E"/>
    <w:rsid w:val="00E515D7"/>
    <w:rsid w:val="00E51616"/>
    <w:rsid w:val="00E5162F"/>
    <w:rsid w:val="00E51968"/>
    <w:rsid w:val="00E5198F"/>
    <w:rsid w:val="00E51ACA"/>
    <w:rsid w:val="00E51B53"/>
    <w:rsid w:val="00E51BD1"/>
    <w:rsid w:val="00E51C95"/>
    <w:rsid w:val="00E51CB9"/>
    <w:rsid w:val="00E51D5F"/>
    <w:rsid w:val="00E51EE9"/>
    <w:rsid w:val="00E51F13"/>
    <w:rsid w:val="00E51F2E"/>
    <w:rsid w:val="00E5202E"/>
    <w:rsid w:val="00E52034"/>
    <w:rsid w:val="00E52184"/>
    <w:rsid w:val="00E523F8"/>
    <w:rsid w:val="00E52510"/>
    <w:rsid w:val="00E5252C"/>
    <w:rsid w:val="00E52530"/>
    <w:rsid w:val="00E52642"/>
    <w:rsid w:val="00E527E4"/>
    <w:rsid w:val="00E52843"/>
    <w:rsid w:val="00E52875"/>
    <w:rsid w:val="00E52996"/>
    <w:rsid w:val="00E52A9C"/>
    <w:rsid w:val="00E52AB1"/>
    <w:rsid w:val="00E52ADE"/>
    <w:rsid w:val="00E52C25"/>
    <w:rsid w:val="00E52C50"/>
    <w:rsid w:val="00E52C6D"/>
    <w:rsid w:val="00E52CCE"/>
    <w:rsid w:val="00E530F0"/>
    <w:rsid w:val="00E530F9"/>
    <w:rsid w:val="00E53110"/>
    <w:rsid w:val="00E53124"/>
    <w:rsid w:val="00E5336F"/>
    <w:rsid w:val="00E533C2"/>
    <w:rsid w:val="00E534F1"/>
    <w:rsid w:val="00E53647"/>
    <w:rsid w:val="00E5368B"/>
    <w:rsid w:val="00E536D2"/>
    <w:rsid w:val="00E53715"/>
    <w:rsid w:val="00E53763"/>
    <w:rsid w:val="00E538E8"/>
    <w:rsid w:val="00E5390B"/>
    <w:rsid w:val="00E53A8F"/>
    <w:rsid w:val="00E53C5F"/>
    <w:rsid w:val="00E53CB3"/>
    <w:rsid w:val="00E53CE2"/>
    <w:rsid w:val="00E53E0E"/>
    <w:rsid w:val="00E53E7B"/>
    <w:rsid w:val="00E53F06"/>
    <w:rsid w:val="00E54077"/>
    <w:rsid w:val="00E5429C"/>
    <w:rsid w:val="00E542EB"/>
    <w:rsid w:val="00E54383"/>
    <w:rsid w:val="00E5444F"/>
    <w:rsid w:val="00E5449F"/>
    <w:rsid w:val="00E544F5"/>
    <w:rsid w:val="00E54522"/>
    <w:rsid w:val="00E547E9"/>
    <w:rsid w:val="00E548CD"/>
    <w:rsid w:val="00E549F0"/>
    <w:rsid w:val="00E54A28"/>
    <w:rsid w:val="00E54A7D"/>
    <w:rsid w:val="00E54A9D"/>
    <w:rsid w:val="00E54B35"/>
    <w:rsid w:val="00E54C8B"/>
    <w:rsid w:val="00E54CA2"/>
    <w:rsid w:val="00E54CD6"/>
    <w:rsid w:val="00E54D33"/>
    <w:rsid w:val="00E54D8D"/>
    <w:rsid w:val="00E54DCB"/>
    <w:rsid w:val="00E54E48"/>
    <w:rsid w:val="00E54EC8"/>
    <w:rsid w:val="00E5501E"/>
    <w:rsid w:val="00E550CC"/>
    <w:rsid w:val="00E5510E"/>
    <w:rsid w:val="00E55197"/>
    <w:rsid w:val="00E551D6"/>
    <w:rsid w:val="00E55729"/>
    <w:rsid w:val="00E557BC"/>
    <w:rsid w:val="00E558B9"/>
    <w:rsid w:val="00E55925"/>
    <w:rsid w:val="00E5599F"/>
    <w:rsid w:val="00E55A0F"/>
    <w:rsid w:val="00E55B81"/>
    <w:rsid w:val="00E55DF7"/>
    <w:rsid w:val="00E55E21"/>
    <w:rsid w:val="00E55F18"/>
    <w:rsid w:val="00E55F2E"/>
    <w:rsid w:val="00E55F8C"/>
    <w:rsid w:val="00E56049"/>
    <w:rsid w:val="00E56058"/>
    <w:rsid w:val="00E56190"/>
    <w:rsid w:val="00E563BD"/>
    <w:rsid w:val="00E564E5"/>
    <w:rsid w:val="00E565F6"/>
    <w:rsid w:val="00E5664D"/>
    <w:rsid w:val="00E56769"/>
    <w:rsid w:val="00E56859"/>
    <w:rsid w:val="00E56942"/>
    <w:rsid w:val="00E56960"/>
    <w:rsid w:val="00E56A7A"/>
    <w:rsid w:val="00E56B33"/>
    <w:rsid w:val="00E56C07"/>
    <w:rsid w:val="00E56E99"/>
    <w:rsid w:val="00E56EE8"/>
    <w:rsid w:val="00E56FA6"/>
    <w:rsid w:val="00E57029"/>
    <w:rsid w:val="00E570D4"/>
    <w:rsid w:val="00E57126"/>
    <w:rsid w:val="00E5723F"/>
    <w:rsid w:val="00E573DF"/>
    <w:rsid w:val="00E573E9"/>
    <w:rsid w:val="00E57483"/>
    <w:rsid w:val="00E57611"/>
    <w:rsid w:val="00E5764D"/>
    <w:rsid w:val="00E578A4"/>
    <w:rsid w:val="00E578C5"/>
    <w:rsid w:val="00E57981"/>
    <w:rsid w:val="00E57A2F"/>
    <w:rsid w:val="00E57A88"/>
    <w:rsid w:val="00E57B11"/>
    <w:rsid w:val="00E57B1E"/>
    <w:rsid w:val="00E57BBB"/>
    <w:rsid w:val="00E57CC0"/>
    <w:rsid w:val="00E57E71"/>
    <w:rsid w:val="00E57F56"/>
    <w:rsid w:val="00E57F66"/>
    <w:rsid w:val="00E57F67"/>
    <w:rsid w:val="00E60024"/>
    <w:rsid w:val="00E6003D"/>
    <w:rsid w:val="00E6007B"/>
    <w:rsid w:val="00E60137"/>
    <w:rsid w:val="00E6027A"/>
    <w:rsid w:val="00E6030F"/>
    <w:rsid w:val="00E60310"/>
    <w:rsid w:val="00E6040F"/>
    <w:rsid w:val="00E60530"/>
    <w:rsid w:val="00E605E6"/>
    <w:rsid w:val="00E6062F"/>
    <w:rsid w:val="00E60706"/>
    <w:rsid w:val="00E60773"/>
    <w:rsid w:val="00E60860"/>
    <w:rsid w:val="00E60984"/>
    <w:rsid w:val="00E60A4F"/>
    <w:rsid w:val="00E60AE4"/>
    <w:rsid w:val="00E60BBB"/>
    <w:rsid w:val="00E60C8F"/>
    <w:rsid w:val="00E60D5D"/>
    <w:rsid w:val="00E60D66"/>
    <w:rsid w:val="00E60FC5"/>
    <w:rsid w:val="00E6106A"/>
    <w:rsid w:val="00E610B5"/>
    <w:rsid w:val="00E611E2"/>
    <w:rsid w:val="00E612B0"/>
    <w:rsid w:val="00E61389"/>
    <w:rsid w:val="00E61398"/>
    <w:rsid w:val="00E613FD"/>
    <w:rsid w:val="00E61417"/>
    <w:rsid w:val="00E61495"/>
    <w:rsid w:val="00E614C4"/>
    <w:rsid w:val="00E615D7"/>
    <w:rsid w:val="00E615DB"/>
    <w:rsid w:val="00E61621"/>
    <w:rsid w:val="00E61885"/>
    <w:rsid w:val="00E6193F"/>
    <w:rsid w:val="00E6194C"/>
    <w:rsid w:val="00E619FB"/>
    <w:rsid w:val="00E61A20"/>
    <w:rsid w:val="00E61A34"/>
    <w:rsid w:val="00E61B9C"/>
    <w:rsid w:val="00E61BAF"/>
    <w:rsid w:val="00E61C12"/>
    <w:rsid w:val="00E61C8D"/>
    <w:rsid w:val="00E61CA6"/>
    <w:rsid w:val="00E61CDC"/>
    <w:rsid w:val="00E61DE0"/>
    <w:rsid w:val="00E61E59"/>
    <w:rsid w:val="00E61EDC"/>
    <w:rsid w:val="00E62040"/>
    <w:rsid w:val="00E62061"/>
    <w:rsid w:val="00E620CB"/>
    <w:rsid w:val="00E620D2"/>
    <w:rsid w:val="00E620ED"/>
    <w:rsid w:val="00E621EB"/>
    <w:rsid w:val="00E62234"/>
    <w:rsid w:val="00E6232E"/>
    <w:rsid w:val="00E62459"/>
    <w:rsid w:val="00E62496"/>
    <w:rsid w:val="00E624E2"/>
    <w:rsid w:val="00E624F3"/>
    <w:rsid w:val="00E6251B"/>
    <w:rsid w:val="00E6255E"/>
    <w:rsid w:val="00E625E6"/>
    <w:rsid w:val="00E62604"/>
    <w:rsid w:val="00E6271F"/>
    <w:rsid w:val="00E628EC"/>
    <w:rsid w:val="00E629B4"/>
    <w:rsid w:val="00E629E2"/>
    <w:rsid w:val="00E62AF9"/>
    <w:rsid w:val="00E62B9D"/>
    <w:rsid w:val="00E62C96"/>
    <w:rsid w:val="00E62CE8"/>
    <w:rsid w:val="00E62DD5"/>
    <w:rsid w:val="00E62EBD"/>
    <w:rsid w:val="00E62EC7"/>
    <w:rsid w:val="00E6305B"/>
    <w:rsid w:val="00E63124"/>
    <w:rsid w:val="00E63161"/>
    <w:rsid w:val="00E63255"/>
    <w:rsid w:val="00E635E1"/>
    <w:rsid w:val="00E63720"/>
    <w:rsid w:val="00E6372B"/>
    <w:rsid w:val="00E6375D"/>
    <w:rsid w:val="00E637E0"/>
    <w:rsid w:val="00E6382A"/>
    <w:rsid w:val="00E63872"/>
    <w:rsid w:val="00E63899"/>
    <w:rsid w:val="00E6397C"/>
    <w:rsid w:val="00E63A65"/>
    <w:rsid w:val="00E63B60"/>
    <w:rsid w:val="00E63C8C"/>
    <w:rsid w:val="00E63D92"/>
    <w:rsid w:val="00E63D96"/>
    <w:rsid w:val="00E63E11"/>
    <w:rsid w:val="00E63EAD"/>
    <w:rsid w:val="00E63F10"/>
    <w:rsid w:val="00E63F29"/>
    <w:rsid w:val="00E64136"/>
    <w:rsid w:val="00E642DB"/>
    <w:rsid w:val="00E64302"/>
    <w:rsid w:val="00E6432A"/>
    <w:rsid w:val="00E64355"/>
    <w:rsid w:val="00E644E4"/>
    <w:rsid w:val="00E6462F"/>
    <w:rsid w:val="00E646CB"/>
    <w:rsid w:val="00E647A7"/>
    <w:rsid w:val="00E647F5"/>
    <w:rsid w:val="00E64842"/>
    <w:rsid w:val="00E64857"/>
    <w:rsid w:val="00E6486E"/>
    <w:rsid w:val="00E648E1"/>
    <w:rsid w:val="00E64CA8"/>
    <w:rsid w:val="00E64D12"/>
    <w:rsid w:val="00E64D78"/>
    <w:rsid w:val="00E64E48"/>
    <w:rsid w:val="00E64EA4"/>
    <w:rsid w:val="00E64F40"/>
    <w:rsid w:val="00E64F43"/>
    <w:rsid w:val="00E64F48"/>
    <w:rsid w:val="00E65074"/>
    <w:rsid w:val="00E6535B"/>
    <w:rsid w:val="00E65384"/>
    <w:rsid w:val="00E6541D"/>
    <w:rsid w:val="00E65423"/>
    <w:rsid w:val="00E654D8"/>
    <w:rsid w:val="00E654E6"/>
    <w:rsid w:val="00E65567"/>
    <w:rsid w:val="00E6569C"/>
    <w:rsid w:val="00E656C5"/>
    <w:rsid w:val="00E656EE"/>
    <w:rsid w:val="00E6579C"/>
    <w:rsid w:val="00E6585F"/>
    <w:rsid w:val="00E65894"/>
    <w:rsid w:val="00E65918"/>
    <w:rsid w:val="00E65A85"/>
    <w:rsid w:val="00E65B26"/>
    <w:rsid w:val="00E65B91"/>
    <w:rsid w:val="00E65C6C"/>
    <w:rsid w:val="00E65C94"/>
    <w:rsid w:val="00E65DE6"/>
    <w:rsid w:val="00E65E17"/>
    <w:rsid w:val="00E65E51"/>
    <w:rsid w:val="00E65E64"/>
    <w:rsid w:val="00E65F8D"/>
    <w:rsid w:val="00E66195"/>
    <w:rsid w:val="00E6621D"/>
    <w:rsid w:val="00E66222"/>
    <w:rsid w:val="00E6634A"/>
    <w:rsid w:val="00E664B6"/>
    <w:rsid w:val="00E666B5"/>
    <w:rsid w:val="00E666C0"/>
    <w:rsid w:val="00E6672D"/>
    <w:rsid w:val="00E667AB"/>
    <w:rsid w:val="00E6684B"/>
    <w:rsid w:val="00E668A5"/>
    <w:rsid w:val="00E668DE"/>
    <w:rsid w:val="00E6691D"/>
    <w:rsid w:val="00E66A62"/>
    <w:rsid w:val="00E66BDC"/>
    <w:rsid w:val="00E66BE3"/>
    <w:rsid w:val="00E66D28"/>
    <w:rsid w:val="00E66D81"/>
    <w:rsid w:val="00E66EB6"/>
    <w:rsid w:val="00E66EE3"/>
    <w:rsid w:val="00E66FDD"/>
    <w:rsid w:val="00E670AF"/>
    <w:rsid w:val="00E671A8"/>
    <w:rsid w:val="00E67272"/>
    <w:rsid w:val="00E672CF"/>
    <w:rsid w:val="00E672F0"/>
    <w:rsid w:val="00E67386"/>
    <w:rsid w:val="00E673B9"/>
    <w:rsid w:val="00E67413"/>
    <w:rsid w:val="00E67414"/>
    <w:rsid w:val="00E674A7"/>
    <w:rsid w:val="00E6757F"/>
    <w:rsid w:val="00E6763A"/>
    <w:rsid w:val="00E67643"/>
    <w:rsid w:val="00E67754"/>
    <w:rsid w:val="00E677F4"/>
    <w:rsid w:val="00E6783E"/>
    <w:rsid w:val="00E6788C"/>
    <w:rsid w:val="00E67C6B"/>
    <w:rsid w:val="00E67CEF"/>
    <w:rsid w:val="00E67DB4"/>
    <w:rsid w:val="00E67E44"/>
    <w:rsid w:val="00E67FE8"/>
    <w:rsid w:val="00E70023"/>
    <w:rsid w:val="00E70300"/>
    <w:rsid w:val="00E7038F"/>
    <w:rsid w:val="00E703D6"/>
    <w:rsid w:val="00E7043B"/>
    <w:rsid w:val="00E70668"/>
    <w:rsid w:val="00E70784"/>
    <w:rsid w:val="00E70AA7"/>
    <w:rsid w:val="00E70AD6"/>
    <w:rsid w:val="00E70B2A"/>
    <w:rsid w:val="00E70B79"/>
    <w:rsid w:val="00E70CC7"/>
    <w:rsid w:val="00E70CDE"/>
    <w:rsid w:val="00E70D0E"/>
    <w:rsid w:val="00E70D3F"/>
    <w:rsid w:val="00E70D8A"/>
    <w:rsid w:val="00E70DC7"/>
    <w:rsid w:val="00E70DD6"/>
    <w:rsid w:val="00E70EA4"/>
    <w:rsid w:val="00E70EAF"/>
    <w:rsid w:val="00E70FCE"/>
    <w:rsid w:val="00E7100B"/>
    <w:rsid w:val="00E71027"/>
    <w:rsid w:val="00E71142"/>
    <w:rsid w:val="00E71285"/>
    <w:rsid w:val="00E712D3"/>
    <w:rsid w:val="00E712FC"/>
    <w:rsid w:val="00E7144C"/>
    <w:rsid w:val="00E71552"/>
    <w:rsid w:val="00E716CE"/>
    <w:rsid w:val="00E7171D"/>
    <w:rsid w:val="00E717AA"/>
    <w:rsid w:val="00E717B7"/>
    <w:rsid w:val="00E71867"/>
    <w:rsid w:val="00E718F0"/>
    <w:rsid w:val="00E7196E"/>
    <w:rsid w:val="00E7197D"/>
    <w:rsid w:val="00E71A08"/>
    <w:rsid w:val="00E71B65"/>
    <w:rsid w:val="00E71BFA"/>
    <w:rsid w:val="00E71D6F"/>
    <w:rsid w:val="00E71DBA"/>
    <w:rsid w:val="00E71E80"/>
    <w:rsid w:val="00E71F69"/>
    <w:rsid w:val="00E72004"/>
    <w:rsid w:val="00E720DF"/>
    <w:rsid w:val="00E721C0"/>
    <w:rsid w:val="00E7223C"/>
    <w:rsid w:val="00E7228E"/>
    <w:rsid w:val="00E722FB"/>
    <w:rsid w:val="00E7230A"/>
    <w:rsid w:val="00E72330"/>
    <w:rsid w:val="00E72342"/>
    <w:rsid w:val="00E72453"/>
    <w:rsid w:val="00E724D4"/>
    <w:rsid w:val="00E7262F"/>
    <w:rsid w:val="00E72776"/>
    <w:rsid w:val="00E727D0"/>
    <w:rsid w:val="00E727DB"/>
    <w:rsid w:val="00E727EE"/>
    <w:rsid w:val="00E72844"/>
    <w:rsid w:val="00E729FB"/>
    <w:rsid w:val="00E72A0A"/>
    <w:rsid w:val="00E72A85"/>
    <w:rsid w:val="00E72BBD"/>
    <w:rsid w:val="00E72D74"/>
    <w:rsid w:val="00E72DD3"/>
    <w:rsid w:val="00E72E0A"/>
    <w:rsid w:val="00E72E71"/>
    <w:rsid w:val="00E72E8E"/>
    <w:rsid w:val="00E72EC5"/>
    <w:rsid w:val="00E73113"/>
    <w:rsid w:val="00E73134"/>
    <w:rsid w:val="00E731CA"/>
    <w:rsid w:val="00E73302"/>
    <w:rsid w:val="00E73466"/>
    <w:rsid w:val="00E734BB"/>
    <w:rsid w:val="00E73500"/>
    <w:rsid w:val="00E7357D"/>
    <w:rsid w:val="00E735F8"/>
    <w:rsid w:val="00E736FA"/>
    <w:rsid w:val="00E7380D"/>
    <w:rsid w:val="00E73964"/>
    <w:rsid w:val="00E739BC"/>
    <w:rsid w:val="00E73B1F"/>
    <w:rsid w:val="00E73B54"/>
    <w:rsid w:val="00E73C6B"/>
    <w:rsid w:val="00E73C88"/>
    <w:rsid w:val="00E73CBB"/>
    <w:rsid w:val="00E73D03"/>
    <w:rsid w:val="00E73D32"/>
    <w:rsid w:val="00E73D7E"/>
    <w:rsid w:val="00E73E0A"/>
    <w:rsid w:val="00E73E41"/>
    <w:rsid w:val="00E73E48"/>
    <w:rsid w:val="00E73EA2"/>
    <w:rsid w:val="00E73ECF"/>
    <w:rsid w:val="00E73F9E"/>
    <w:rsid w:val="00E7402A"/>
    <w:rsid w:val="00E7406E"/>
    <w:rsid w:val="00E74097"/>
    <w:rsid w:val="00E74112"/>
    <w:rsid w:val="00E74120"/>
    <w:rsid w:val="00E74139"/>
    <w:rsid w:val="00E7416C"/>
    <w:rsid w:val="00E7417F"/>
    <w:rsid w:val="00E742B8"/>
    <w:rsid w:val="00E74460"/>
    <w:rsid w:val="00E74691"/>
    <w:rsid w:val="00E746CB"/>
    <w:rsid w:val="00E74792"/>
    <w:rsid w:val="00E748D6"/>
    <w:rsid w:val="00E74912"/>
    <w:rsid w:val="00E749C9"/>
    <w:rsid w:val="00E74A7A"/>
    <w:rsid w:val="00E74AC7"/>
    <w:rsid w:val="00E74AD5"/>
    <w:rsid w:val="00E74AED"/>
    <w:rsid w:val="00E74B3C"/>
    <w:rsid w:val="00E74BA2"/>
    <w:rsid w:val="00E74C37"/>
    <w:rsid w:val="00E74DE0"/>
    <w:rsid w:val="00E74F2C"/>
    <w:rsid w:val="00E74FC3"/>
    <w:rsid w:val="00E74FDB"/>
    <w:rsid w:val="00E74FF0"/>
    <w:rsid w:val="00E75032"/>
    <w:rsid w:val="00E75055"/>
    <w:rsid w:val="00E75076"/>
    <w:rsid w:val="00E750C9"/>
    <w:rsid w:val="00E752CF"/>
    <w:rsid w:val="00E7553E"/>
    <w:rsid w:val="00E75543"/>
    <w:rsid w:val="00E7555B"/>
    <w:rsid w:val="00E755C8"/>
    <w:rsid w:val="00E7560F"/>
    <w:rsid w:val="00E75691"/>
    <w:rsid w:val="00E756FE"/>
    <w:rsid w:val="00E7574A"/>
    <w:rsid w:val="00E757B6"/>
    <w:rsid w:val="00E7582B"/>
    <w:rsid w:val="00E759B4"/>
    <w:rsid w:val="00E75A5B"/>
    <w:rsid w:val="00E75A6A"/>
    <w:rsid w:val="00E75A78"/>
    <w:rsid w:val="00E75B43"/>
    <w:rsid w:val="00E75BB2"/>
    <w:rsid w:val="00E75C41"/>
    <w:rsid w:val="00E75C81"/>
    <w:rsid w:val="00E75DA8"/>
    <w:rsid w:val="00E75E30"/>
    <w:rsid w:val="00E75EE6"/>
    <w:rsid w:val="00E75F9D"/>
    <w:rsid w:val="00E7601F"/>
    <w:rsid w:val="00E76051"/>
    <w:rsid w:val="00E760B9"/>
    <w:rsid w:val="00E761C7"/>
    <w:rsid w:val="00E762E9"/>
    <w:rsid w:val="00E7639B"/>
    <w:rsid w:val="00E763FF"/>
    <w:rsid w:val="00E76435"/>
    <w:rsid w:val="00E76485"/>
    <w:rsid w:val="00E7649B"/>
    <w:rsid w:val="00E76506"/>
    <w:rsid w:val="00E7667C"/>
    <w:rsid w:val="00E766B9"/>
    <w:rsid w:val="00E766FA"/>
    <w:rsid w:val="00E7675F"/>
    <w:rsid w:val="00E76808"/>
    <w:rsid w:val="00E76993"/>
    <w:rsid w:val="00E76994"/>
    <w:rsid w:val="00E7699B"/>
    <w:rsid w:val="00E769A2"/>
    <w:rsid w:val="00E76A50"/>
    <w:rsid w:val="00E76AEB"/>
    <w:rsid w:val="00E76BC4"/>
    <w:rsid w:val="00E76C1C"/>
    <w:rsid w:val="00E76C72"/>
    <w:rsid w:val="00E76C97"/>
    <w:rsid w:val="00E76DB2"/>
    <w:rsid w:val="00E77068"/>
    <w:rsid w:val="00E770AA"/>
    <w:rsid w:val="00E770B4"/>
    <w:rsid w:val="00E7719C"/>
    <w:rsid w:val="00E771D1"/>
    <w:rsid w:val="00E7721A"/>
    <w:rsid w:val="00E77242"/>
    <w:rsid w:val="00E77380"/>
    <w:rsid w:val="00E7738D"/>
    <w:rsid w:val="00E77402"/>
    <w:rsid w:val="00E7741C"/>
    <w:rsid w:val="00E77451"/>
    <w:rsid w:val="00E77485"/>
    <w:rsid w:val="00E77536"/>
    <w:rsid w:val="00E77698"/>
    <w:rsid w:val="00E77829"/>
    <w:rsid w:val="00E77938"/>
    <w:rsid w:val="00E7794D"/>
    <w:rsid w:val="00E77CEB"/>
    <w:rsid w:val="00E77D95"/>
    <w:rsid w:val="00E77EB1"/>
    <w:rsid w:val="00E77F2C"/>
    <w:rsid w:val="00E77F57"/>
    <w:rsid w:val="00E77F6B"/>
    <w:rsid w:val="00E80160"/>
    <w:rsid w:val="00E80169"/>
    <w:rsid w:val="00E8019B"/>
    <w:rsid w:val="00E80299"/>
    <w:rsid w:val="00E8056F"/>
    <w:rsid w:val="00E8058D"/>
    <w:rsid w:val="00E806AD"/>
    <w:rsid w:val="00E80756"/>
    <w:rsid w:val="00E8076B"/>
    <w:rsid w:val="00E8094F"/>
    <w:rsid w:val="00E80AA2"/>
    <w:rsid w:val="00E80AA9"/>
    <w:rsid w:val="00E80AE2"/>
    <w:rsid w:val="00E80B36"/>
    <w:rsid w:val="00E80C62"/>
    <w:rsid w:val="00E80CE7"/>
    <w:rsid w:val="00E80D4D"/>
    <w:rsid w:val="00E80DB5"/>
    <w:rsid w:val="00E80E49"/>
    <w:rsid w:val="00E80F39"/>
    <w:rsid w:val="00E80F3E"/>
    <w:rsid w:val="00E81016"/>
    <w:rsid w:val="00E810CA"/>
    <w:rsid w:val="00E81107"/>
    <w:rsid w:val="00E81202"/>
    <w:rsid w:val="00E81220"/>
    <w:rsid w:val="00E812A8"/>
    <w:rsid w:val="00E8140B"/>
    <w:rsid w:val="00E81452"/>
    <w:rsid w:val="00E8150F"/>
    <w:rsid w:val="00E81674"/>
    <w:rsid w:val="00E8168B"/>
    <w:rsid w:val="00E8179D"/>
    <w:rsid w:val="00E81845"/>
    <w:rsid w:val="00E8185D"/>
    <w:rsid w:val="00E81940"/>
    <w:rsid w:val="00E81B1E"/>
    <w:rsid w:val="00E81B2C"/>
    <w:rsid w:val="00E81B44"/>
    <w:rsid w:val="00E81C2F"/>
    <w:rsid w:val="00E81D71"/>
    <w:rsid w:val="00E81E83"/>
    <w:rsid w:val="00E81F29"/>
    <w:rsid w:val="00E820B7"/>
    <w:rsid w:val="00E820F6"/>
    <w:rsid w:val="00E82461"/>
    <w:rsid w:val="00E824D3"/>
    <w:rsid w:val="00E8259A"/>
    <w:rsid w:val="00E825B2"/>
    <w:rsid w:val="00E82722"/>
    <w:rsid w:val="00E82851"/>
    <w:rsid w:val="00E82962"/>
    <w:rsid w:val="00E82971"/>
    <w:rsid w:val="00E82AC6"/>
    <w:rsid w:val="00E82B33"/>
    <w:rsid w:val="00E82BA0"/>
    <w:rsid w:val="00E82D37"/>
    <w:rsid w:val="00E82EF8"/>
    <w:rsid w:val="00E82EFE"/>
    <w:rsid w:val="00E82F00"/>
    <w:rsid w:val="00E82F1B"/>
    <w:rsid w:val="00E8301C"/>
    <w:rsid w:val="00E830FA"/>
    <w:rsid w:val="00E83134"/>
    <w:rsid w:val="00E83177"/>
    <w:rsid w:val="00E83216"/>
    <w:rsid w:val="00E83237"/>
    <w:rsid w:val="00E83282"/>
    <w:rsid w:val="00E8328D"/>
    <w:rsid w:val="00E83301"/>
    <w:rsid w:val="00E8337E"/>
    <w:rsid w:val="00E83532"/>
    <w:rsid w:val="00E83540"/>
    <w:rsid w:val="00E835BB"/>
    <w:rsid w:val="00E837B5"/>
    <w:rsid w:val="00E83811"/>
    <w:rsid w:val="00E8385C"/>
    <w:rsid w:val="00E839B1"/>
    <w:rsid w:val="00E83BB2"/>
    <w:rsid w:val="00E83C25"/>
    <w:rsid w:val="00E83D3B"/>
    <w:rsid w:val="00E83D3F"/>
    <w:rsid w:val="00E83E29"/>
    <w:rsid w:val="00E83E5E"/>
    <w:rsid w:val="00E83EEC"/>
    <w:rsid w:val="00E83F05"/>
    <w:rsid w:val="00E83F80"/>
    <w:rsid w:val="00E8403F"/>
    <w:rsid w:val="00E84054"/>
    <w:rsid w:val="00E8408F"/>
    <w:rsid w:val="00E840C3"/>
    <w:rsid w:val="00E8418E"/>
    <w:rsid w:val="00E841C5"/>
    <w:rsid w:val="00E8425A"/>
    <w:rsid w:val="00E84293"/>
    <w:rsid w:val="00E842B3"/>
    <w:rsid w:val="00E8456F"/>
    <w:rsid w:val="00E84677"/>
    <w:rsid w:val="00E8471B"/>
    <w:rsid w:val="00E84734"/>
    <w:rsid w:val="00E8478D"/>
    <w:rsid w:val="00E847CC"/>
    <w:rsid w:val="00E8488E"/>
    <w:rsid w:val="00E848E3"/>
    <w:rsid w:val="00E848F9"/>
    <w:rsid w:val="00E84A5D"/>
    <w:rsid w:val="00E84A81"/>
    <w:rsid w:val="00E84C8E"/>
    <w:rsid w:val="00E84CA9"/>
    <w:rsid w:val="00E84E2E"/>
    <w:rsid w:val="00E84EDA"/>
    <w:rsid w:val="00E84FEF"/>
    <w:rsid w:val="00E85025"/>
    <w:rsid w:val="00E8503B"/>
    <w:rsid w:val="00E85054"/>
    <w:rsid w:val="00E8522A"/>
    <w:rsid w:val="00E85458"/>
    <w:rsid w:val="00E855CC"/>
    <w:rsid w:val="00E85601"/>
    <w:rsid w:val="00E85632"/>
    <w:rsid w:val="00E85792"/>
    <w:rsid w:val="00E857C9"/>
    <w:rsid w:val="00E85824"/>
    <w:rsid w:val="00E85A11"/>
    <w:rsid w:val="00E85ABF"/>
    <w:rsid w:val="00E85BD1"/>
    <w:rsid w:val="00E85CB1"/>
    <w:rsid w:val="00E85CCE"/>
    <w:rsid w:val="00E85F2E"/>
    <w:rsid w:val="00E85F5E"/>
    <w:rsid w:val="00E86147"/>
    <w:rsid w:val="00E861FE"/>
    <w:rsid w:val="00E86235"/>
    <w:rsid w:val="00E86345"/>
    <w:rsid w:val="00E86371"/>
    <w:rsid w:val="00E86446"/>
    <w:rsid w:val="00E86553"/>
    <w:rsid w:val="00E865E6"/>
    <w:rsid w:val="00E86752"/>
    <w:rsid w:val="00E867C9"/>
    <w:rsid w:val="00E867D5"/>
    <w:rsid w:val="00E86862"/>
    <w:rsid w:val="00E86A71"/>
    <w:rsid w:val="00E86B83"/>
    <w:rsid w:val="00E86B9B"/>
    <w:rsid w:val="00E86BFF"/>
    <w:rsid w:val="00E86C6A"/>
    <w:rsid w:val="00E86C77"/>
    <w:rsid w:val="00E86D43"/>
    <w:rsid w:val="00E86FBF"/>
    <w:rsid w:val="00E87026"/>
    <w:rsid w:val="00E87086"/>
    <w:rsid w:val="00E870E5"/>
    <w:rsid w:val="00E87168"/>
    <w:rsid w:val="00E87296"/>
    <w:rsid w:val="00E872A3"/>
    <w:rsid w:val="00E872CC"/>
    <w:rsid w:val="00E872DB"/>
    <w:rsid w:val="00E872E2"/>
    <w:rsid w:val="00E8733D"/>
    <w:rsid w:val="00E87387"/>
    <w:rsid w:val="00E873FC"/>
    <w:rsid w:val="00E87461"/>
    <w:rsid w:val="00E87539"/>
    <w:rsid w:val="00E8778F"/>
    <w:rsid w:val="00E878E4"/>
    <w:rsid w:val="00E8792E"/>
    <w:rsid w:val="00E87A35"/>
    <w:rsid w:val="00E87AA3"/>
    <w:rsid w:val="00E87B46"/>
    <w:rsid w:val="00E87CE2"/>
    <w:rsid w:val="00E87D66"/>
    <w:rsid w:val="00E87EB8"/>
    <w:rsid w:val="00E87ECC"/>
    <w:rsid w:val="00E9017F"/>
    <w:rsid w:val="00E9019E"/>
    <w:rsid w:val="00E9020C"/>
    <w:rsid w:val="00E90314"/>
    <w:rsid w:val="00E90597"/>
    <w:rsid w:val="00E90623"/>
    <w:rsid w:val="00E90992"/>
    <w:rsid w:val="00E90995"/>
    <w:rsid w:val="00E90A41"/>
    <w:rsid w:val="00E90AB7"/>
    <w:rsid w:val="00E90C61"/>
    <w:rsid w:val="00E90CE3"/>
    <w:rsid w:val="00E90ED6"/>
    <w:rsid w:val="00E90EF9"/>
    <w:rsid w:val="00E90F2D"/>
    <w:rsid w:val="00E90FFC"/>
    <w:rsid w:val="00E91024"/>
    <w:rsid w:val="00E9107F"/>
    <w:rsid w:val="00E910D2"/>
    <w:rsid w:val="00E9116F"/>
    <w:rsid w:val="00E91268"/>
    <w:rsid w:val="00E9140F"/>
    <w:rsid w:val="00E91439"/>
    <w:rsid w:val="00E914B3"/>
    <w:rsid w:val="00E914B9"/>
    <w:rsid w:val="00E914E7"/>
    <w:rsid w:val="00E9150F"/>
    <w:rsid w:val="00E9158D"/>
    <w:rsid w:val="00E915C2"/>
    <w:rsid w:val="00E915ED"/>
    <w:rsid w:val="00E9164B"/>
    <w:rsid w:val="00E91699"/>
    <w:rsid w:val="00E91789"/>
    <w:rsid w:val="00E9181A"/>
    <w:rsid w:val="00E9191A"/>
    <w:rsid w:val="00E919BC"/>
    <w:rsid w:val="00E91AC0"/>
    <w:rsid w:val="00E91B0A"/>
    <w:rsid w:val="00E91D57"/>
    <w:rsid w:val="00E91D63"/>
    <w:rsid w:val="00E91EE1"/>
    <w:rsid w:val="00E91EED"/>
    <w:rsid w:val="00E91F2E"/>
    <w:rsid w:val="00E91FBC"/>
    <w:rsid w:val="00E92009"/>
    <w:rsid w:val="00E92054"/>
    <w:rsid w:val="00E9208E"/>
    <w:rsid w:val="00E92374"/>
    <w:rsid w:val="00E923A8"/>
    <w:rsid w:val="00E92409"/>
    <w:rsid w:val="00E924AC"/>
    <w:rsid w:val="00E924D9"/>
    <w:rsid w:val="00E92521"/>
    <w:rsid w:val="00E926C8"/>
    <w:rsid w:val="00E926F4"/>
    <w:rsid w:val="00E92890"/>
    <w:rsid w:val="00E92922"/>
    <w:rsid w:val="00E929A9"/>
    <w:rsid w:val="00E929DE"/>
    <w:rsid w:val="00E92A04"/>
    <w:rsid w:val="00E92A51"/>
    <w:rsid w:val="00E92AD5"/>
    <w:rsid w:val="00E92B72"/>
    <w:rsid w:val="00E92BFA"/>
    <w:rsid w:val="00E92CE3"/>
    <w:rsid w:val="00E92D4C"/>
    <w:rsid w:val="00E92DB5"/>
    <w:rsid w:val="00E92DEE"/>
    <w:rsid w:val="00E92E19"/>
    <w:rsid w:val="00E92E8F"/>
    <w:rsid w:val="00E92FFA"/>
    <w:rsid w:val="00E93125"/>
    <w:rsid w:val="00E9328D"/>
    <w:rsid w:val="00E93291"/>
    <w:rsid w:val="00E9331C"/>
    <w:rsid w:val="00E93385"/>
    <w:rsid w:val="00E934FC"/>
    <w:rsid w:val="00E9356C"/>
    <w:rsid w:val="00E935B3"/>
    <w:rsid w:val="00E9363C"/>
    <w:rsid w:val="00E936FE"/>
    <w:rsid w:val="00E93795"/>
    <w:rsid w:val="00E93A11"/>
    <w:rsid w:val="00E93A19"/>
    <w:rsid w:val="00E93B0C"/>
    <w:rsid w:val="00E93C37"/>
    <w:rsid w:val="00E93D55"/>
    <w:rsid w:val="00E93E08"/>
    <w:rsid w:val="00E93F26"/>
    <w:rsid w:val="00E93FC7"/>
    <w:rsid w:val="00E93FCE"/>
    <w:rsid w:val="00E94190"/>
    <w:rsid w:val="00E941DE"/>
    <w:rsid w:val="00E941E8"/>
    <w:rsid w:val="00E942D0"/>
    <w:rsid w:val="00E942F8"/>
    <w:rsid w:val="00E94353"/>
    <w:rsid w:val="00E943D8"/>
    <w:rsid w:val="00E943EF"/>
    <w:rsid w:val="00E94434"/>
    <w:rsid w:val="00E94590"/>
    <w:rsid w:val="00E94655"/>
    <w:rsid w:val="00E94667"/>
    <w:rsid w:val="00E94677"/>
    <w:rsid w:val="00E94693"/>
    <w:rsid w:val="00E948CD"/>
    <w:rsid w:val="00E948F7"/>
    <w:rsid w:val="00E94A0C"/>
    <w:rsid w:val="00E94C70"/>
    <w:rsid w:val="00E94D89"/>
    <w:rsid w:val="00E94E35"/>
    <w:rsid w:val="00E94F24"/>
    <w:rsid w:val="00E94FA4"/>
    <w:rsid w:val="00E9501D"/>
    <w:rsid w:val="00E95042"/>
    <w:rsid w:val="00E950D3"/>
    <w:rsid w:val="00E951E4"/>
    <w:rsid w:val="00E9522F"/>
    <w:rsid w:val="00E9523B"/>
    <w:rsid w:val="00E95254"/>
    <w:rsid w:val="00E952D1"/>
    <w:rsid w:val="00E95339"/>
    <w:rsid w:val="00E95388"/>
    <w:rsid w:val="00E95398"/>
    <w:rsid w:val="00E954F1"/>
    <w:rsid w:val="00E95654"/>
    <w:rsid w:val="00E9566A"/>
    <w:rsid w:val="00E957CC"/>
    <w:rsid w:val="00E95825"/>
    <w:rsid w:val="00E958C1"/>
    <w:rsid w:val="00E95A11"/>
    <w:rsid w:val="00E95A71"/>
    <w:rsid w:val="00E95A78"/>
    <w:rsid w:val="00E95A7A"/>
    <w:rsid w:val="00E95AB9"/>
    <w:rsid w:val="00E95B2B"/>
    <w:rsid w:val="00E95C4B"/>
    <w:rsid w:val="00E95C6C"/>
    <w:rsid w:val="00E95D54"/>
    <w:rsid w:val="00E95D5C"/>
    <w:rsid w:val="00E96063"/>
    <w:rsid w:val="00E960F4"/>
    <w:rsid w:val="00E9610B"/>
    <w:rsid w:val="00E9628C"/>
    <w:rsid w:val="00E962EF"/>
    <w:rsid w:val="00E963B3"/>
    <w:rsid w:val="00E96492"/>
    <w:rsid w:val="00E965BF"/>
    <w:rsid w:val="00E965ED"/>
    <w:rsid w:val="00E965EF"/>
    <w:rsid w:val="00E96670"/>
    <w:rsid w:val="00E96760"/>
    <w:rsid w:val="00E968AE"/>
    <w:rsid w:val="00E968E7"/>
    <w:rsid w:val="00E96961"/>
    <w:rsid w:val="00E96970"/>
    <w:rsid w:val="00E96974"/>
    <w:rsid w:val="00E969CB"/>
    <w:rsid w:val="00E96A16"/>
    <w:rsid w:val="00E96A6E"/>
    <w:rsid w:val="00E96A89"/>
    <w:rsid w:val="00E96BBB"/>
    <w:rsid w:val="00E96E84"/>
    <w:rsid w:val="00E96F16"/>
    <w:rsid w:val="00E9701F"/>
    <w:rsid w:val="00E97066"/>
    <w:rsid w:val="00E97170"/>
    <w:rsid w:val="00E9721A"/>
    <w:rsid w:val="00E9733C"/>
    <w:rsid w:val="00E9733D"/>
    <w:rsid w:val="00E9736F"/>
    <w:rsid w:val="00E973E3"/>
    <w:rsid w:val="00E9749A"/>
    <w:rsid w:val="00E97519"/>
    <w:rsid w:val="00E97607"/>
    <w:rsid w:val="00E976A6"/>
    <w:rsid w:val="00E97800"/>
    <w:rsid w:val="00E97833"/>
    <w:rsid w:val="00E97A69"/>
    <w:rsid w:val="00E97BEE"/>
    <w:rsid w:val="00E97C57"/>
    <w:rsid w:val="00E97C77"/>
    <w:rsid w:val="00E97D72"/>
    <w:rsid w:val="00E97D95"/>
    <w:rsid w:val="00E97EE3"/>
    <w:rsid w:val="00E97F2C"/>
    <w:rsid w:val="00E97F92"/>
    <w:rsid w:val="00EA009A"/>
    <w:rsid w:val="00EA0106"/>
    <w:rsid w:val="00EA0291"/>
    <w:rsid w:val="00EA0345"/>
    <w:rsid w:val="00EA058B"/>
    <w:rsid w:val="00EA0785"/>
    <w:rsid w:val="00EA07EE"/>
    <w:rsid w:val="00EA088D"/>
    <w:rsid w:val="00EA08B9"/>
    <w:rsid w:val="00EA09B0"/>
    <w:rsid w:val="00EA0A13"/>
    <w:rsid w:val="00EA0AD5"/>
    <w:rsid w:val="00EA0B67"/>
    <w:rsid w:val="00EA0BA4"/>
    <w:rsid w:val="00EA0BDE"/>
    <w:rsid w:val="00EA0D7E"/>
    <w:rsid w:val="00EA0E21"/>
    <w:rsid w:val="00EA0EDF"/>
    <w:rsid w:val="00EA0F0A"/>
    <w:rsid w:val="00EA0F8E"/>
    <w:rsid w:val="00EA105E"/>
    <w:rsid w:val="00EA10DE"/>
    <w:rsid w:val="00EA1124"/>
    <w:rsid w:val="00EA1138"/>
    <w:rsid w:val="00EA115B"/>
    <w:rsid w:val="00EA1292"/>
    <w:rsid w:val="00EA1298"/>
    <w:rsid w:val="00EA1352"/>
    <w:rsid w:val="00EA13A5"/>
    <w:rsid w:val="00EA13FC"/>
    <w:rsid w:val="00EA16CF"/>
    <w:rsid w:val="00EA1789"/>
    <w:rsid w:val="00EA180A"/>
    <w:rsid w:val="00EA185E"/>
    <w:rsid w:val="00EA1871"/>
    <w:rsid w:val="00EA1886"/>
    <w:rsid w:val="00EA193F"/>
    <w:rsid w:val="00EA1A24"/>
    <w:rsid w:val="00EA1A3B"/>
    <w:rsid w:val="00EA1A7F"/>
    <w:rsid w:val="00EA1BC1"/>
    <w:rsid w:val="00EA1E68"/>
    <w:rsid w:val="00EA1F32"/>
    <w:rsid w:val="00EA1F7F"/>
    <w:rsid w:val="00EA1FD4"/>
    <w:rsid w:val="00EA204E"/>
    <w:rsid w:val="00EA20B6"/>
    <w:rsid w:val="00EA218D"/>
    <w:rsid w:val="00EA21CA"/>
    <w:rsid w:val="00EA2512"/>
    <w:rsid w:val="00EA2675"/>
    <w:rsid w:val="00EA26A6"/>
    <w:rsid w:val="00EA2739"/>
    <w:rsid w:val="00EA27B4"/>
    <w:rsid w:val="00EA27E8"/>
    <w:rsid w:val="00EA2815"/>
    <w:rsid w:val="00EA28D1"/>
    <w:rsid w:val="00EA294E"/>
    <w:rsid w:val="00EA2B1B"/>
    <w:rsid w:val="00EA2B54"/>
    <w:rsid w:val="00EA2BA8"/>
    <w:rsid w:val="00EA2C01"/>
    <w:rsid w:val="00EA2C77"/>
    <w:rsid w:val="00EA2D27"/>
    <w:rsid w:val="00EA2E19"/>
    <w:rsid w:val="00EA2EF6"/>
    <w:rsid w:val="00EA3123"/>
    <w:rsid w:val="00EA34EC"/>
    <w:rsid w:val="00EA34FE"/>
    <w:rsid w:val="00EA353B"/>
    <w:rsid w:val="00EA358D"/>
    <w:rsid w:val="00EA37DC"/>
    <w:rsid w:val="00EA38FB"/>
    <w:rsid w:val="00EA39A7"/>
    <w:rsid w:val="00EA3AB5"/>
    <w:rsid w:val="00EA3B4D"/>
    <w:rsid w:val="00EA3B8E"/>
    <w:rsid w:val="00EA3BCE"/>
    <w:rsid w:val="00EA3C34"/>
    <w:rsid w:val="00EA3C7A"/>
    <w:rsid w:val="00EA3CC5"/>
    <w:rsid w:val="00EA3DF7"/>
    <w:rsid w:val="00EA3E02"/>
    <w:rsid w:val="00EA3EA3"/>
    <w:rsid w:val="00EA3EAE"/>
    <w:rsid w:val="00EA3F95"/>
    <w:rsid w:val="00EA4077"/>
    <w:rsid w:val="00EA40E0"/>
    <w:rsid w:val="00EA40E3"/>
    <w:rsid w:val="00EA4142"/>
    <w:rsid w:val="00EA41B8"/>
    <w:rsid w:val="00EA42B1"/>
    <w:rsid w:val="00EA44A1"/>
    <w:rsid w:val="00EA44C0"/>
    <w:rsid w:val="00EA459C"/>
    <w:rsid w:val="00EA46DD"/>
    <w:rsid w:val="00EA475D"/>
    <w:rsid w:val="00EA4798"/>
    <w:rsid w:val="00EA492B"/>
    <w:rsid w:val="00EA49F7"/>
    <w:rsid w:val="00EA49F9"/>
    <w:rsid w:val="00EA4A7F"/>
    <w:rsid w:val="00EA4B99"/>
    <w:rsid w:val="00EA4BC0"/>
    <w:rsid w:val="00EA4BE3"/>
    <w:rsid w:val="00EA4BE8"/>
    <w:rsid w:val="00EA4C4C"/>
    <w:rsid w:val="00EA4D0E"/>
    <w:rsid w:val="00EA4E1A"/>
    <w:rsid w:val="00EA4E41"/>
    <w:rsid w:val="00EA4E71"/>
    <w:rsid w:val="00EA4EA8"/>
    <w:rsid w:val="00EA4F19"/>
    <w:rsid w:val="00EA4F6D"/>
    <w:rsid w:val="00EA4FA1"/>
    <w:rsid w:val="00EA4FAB"/>
    <w:rsid w:val="00EA5008"/>
    <w:rsid w:val="00EA524E"/>
    <w:rsid w:val="00EA5323"/>
    <w:rsid w:val="00EA53F1"/>
    <w:rsid w:val="00EA548C"/>
    <w:rsid w:val="00EA5508"/>
    <w:rsid w:val="00EA5594"/>
    <w:rsid w:val="00EA55DF"/>
    <w:rsid w:val="00EA56B6"/>
    <w:rsid w:val="00EA57DA"/>
    <w:rsid w:val="00EA598F"/>
    <w:rsid w:val="00EA59D2"/>
    <w:rsid w:val="00EA5B01"/>
    <w:rsid w:val="00EA5B89"/>
    <w:rsid w:val="00EA5C3F"/>
    <w:rsid w:val="00EA5DC2"/>
    <w:rsid w:val="00EA5E3F"/>
    <w:rsid w:val="00EA5E43"/>
    <w:rsid w:val="00EA5FDA"/>
    <w:rsid w:val="00EA6025"/>
    <w:rsid w:val="00EA60AC"/>
    <w:rsid w:val="00EA6111"/>
    <w:rsid w:val="00EA61E4"/>
    <w:rsid w:val="00EA629E"/>
    <w:rsid w:val="00EA6332"/>
    <w:rsid w:val="00EA6370"/>
    <w:rsid w:val="00EA641D"/>
    <w:rsid w:val="00EA64C7"/>
    <w:rsid w:val="00EA6718"/>
    <w:rsid w:val="00EA67EC"/>
    <w:rsid w:val="00EA688B"/>
    <w:rsid w:val="00EA6948"/>
    <w:rsid w:val="00EA69A4"/>
    <w:rsid w:val="00EA6AA7"/>
    <w:rsid w:val="00EA6AD3"/>
    <w:rsid w:val="00EA6AEA"/>
    <w:rsid w:val="00EA6B4A"/>
    <w:rsid w:val="00EA6D31"/>
    <w:rsid w:val="00EA6D35"/>
    <w:rsid w:val="00EA6D52"/>
    <w:rsid w:val="00EA6DB4"/>
    <w:rsid w:val="00EA6DBD"/>
    <w:rsid w:val="00EA6ED5"/>
    <w:rsid w:val="00EA6F87"/>
    <w:rsid w:val="00EA7019"/>
    <w:rsid w:val="00EA7124"/>
    <w:rsid w:val="00EA71D1"/>
    <w:rsid w:val="00EA722C"/>
    <w:rsid w:val="00EA73F4"/>
    <w:rsid w:val="00EA7460"/>
    <w:rsid w:val="00EA74B4"/>
    <w:rsid w:val="00EA74B6"/>
    <w:rsid w:val="00EA75EE"/>
    <w:rsid w:val="00EA7855"/>
    <w:rsid w:val="00EA7884"/>
    <w:rsid w:val="00EA7949"/>
    <w:rsid w:val="00EA79B1"/>
    <w:rsid w:val="00EA79C6"/>
    <w:rsid w:val="00EA79CE"/>
    <w:rsid w:val="00EA7A59"/>
    <w:rsid w:val="00EA7A63"/>
    <w:rsid w:val="00EA7AB2"/>
    <w:rsid w:val="00EA7AFD"/>
    <w:rsid w:val="00EA7B62"/>
    <w:rsid w:val="00EA7C4C"/>
    <w:rsid w:val="00EA7D3C"/>
    <w:rsid w:val="00EA7DFD"/>
    <w:rsid w:val="00EA7E74"/>
    <w:rsid w:val="00EA7E8A"/>
    <w:rsid w:val="00EA7F03"/>
    <w:rsid w:val="00EB00B0"/>
    <w:rsid w:val="00EB017A"/>
    <w:rsid w:val="00EB0271"/>
    <w:rsid w:val="00EB031F"/>
    <w:rsid w:val="00EB0440"/>
    <w:rsid w:val="00EB04C7"/>
    <w:rsid w:val="00EB053E"/>
    <w:rsid w:val="00EB0607"/>
    <w:rsid w:val="00EB06B2"/>
    <w:rsid w:val="00EB071E"/>
    <w:rsid w:val="00EB073B"/>
    <w:rsid w:val="00EB074E"/>
    <w:rsid w:val="00EB085D"/>
    <w:rsid w:val="00EB08E2"/>
    <w:rsid w:val="00EB09B8"/>
    <w:rsid w:val="00EB0A18"/>
    <w:rsid w:val="00EB0A9F"/>
    <w:rsid w:val="00EB0B0B"/>
    <w:rsid w:val="00EB0B8F"/>
    <w:rsid w:val="00EB0D2A"/>
    <w:rsid w:val="00EB0D8C"/>
    <w:rsid w:val="00EB0FAD"/>
    <w:rsid w:val="00EB1067"/>
    <w:rsid w:val="00EB1096"/>
    <w:rsid w:val="00EB10A5"/>
    <w:rsid w:val="00EB1177"/>
    <w:rsid w:val="00EB127D"/>
    <w:rsid w:val="00EB13D3"/>
    <w:rsid w:val="00EB14B3"/>
    <w:rsid w:val="00EB14D0"/>
    <w:rsid w:val="00EB1612"/>
    <w:rsid w:val="00EB1629"/>
    <w:rsid w:val="00EB16F6"/>
    <w:rsid w:val="00EB194D"/>
    <w:rsid w:val="00EB1A4C"/>
    <w:rsid w:val="00EB1B1A"/>
    <w:rsid w:val="00EB1B1F"/>
    <w:rsid w:val="00EB1BFA"/>
    <w:rsid w:val="00EB1BFF"/>
    <w:rsid w:val="00EB1C02"/>
    <w:rsid w:val="00EB1C0F"/>
    <w:rsid w:val="00EB1C7E"/>
    <w:rsid w:val="00EB1D48"/>
    <w:rsid w:val="00EB1E1A"/>
    <w:rsid w:val="00EB1E1C"/>
    <w:rsid w:val="00EB20C0"/>
    <w:rsid w:val="00EB2110"/>
    <w:rsid w:val="00EB21A6"/>
    <w:rsid w:val="00EB21C6"/>
    <w:rsid w:val="00EB2281"/>
    <w:rsid w:val="00EB22C8"/>
    <w:rsid w:val="00EB2362"/>
    <w:rsid w:val="00EB24E5"/>
    <w:rsid w:val="00EB25A0"/>
    <w:rsid w:val="00EB262C"/>
    <w:rsid w:val="00EB263B"/>
    <w:rsid w:val="00EB26BB"/>
    <w:rsid w:val="00EB26EA"/>
    <w:rsid w:val="00EB26F5"/>
    <w:rsid w:val="00EB26FF"/>
    <w:rsid w:val="00EB2750"/>
    <w:rsid w:val="00EB288D"/>
    <w:rsid w:val="00EB2894"/>
    <w:rsid w:val="00EB28FC"/>
    <w:rsid w:val="00EB292A"/>
    <w:rsid w:val="00EB29B3"/>
    <w:rsid w:val="00EB2A97"/>
    <w:rsid w:val="00EB2B84"/>
    <w:rsid w:val="00EB2C8C"/>
    <w:rsid w:val="00EB2E5C"/>
    <w:rsid w:val="00EB2E91"/>
    <w:rsid w:val="00EB2FD6"/>
    <w:rsid w:val="00EB32D6"/>
    <w:rsid w:val="00EB354F"/>
    <w:rsid w:val="00EB35C9"/>
    <w:rsid w:val="00EB3697"/>
    <w:rsid w:val="00EB3728"/>
    <w:rsid w:val="00EB3743"/>
    <w:rsid w:val="00EB3750"/>
    <w:rsid w:val="00EB37FD"/>
    <w:rsid w:val="00EB3869"/>
    <w:rsid w:val="00EB38BE"/>
    <w:rsid w:val="00EB39A3"/>
    <w:rsid w:val="00EB39A4"/>
    <w:rsid w:val="00EB39E1"/>
    <w:rsid w:val="00EB3BC9"/>
    <w:rsid w:val="00EB3C47"/>
    <w:rsid w:val="00EB3C4F"/>
    <w:rsid w:val="00EB3C8F"/>
    <w:rsid w:val="00EB3D06"/>
    <w:rsid w:val="00EB3D19"/>
    <w:rsid w:val="00EB4062"/>
    <w:rsid w:val="00EB4070"/>
    <w:rsid w:val="00EB4098"/>
    <w:rsid w:val="00EB4233"/>
    <w:rsid w:val="00EB44D7"/>
    <w:rsid w:val="00EB45A1"/>
    <w:rsid w:val="00EB4612"/>
    <w:rsid w:val="00EB46DE"/>
    <w:rsid w:val="00EB473F"/>
    <w:rsid w:val="00EB4777"/>
    <w:rsid w:val="00EB4855"/>
    <w:rsid w:val="00EB4866"/>
    <w:rsid w:val="00EB49F7"/>
    <w:rsid w:val="00EB4A95"/>
    <w:rsid w:val="00EB4B93"/>
    <w:rsid w:val="00EB4BD7"/>
    <w:rsid w:val="00EB4C0C"/>
    <w:rsid w:val="00EB4C10"/>
    <w:rsid w:val="00EB4D8D"/>
    <w:rsid w:val="00EB4E62"/>
    <w:rsid w:val="00EB4E92"/>
    <w:rsid w:val="00EB4F4E"/>
    <w:rsid w:val="00EB4FBA"/>
    <w:rsid w:val="00EB5025"/>
    <w:rsid w:val="00EB5087"/>
    <w:rsid w:val="00EB5115"/>
    <w:rsid w:val="00EB518B"/>
    <w:rsid w:val="00EB53A0"/>
    <w:rsid w:val="00EB5440"/>
    <w:rsid w:val="00EB54AE"/>
    <w:rsid w:val="00EB54DE"/>
    <w:rsid w:val="00EB54F0"/>
    <w:rsid w:val="00EB556B"/>
    <w:rsid w:val="00EB55DD"/>
    <w:rsid w:val="00EB5661"/>
    <w:rsid w:val="00EB56AC"/>
    <w:rsid w:val="00EB5718"/>
    <w:rsid w:val="00EB5751"/>
    <w:rsid w:val="00EB57FC"/>
    <w:rsid w:val="00EB584B"/>
    <w:rsid w:val="00EB5856"/>
    <w:rsid w:val="00EB5865"/>
    <w:rsid w:val="00EB5A1C"/>
    <w:rsid w:val="00EB5A75"/>
    <w:rsid w:val="00EB5AAE"/>
    <w:rsid w:val="00EB5B88"/>
    <w:rsid w:val="00EB5C4C"/>
    <w:rsid w:val="00EB5CAE"/>
    <w:rsid w:val="00EB5D11"/>
    <w:rsid w:val="00EB5D25"/>
    <w:rsid w:val="00EB5E69"/>
    <w:rsid w:val="00EB5F14"/>
    <w:rsid w:val="00EB5F38"/>
    <w:rsid w:val="00EB6109"/>
    <w:rsid w:val="00EB614E"/>
    <w:rsid w:val="00EB620E"/>
    <w:rsid w:val="00EB62A5"/>
    <w:rsid w:val="00EB62AC"/>
    <w:rsid w:val="00EB636D"/>
    <w:rsid w:val="00EB63D8"/>
    <w:rsid w:val="00EB6716"/>
    <w:rsid w:val="00EB67CC"/>
    <w:rsid w:val="00EB67D2"/>
    <w:rsid w:val="00EB6812"/>
    <w:rsid w:val="00EB6836"/>
    <w:rsid w:val="00EB6864"/>
    <w:rsid w:val="00EB6942"/>
    <w:rsid w:val="00EB69DB"/>
    <w:rsid w:val="00EB69E3"/>
    <w:rsid w:val="00EB6C40"/>
    <w:rsid w:val="00EB6CB5"/>
    <w:rsid w:val="00EB6DCA"/>
    <w:rsid w:val="00EB6F6C"/>
    <w:rsid w:val="00EB6F6E"/>
    <w:rsid w:val="00EB703F"/>
    <w:rsid w:val="00EB7115"/>
    <w:rsid w:val="00EB71F8"/>
    <w:rsid w:val="00EB72BC"/>
    <w:rsid w:val="00EB7384"/>
    <w:rsid w:val="00EB73CB"/>
    <w:rsid w:val="00EB745C"/>
    <w:rsid w:val="00EB74AF"/>
    <w:rsid w:val="00EB7528"/>
    <w:rsid w:val="00EB75B3"/>
    <w:rsid w:val="00EB7660"/>
    <w:rsid w:val="00EB76DE"/>
    <w:rsid w:val="00EB78E5"/>
    <w:rsid w:val="00EB78FD"/>
    <w:rsid w:val="00EB7C09"/>
    <w:rsid w:val="00EB7CE4"/>
    <w:rsid w:val="00EB7CFE"/>
    <w:rsid w:val="00EB7DA7"/>
    <w:rsid w:val="00EB7E24"/>
    <w:rsid w:val="00EB7E80"/>
    <w:rsid w:val="00EB7ECE"/>
    <w:rsid w:val="00EB7F27"/>
    <w:rsid w:val="00EB7FC1"/>
    <w:rsid w:val="00EC0183"/>
    <w:rsid w:val="00EC01D1"/>
    <w:rsid w:val="00EC041F"/>
    <w:rsid w:val="00EC04BE"/>
    <w:rsid w:val="00EC0618"/>
    <w:rsid w:val="00EC0636"/>
    <w:rsid w:val="00EC06F1"/>
    <w:rsid w:val="00EC0732"/>
    <w:rsid w:val="00EC089B"/>
    <w:rsid w:val="00EC08A5"/>
    <w:rsid w:val="00EC0931"/>
    <w:rsid w:val="00EC0A67"/>
    <w:rsid w:val="00EC0B2E"/>
    <w:rsid w:val="00EC0C74"/>
    <w:rsid w:val="00EC0DA9"/>
    <w:rsid w:val="00EC0E32"/>
    <w:rsid w:val="00EC0EB9"/>
    <w:rsid w:val="00EC0F73"/>
    <w:rsid w:val="00EC0F7C"/>
    <w:rsid w:val="00EC1092"/>
    <w:rsid w:val="00EC11FD"/>
    <w:rsid w:val="00EC14D4"/>
    <w:rsid w:val="00EC1563"/>
    <w:rsid w:val="00EC185C"/>
    <w:rsid w:val="00EC18FB"/>
    <w:rsid w:val="00EC19A7"/>
    <w:rsid w:val="00EC19FD"/>
    <w:rsid w:val="00EC1B5C"/>
    <w:rsid w:val="00EC1B82"/>
    <w:rsid w:val="00EC1E00"/>
    <w:rsid w:val="00EC1E42"/>
    <w:rsid w:val="00EC1E81"/>
    <w:rsid w:val="00EC1F24"/>
    <w:rsid w:val="00EC1F91"/>
    <w:rsid w:val="00EC1FBF"/>
    <w:rsid w:val="00EC20DA"/>
    <w:rsid w:val="00EC22D6"/>
    <w:rsid w:val="00EC23EB"/>
    <w:rsid w:val="00EC266F"/>
    <w:rsid w:val="00EC2686"/>
    <w:rsid w:val="00EC26E7"/>
    <w:rsid w:val="00EC273C"/>
    <w:rsid w:val="00EC2798"/>
    <w:rsid w:val="00EC2874"/>
    <w:rsid w:val="00EC29AF"/>
    <w:rsid w:val="00EC29D4"/>
    <w:rsid w:val="00EC29F4"/>
    <w:rsid w:val="00EC2A12"/>
    <w:rsid w:val="00EC2ACA"/>
    <w:rsid w:val="00EC2B1A"/>
    <w:rsid w:val="00EC2B9A"/>
    <w:rsid w:val="00EC2C2B"/>
    <w:rsid w:val="00EC2E21"/>
    <w:rsid w:val="00EC2E5B"/>
    <w:rsid w:val="00EC2EC9"/>
    <w:rsid w:val="00EC2EF0"/>
    <w:rsid w:val="00EC2F18"/>
    <w:rsid w:val="00EC31D3"/>
    <w:rsid w:val="00EC31E5"/>
    <w:rsid w:val="00EC3268"/>
    <w:rsid w:val="00EC32A2"/>
    <w:rsid w:val="00EC32E2"/>
    <w:rsid w:val="00EC3625"/>
    <w:rsid w:val="00EC3654"/>
    <w:rsid w:val="00EC36A2"/>
    <w:rsid w:val="00EC379D"/>
    <w:rsid w:val="00EC3AB8"/>
    <w:rsid w:val="00EC3ACB"/>
    <w:rsid w:val="00EC3B32"/>
    <w:rsid w:val="00EC3B77"/>
    <w:rsid w:val="00EC3D94"/>
    <w:rsid w:val="00EC4013"/>
    <w:rsid w:val="00EC4054"/>
    <w:rsid w:val="00EC40FB"/>
    <w:rsid w:val="00EC4101"/>
    <w:rsid w:val="00EC41D6"/>
    <w:rsid w:val="00EC43AB"/>
    <w:rsid w:val="00EC4446"/>
    <w:rsid w:val="00EC4480"/>
    <w:rsid w:val="00EC44FF"/>
    <w:rsid w:val="00EC4677"/>
    <w:rsid w:val="00EC469B"/>
    <w:rsid w:val="00EC4806"/>
    <w:rsid w:val="00EC493E"/>
    <w:rsid w:val="00EC49D7"/>
    <w:rsid w:val="00EC49D8"/>
    <w:rsid w:val="00EC4A1E"/>
    <w:rsid w:val="00EC4E2C"/>
    <w:rsid w:val="00EC4F47"/>
    <w:rsid w:val="00EC5150"/>
    <w:rsid w:val="00EC51DE"/>
    <w:rsid w:val="00EC53F7"/>
    <w:rsid w:val="00EC5621"/>
    <w:rsid w:val="00EC562A"/>
    <w:rsid w:val="00EC573C"/>
    <w:rsid w:val="00EC5765"/>
    <w:rsid w:val="00EC57BC"/>
    <w:rsid w:val="00EC57D6"/>
    <w:rsid w:val="00EC58E5"/>
    <w:rsid w:val="00EC58EA"/>
    <w:rsid w:val="00EC590C"/>
    <w:rsid w:val="00EC59B2"/>
    <w:rsid w:val="00EC59C9"/>
    <w:rsid w:val="00EC59CF"/>
    <w:rsid w:val="00EC59F3"/>
    <w:rsid w:val="00EC5B2F"/>
    <w:rsid w:val="00EC5B37"/>
    <w:rsid w:val="00EC5B56"/>
    <w:rsid w:val="00EC5BBC"/>
    <w:rsid w:val="00EC5BC1"/>
    <w:rsid w:val="00EC5C12"/>
    <w:rsid w:val="00EC5CD4"/>
    <w:rsid w:val="00EC5D63"/>
    <w:rsid w:val="00EC5EE7"/>
    <w:rsid w:val="00EC5FA7"/>
    <w:rsid w:val="00EC6084"/>
    <w:rsid w:val="00EC61BC"/>
    <w:rsid w:val="00EC61E0"/>
    <w:rsid w:val="00EC61F5"/>
    <w:rsid w:val="00EC6222"/>
    <w:rsid w:val="00EC62C4"/>
    <w:rsid w:val="00EC6348"/>
    <w:rsid w:val="00EC63B7"/>
    <w:rsid w:val="00EC652F"/>
    <w:rsid w:val="00EC6531"/>
    <w:rsid w:val="00EC65A6"/>
    <w:rsid w:val="00EC67D6"/>
    <w:rsid w:val="00EC69D0"/>
    <w:rsid w:val="00EC6C05"/>
    <w:rsid w:val="00EC6C65"/>
    <w:rsid w:val="00EC6CD7"/>
    <w:rsid w:val="00EC6CDE"/>
    <w:rsid w:val="00EC6E36"/>
    <w:rsid w:val="00EC6E7E"/>
    <w:rsid w:val="00EC7146"/>
    <w:rsid w:val="00EC715C"/>
    <w:rsid w:val="00EC72F0"/>
    <w:rsid w:val="00EC73A4"/>
    <w:rsid w:val="00EC7448"/>
    <w:rsid w:val="00EC7465"/>
    <w:rsid w:val="00EC7480"/>
    <w:rsid w:val="00EC74F6"/>
    <w:rsid w:val="00EC757D"/>
    <w:rsid w:val="00EC770B"/>
    <w:rsid w:val="00EC77D9"/>
    <w:rsid w:val="00EC77F5"/>
    <w:rsid w:val="00EC79EB"/>
    <w:rsid w:val="00EC7A0A"/>
    <w:rsid w:val="00EC7AFE"/>
    <w:rsid w:val="00EC7B69"/>
    <w:rsid w:val="00EC7BA0"/>
    <w:rsid w:val="00EC7D6D"/>
    <w:rsid w:val="00EC7F15"/>
    <w:rsid w:val="00ED00BC"/>
    <w:rsid w:val="00ED015A"/>
    <w:rsid w:val="00ED019E"/>
    <w:rsid w:val="00ED01C9"/>
    <w:rsid w:val="00ED01D7"/>
    <w:rsid w:val="00ED01E7"/>
    <w:rsid w:val="00ED0261"/>
    <w:rsid w:val="00ED02B3"/>
    <w:rsid w:val="00ED034D"/>
    <w:rsid w:val="00ED0356"/>
    <w:rsid w:val="00ED0599"/>
    <w:rsid w:val="00ED0699"/>
    <w:rsid w:val="00ED06C2"/>
    <w:rsid w:val="00ED073A"/>
    <w:rsid w:val="00ED07CE"/>
    <w:rsid w:val="00ED07DF"/>
    <w:rsid w:val="00ED0809"/>
    <w:rsid w:val="00ED08AA"/>
    <w:rsid w:val="00ED08AD"/>
    <w:rsid w:val="00ED0A85"/>
    <w:rsid w:val="00ED0C4E"/>
    <w:rsid w:val="00ED0D65"/>
    <w:rsid w:val="00ED0F31"/>
    <w:rsid w:val="00ED0FF7"/>
    <w:rsid w:val="00ED1055"/>
    <w:rsid w:val="00ED113C"/>
    <w:rsid w:val="00ED11F4"/>
    <w:rsid w:val="00ED1228"/>
    <w:rsid w:val="00ED14A3"/>
    <w:rsid w:val="00ED14F6"/>
    <w:rsid w:val="00ED15DA"/>
    <w:rsid w:val="00ED1648"/>
    <w:rsid w:val="00ED1660"/>
    <w:rsid w:val="00ED1721"/>
    <w:rsid w:val="00ED1953"/>
    <w:rsid w:val="00ED1980"/>
    <w:rsid w:val="00ED1A10"/>
    <w:rsid w:val="00ED1A5B"/>
    <w:rsid w:val="00ED1A65"/>
    <w:rsid w:val="00ED1ABE"/>
    <w:rsid w:val="00ED1BCE"/>
    <w:rsid w:val="00ED1D90"/>
    <w:rsid w:val="00ED1E57"/>
    <w:rsid w:val="00ED1F83"/>
    <w:rsid w:val="00ED1FAD"/>
    <w:rsid w:val="00ED2077"/>
    <w:rsid w:val="00ED21B9"/>
    <w:rsid w:val="00ED21BF"/>
    <w:rsid w:val="00ED2266"/>
    <w:rsid w:val="00ED22EA"/>
    <w:rsid w:val="00ED233A"/>
    <w:rsid w:val="00ED23C9"/>
    <w:rsid w:val="00ED2436"/>
    <w:rsid w:val="00ED2486"/>
    <w:rsid w:val="00ED24DF"/>
    <w:rsid w:val="00ED24F2"/>
    <w:rsid w:val="00ED25EB"/>
    <w:rsid w:val="00ED2620"/>
    <w:rsid w:val="00ED274A"/>
    <w:rsid w:val="00ED28B8"/>
    <w:rsid w:val="00ED2921"/>
    <w:rsid w:val="00ED2981"/>
    <w:rsid w:val="00ED29B0"/>
    <w:rsid w:val="00ED2A11"/>
    <w:rsid w:val="00ED2A47"/>
    <w:rsid w:val="00ED2AAD"/>
    <w:rsid w:val="00ED2B71"/>
    <w:rsid w:val="00ED2CA5"/>
    <w:rsid w:val="00ED2CB9"/>
    <w:rsid w:val="00ED2DCD"/>
    <w:rsid w:val="00ED2E19"/>
    <w:rsid w:val="00ED2E6C"/>
    <w:rsid w:val="00ED2E73"/>
    <w:rsid w:val="00ED2F6D"/>
    <w:rsid w:val="00ED30AE"/>
    <w:rsid w:val="00ED3124"/>
    <w:rsid w:val="00ED31DC"/>
    <w:rsid w:val="00ED321E"/>
    <w:rsid w:val="00ED330C"/>
    <w:rsid w:val="00ED331E"/>
    <w:rsid w:val="00ED3392"/>
    <w:rsid w:val="00ED3426"/>
    <w:rsid w:val="00ED34A8"/>
    <w:rsid w:val="00ED34C3"/>
    <w:rsid w:val="00ED34EB"/>
    <w:rsid w:val="00ED353B"/>
    <w:rsid w:val="00ED3545"/>
    <w:rsid w:val="00ED356D"/>
    <w:rsid w:val="00ED35D2"/>
    <w:rsid w:val="00ED36BD"/>
    <w:rsid w:val="00ED36D3"/>
    <w:rsid w:val="00ED3962"/>
    <w:rsid w:val="00ED3A0B"/>
    <w:rsid w:val="00ED3B01"/>
    <w:rsid w:val="00ED3BF9"/>
    <w:rsid w:val="00ED3C64"/>
    <w:rsid w:val="00ED3D24"/>
    <w:rsid w:val="00ED3E62"/>
    <w:rsid w:val="00ED3F3F"/>
    <w:rsid w:val="00ED3F71"/>
    <w:rsid w:val="00ED40DC"/>
    <w:rsid w:val="00ED42E9"/>
    <w:rsid w:val="00ED4615"/>
    <w:rsid w:val="00ED4636"/>
    <w:rsid w:val="00ED4680"/>
    <w:rsid w:val="00ED468F"/>
    <w:rsid w:val="00ED4728"/>
    <w:rsid w:val="00ED47F0"/>
    <w:rsid w:val="00ED482D"/>
    <w:rsid w:val="00ED4868"/>
    <w:rsid w:val="00ED48D5"/>
    <w:rsid w:val="00ED497E"/>
    <w:rsid w:val="00ED4AE0"/>
    <w:rsid w:val="00ED4B22"/>
    <w:rsid w:val="00ED4B59"/>
    <w:rsid w:val="00ED4CA1"/>
    <w:rsid w:val="00ED4D5C"/>
    <w:rsid w:val="00ED5071"/>
    <w:rsid w:val="00ED5090"/>
    <w:rsid w:val="00ED51F4"/>
    <w:rsid w:val="00ED5225"/>
    <w:rsid w:val="00ED52C5"/>
    <w:rsid w:val="00ED53FF"/>
    <w:rsid w:val="00ED546E"/>
    <w:rsid w:val="00ED54E4"/>
    <w:rsid w:val="00ED56B9"/>
    <w:rsid w:val="00ED5788"/>
    <w:rsid w:val="00ED5855"/>
    <w:rsid w:val="00ED587C"/>
    <w:rsid w:val="00ED5901"/>
    <w:rsid w:val="00ED5971"/>
    <w:rsid w:val="00ED59A0"/>
    <w:rsid w:val="00ED59E9"/>
    <w:rsid w:val="00ED5BF8"/>
    <w:rsid w:val="00ED5CA6"/>
    <w:rsid w:val="00ED5D72"/>
    <w:rsid w:val="00ED5EC8"/>
    <w:rsid w:val="00ED5F0D"/>
    <w:rsid w:val="00ED5FDD"/>
    <w:rsid w:val="00ED6182"/>
    <w:rsid w:val="00ED6308"/>
    <w:rsid w:val="00ED6327"/>
    <w:rsid w:val="00ED6345"/>
    <w:rsid w:val="00ED6351"/>
    <w:rsid w:val="00ED6426"/>
    <w:rsid w:val="00ED6519"/>
    <w:rsid w:val="00ED654B"/>
    <w:rsid w:val="00ED6743"/>
    <w:rsid w:val="00ED678B"/>
    <w:rsid w:val="00ED68CA"/>
    <w:rsid w:val="00ED68E0"/>
    <w:rsid w:val="00ED6B00"/>
    <w:rsid w:val="00ED6B40"/>
    <w:rsid w:val="00ED6D1A"/>
    <w:rsid w:val="00ED6D79"/>
    <w:rsid w:val="00ED6E20"/>
    <w:rsid w:val="00ED6E41"/>
    <w:rsid w:val="00ED70EA"/>
    <w:rsid w:val="00ED7260"/>
    <w:rsid w:val="00ED72DF"/>
    <w:rsid w:val="00ED743A"/>
    <w:rsid w:val="00ED7562"/>
    <w:rsid w:val="00ED756B"/>
    <w:rsid w:val="00ED7604"/>
    <w:rsid w:val="00ED76A1"/>
    <w:rsid w:val="00ED76AB"/>
    <w:rsid w:val="00ED77BD"/>
    <w:rsid w:val="00ED784A"/>
    <w:rsid w:val="00ED78CF"/>
    <w:rsid w:val="00ED7949"/>
    <w:rsid w:val="00ED7974"/>
    <w:rsid w:val="00ED7981"/>
    <w:rsid w:val="00ED7A08"/>
    <w:rsid w:val="00ED7B9A"/>
    <w:rsid w:val="00ED7C94"/>
    <w:rsid w:val="00ED7CB5"/>
    <w:rsid w:val="00ED7CD6"/>
    <w:rsid w:val="00ED7DAD"/>
    <w:rsid w:val="00EE0045"/>
    <w:rsid w:val="00EE011E"/>
    <w:rsid w:val="00EE0159"/>
    <w:rsid w:val="00EE018B"/>
    <w:rsid w:val="00EE02F5"/>
    <w:rsid w:val="00EE03B8"/>
    <w:rsid w:val="00EE0542"/>
    <w:rsid w:val="00EE0552"/>
    <w:rsid w:val="00EE061C"/>
    <w:rsid w:val="00EE08AA"/>
    <w:rsid w:val="00EE08C1"/>
    <w:rsid w:val="00EE090F"/>
    <w:rsid w:val="00EE0923"/>
    <w:rsid w:val="00EE09D1"/>
    <w:rsid w:val="00EE0C21"/>
    <w:rsid w:val="00EE0D3B"/>
    <w:rsid w:val="00EE0D94"/>
    <w:rsid w:val="00EE0DE5"/>
    <w:rsid w:val="00EE0E09"/>
    <w:rsid w:val="00EE0F9B"/>
    <w:rsid w:val="00EE0FBD"/>
    <w:rsid w:val="00EE1021"/>
    <w:rsid w:val="00EE1022"/>
    <w:rsid w:val="00EE10DC"/>
    <w:rsid w:val="00EE1156"/>
    <w:rsid w:val="00EE1227"/>
    <w:rsid w:val="00EE124F"/>
    <w:rsid w:val="00EE12DE"/>
    <w:rsid w:val="00EE1335"/>
    <w:rsid w:val="00EE1342"/>
    <w:rsid w:val="00EE1387"/>
    <w:rsid w:val="00EE14F7"/>
    <w:rsid w:val="00EE154F"/>
    <w:rsid w:val="00EE1587"/>
    <w:rsid w:val="00EE159C"/>
    <w:rsid w:val="00EE15FB"/>
    <w:rsid w:val="00EE164E"/>
    <w:rsid w:val="00EE16EC"/>
    <w:rsid w:val="00EE1740"/>
    <w:rsid w:val="00EE1765"/>
    <w:rsid w:val="00EE1877"/>
    <w:rsid w:val="00EE1913"/>
    <w:rsid w:val="00EE19B5"/>
    <w:rsid w:val="00EE1A4C"/>
    <w:rsid w:val="00EE1E6F"/>
    <w:rsid w:val="00EE1FF3"/>
    <w:rsid w:val="00EE20BE"/>
    <w:rsid w:val="00EE2103"/>
    <w:rsid w:val="00EE215D"/>
    <w:rsid w:val="00EE2167"/>
    <w:rsid w:val="00EE2199"/>
    <w:rsid w:val="00EE21D6"/>
    <w:rsid w:val="00EE229B"/>
    <w:rsid w:val="00EE255F"/>
    <w:rsid w:val="00EE25A5"/>
    <w:rsid w:val="00EE25B7"/>
    <w:rsid w:val="00EE262B"/>
    <w:rsid w:val="00EE2861"/>
    <w:rsid w:val="00EE2AB7"/>
    <w:rsid w:val="00EE2B39"/>
    <w:rsid w:val="00EE2CCF"/>
    <w:rsid w:val="00EE2DF5"/>
    <w:rsid w:val="00EE2DFE"/>
    <w:rsid w:val="00EE2E4B"/>
    <w:rsid w:val="00EE2E61"/>
    <w:rsid w:val="00EE2E68"/>
    <w:rsid w:val="00EE2EBF"/>
    <w:rsid w:val="00EE2F9D"/>
    <w:rsid w:val="00EE3171"/>
    <w:rsid w:val="00EE3181"/>
    <w:rsid w:val="00EE31C0"/>
    <w:rsid w:val="00EE31F2"/>
    <w:rsid w:val="00EE3309"/>
    <w:rsid w:val="00EE331A"/>
    <w:rsid w:val="00EE3328"/>
    <w:rsid w:val="00EE335B"/>
    <w:rsid w:val="00EE338E"/>
    <w:rsid w:val="00EE3399"/>
    <w:rsid w:val="00EE351C"/>
    <w:rsid w:val="00EE3582"/>
    <w:rsid w:val="00EE3610"/>
    <w:rsid w:val="00EE381D"/>
    <w:rsid w:val="00EE38FB"/>
    <w:rsid w:val="00EE3940"/>
    <w:rsid w:val="00EE3A14"/>
    <w:rsid w:val="00EE3AC8"/>
    <w:rsid w:val="00EE3B0E"/>
    <w:rsid w:val="00EE3CCE"/>
    <w:rsid w:val="00EE3CEF"/>
    <w:rsid w:val="00EE3CF8"/>
    <w:rsid w:val="00EE3DA7"/>
    <w:rsid w:val="00EE3F6E"/>
    <w:rsid w:val="00EE40E3"/>
    <w:rsid w:val="00EE4255"/>
    <w:rsid w:val="00EE4278"/>
    <w:rsid w:val="00EE43DE"/>
    <w:rsid w:val="00EE4455"/>
    <w:rsid w:val="00EE456F"/>
    <w:rsid w:val="00EE459C"/>
    <w:rsid w:val="00EE4622"/>
    <w:rsid w:val="00EE481F"/>
    <w:rsid w:val="00EE4851"/>
    <w:rsid w:val="00EE489A"/>
    <w:rsid w:val="00EE4930"/>
    <w:rsid w:val="00EE4976"/>
    <w:rsid w:val="00EE49D2"/>
    <w:rsid w:val="00EE49FB"/>
    <w:rsid w:val="00EE4AAD"/>
    <w:rsid w:val="00EE4B15"/>
    <w:rsid w:val="00EE4BB1"/>
    <w:rsid w:val="00EE4D20"/>
    <w:rsid w:val="00EE4D36"/>
    <w:rsid w:val="00EE4E37"/>
    <w:rsid w:val="00EE4FA9"/>
    <w:rsid w:val="00EE5034"/>
    <w:rsid w:val="00EE504B"/>
    <w:rsid w:val="00EE50B9"/>
    <w:rsid w:val="00EE51B6"/>
    <w:rsid w:val="00EE53B9"/>
    <w:rsid w:val="00EE5416"/>
    <w:rsid w:val="00EE547A"/>
    <w:rsid w:val="00EE5565"/>
    <w:rsid w:val="00EE564D"/>
    <w:rsid w:val="00EE583C"/>
    <w:rsid w:val="00EE5896"/>
    <w:rsid w:val="00EE58E8"/>
    <w:rsid w:val="00EE58F5"/>
    <w:rsid w:val="00EE5963"/>
    <w:rsid w:val="00EE599E"/>
    <w:rsid w:val="00EE5A02"/>
    <w:rsid w:val="00EE5CC3"/>
    <w:rsid w:val="00EE5D7A"/>
    <w:rsid w:val="00EE5DE6"/>
    <w:rsid w:val="00EE5E00"/>
    <w:rsid w:val="00EE5E03"/>
    <w:rsid w:val="00EE5EB0"/>
    <w:rsid w:val="00EE5FC1"/>
    <w:rsid w:val="00EE5FC5"/>
    <w:rsid w:val="00EE6010"/>
    <w:rsid w:val="00EE6054"/>
    <w:rsid w:val="00EE614E"/>
    <w:rsid w:val="00EE61A0"/>
    <w:rsid w:val="00EE61DF"/>
    <w:rsid w:val="00EE6362"/>
    <w:rsid w:val="00EE646C"/>
    <w:rsid w:val="00EE648C"/>
    <w:rsid w:val="00EE64B3"/>
    <w:rsid w:val="00EE65E9"/>
    <w:rsid w:val="00EE66C1"/>
    <w:rsid w:val="00EE6713"/>
    <w:rsid w:val="00EE67A3"/>
    <w:rsid w:val="00EE67DB"/>
    <w:rsid w:val="00EE6906"/>
    <w:rsid w:val="00EE69B5"/>
    <w:rsid w:val="00EE6A90"/>
    <w:rsid w:val="00EE6A9A"/>
    <w:rsid w:val="00EE6B04"/>
    <w:rsid w:val="00EE6B8B"/>
    <w:rsid w:val="00EE6BF1"/>
    <w:rsid w:val="00EE6C86"/>
    <w:rsid w:val="00EE6C93"/>
    <w:rsid w:val="00EE6D31"/>
    <w:rsid w:val="00EE6E5D"/>
    <w:rsid w:val="00EE6F51"/>
    <w:rsid w:val="00EE7024"/>
    <w:rsid w:val="00EE7028"/>
    <w:rsid w:val="00EE7109"/>
    <w:rsid w:val="00EE7225"/>
    <w:rsid w:val="00EE7329"/>
    <w:rsid w:val="00EE778E"/>
    <w:rsid w:val="00EE7854"/>
    <w:rsid w:val="00EE78DB"/>
    <w:rsid w:val="00EE78E6"/>
    <w:rsid w:val="00EE792E"/>
    <w:rsid w:val="00EE79CB"/>
    <w:rsid w:val="00EE7B64"/>
    <w:rsid w:val="00EE7CC2"/>
    <w:rsid w:val="00EE7E35"/>
    <w:rsid w:val="00EE7E49"/>
    <w:rsid w:val="00EE7E87"/>
    <w:rsid w:val="00EE7F6E"/>
    <w:rsid w:val="00EF00BA"/>
    <w:rsid w:val="00EF0166"/>
    <w:rsid w:val="00EF01D0"/>
    <w:rsid w:val="00EF02A4"/>
    <w:rsid w:val="00EF041F"/>
    <w:rsid w:val="00EF04A8"/>
    <w:rsid w:val="00EF0540"/>
    <w:rsid w:val="00EF0562"/>
    <w:rsid w:val="00EF05A9"/>
    <w:rsid w:val="00EF05BA"/>
    <w:rsid w:val="00EF0730"/>
    <w:rsid w:val="00EF0750"/>
    <w:rsid w:val="00EF0851"/>
    <w:rsid w:val="00EF0BD3"/>
    <w:rsid w:val="00EF0BEF"/>
    <w:rsid w:val="00EF0C99"/>
    <w:rsid w:val="00EF0D18"/>
    <w:rsid w:val="00EF0D8B"/>
    <w:rsid w:val="00EF0E3E"/>
    <w:rsid w:val="00EF0EB0"/>
    <w:rsid w:val="00EF0EF8"/>
    <w:rsid w:val="00EF103C"/>
    <w:rsid w:val="00EF1123"/>
    <w:rsid w:val="00EF11B7"/>
    <w:rsid w:val="00EF1353"/>
    <w:rsid w:val="00EF142C"/>
    <w:rsid w:val="00EF157D"/>
    <w:rsid w:val="00EF1591"/>
    <w:rsid w:val="00EF1666"/>
    <w:rsid w:val="00EF1673"/>
    <w:rsid w:val="00EF1695"/>
    <w:rsid w:val="00EF1730"/>
    <w:rsid w:val="00EF18FE"/>
    <w:rsid w:val="00EF1904"/>
    <w:rsid w:val="00EF193D"/>
    <w:rsid w:val="00EF1940"/>
    <w:rsid w:val="00EF1B2E"/>
    <w:rsid w:val="00EF1BB9"/>
    <w:rsid w:val="00EF1D14"/>
    <w:rsid w:val="00EF1D27"/>
    <w:rsid w:val="00EF1E14"/>
    <w:rsid w:val="00EF1F11"/>
    <w:rsid w:val="00EF1FE8"/>
    <w:rsid w:val="00EF2022"/>
    <w:rsid w:val="00EF207A"/>
    <w:rsid w:val="00EF21F8"/>
    <w:rsid w:val="00EF2244"/>
    <w:rsid w:val="00EF2324"/>
    <w:rsid w:val="00EF264F"/>
    <w:rsid w:val="00EF2680"/>
    <w:rsid w:val="00EF2691"/>
    <w:rsid w:val="00EF274A"/>
    <w:rsid w:val="00EF27C0"/>
    <w:rsid w:val="00EF27EC"/>
    <w:rsid w:val="00EF2962"/>
    <w:rsid w:val="00EF29C7"/>
    <w:rsid w:val="00EF2CF1"/>
    <w:rsid w:val="00EF2D3A"/>
    <w:rsid w:val="00EF2E22"/>
    <w:rsid w:val="00EF2F31"/>
    <w:rsid w:val="00EF3025"/>
    <w:rsid w:val="00EF3192"/>
    <w:rsid w:val="00EF32A2"/>
    <w:rsid w:val="00EF334F"/>
    <w:rsid w:val="00EF3637"/>
    <w:rsid w:val="00EF36DE"/>
    <w:rsid w:val="00EF3774"/>
    <w:rsid w:val="00EF3776"/>
    <w:rsid w:val="00EF3834"/>
    <w:rsid w:val="00EF3853"/>
    <w:rsid w:val="00EF3884"/>
    <w:rsid w:val="00EF38B6"/>
    <w:rsid w:val="00EF39F4"/>
    <w:rsid w:val="00EF3B40"/>
    <w:rsid w:val="00EF3DF2"/>
    <w:rsid w:val="00EF3EFD"/>
    <w:rsid w:val="00EF3F5F"/>
    <w:rsid w:val="00EF3F64"/>
    <w:rsid w:val="00EF4074"/>
    <w:rsid w:val="00EF410C"/>
    <w:rsid w:val="00EF4123"/>
    <w:rsid w:val="00EF41AF"/>
    <w:rsid w:val="00EF4363"/>
    <w:rsid w:val="00EF445E"/>
    <w:rsid w:val="00EF4469"/>
    <w:rsid w:val="00EF44D1"/>
    <w:rsid w:val="00EF44EF"/>
    <w:rsid w:val="00EF451A"/>
    <w:rsid w:val="00EF457C"/>
    <w:rsid w:val="00EF45A6"/>
    <w:rsid w:val="00EF45EC"/>
    <w:rsid w:val="00EF4767"/>
    <w:rsid w:val="00EF47BE"/>
    <w:rsid w:val="00EF4891"/>
    <w:rsid w:val="00EF4964"/>
    <w:rsid w:val="00EF4A6F"/>
    <w:rsid w:val="00EF4A84"/>
    <w:rsid w:val="00EF4A91"/>
    <w:rsid w:val="00EF4B54"/>
    <w:rsid w:val="00EF4C86"/>
    <w:rsid w:val="00EF4C90"/>
    <w:rsid w:val="00EF4DD3"/>
    <w:rsid w:val="00EF4E25"/>
    <w:rsid w:val="00EF4EF7"/>
    <w:rsid w:val="00EF5086"/>
    <w:rsid w:val="00EF50A6"/>
    <w:rsid w:val="00EF5129"/>
    <w:rsid w:val="00EF51A7"/>
    <w:rsid w:val="00EF5230"/>
    <w:rsid w:val="00EF52C1"/>
    <w:rsid w:val="00EF5334"/>
    <w:rsid w:val="00EF537D"/>
    <w:rsid w:val="00EF53A4"/>
    <w:rsid w:val="00EF545A"/>
    <w:rsid w:val="00EF54AB"/>
    <w:rsid w:val="00EF5576"/>
    <w:rsid w:val="00EF55A6"/>
    <w:rsid w:val="00EF55E8"/>
    <w:rsid w:val="00EF55FE"/>
    <w:rsid w:val="00EF56B7"/>
    <w:rsid w:val="00EF56F8"/>
    <w:rsid w:val="00EF592C"/>
    <w:rsid w:val="00EF59BB"/>
    <w:rsid w:val="00EF59C0"/>
    <w:rsid w:val="00EF5AA9"/>
    <w:rsid w:val="00EF5B3B"/>
    <w:rsid w:val="00EF5B5A"/>
    <w:rsid w:val="00EF5BD3"/>
    <w:rsid w:val="00EF5C03"/>
    <w:rsid w:val="00EF5C9F"/>
    <w:rsid w:val="00EF5DA3"/>
    <w:rsid w:val="00EF5E0B"/>
    <w:rsid w:val="00EF5E91"/>
    <w:rsid w:val="00EF5F98"/>
    <w:rsid w:val="00EF616F"/>
    <w:rsid w:val="00EF6237"/>
    <w:rsid w:val="00EF6250"/>
    <w:rsid w:val="00EF62F9"/>
    <w:rsid w:val="00EF653F"/>
    <w:rsid w:val="00EF6705"/>
    <w:rsid w:val="00EF6746"/>
    <w:rsid w:val="00EF68F1"/>
    <w:rsid w:val="00EF6952"/>
    <w:rsid w:val="00EF6AD1"/>
    <w:rsid w:val="00EF6B1B"/>
    <w:rsid w:val="00EF6C7C"/>
    <w:rsid w:val="00EF6C85"/>
    <w:rsid w:val="00EF6E64"/>
    <w:rsid w:val="00EF6F62"/>
    <w:rsid w:val="00EF6FD7"/>
    <w:rsid w:val="00EF7008"/>
    <w:rsid w:val="00EF7050"/>
    <w:rsid w:val="00EF707A"/>
    <w:rsid w:val="00EF70A5"/>
    <w:rsid w:val="00EF70C1"/>
    <w:rsid w:val="00EF70C4"/>
    <w:rsid w:val="00EF715C"/>
    <w:rsid w:val="00EF7212"/>
    <w:rsid w:val="00EF728B"/>
    <w:rsid w:val="00EF72AD"/>
    <w:rsid w:val="00EF72D2"/>
    <w:rsid w:val="00EF73DA"/>
    <w:rsid w:val="00EF7415"/>
    <w:rsid w:val="00EF7542"/>
    <w:rsid w:val="00EF7573"/>
    <w:rsid w:val="00EF75D9"/>
    <w:rsid w:val="00EF7620"/>
    <w:rsid w:val="00EF76DC"/>
    <w:rsid w:val="00EF77F9"/>
    <w:rsid w:val="00EF7808"/>
    <w:rsid w:val="00EF7816"/>
    <w:rsid w:val="00EF78FE"/>
    <w:rsid w:val="00EF7953"/>
    <w:rsid w:val="00EF797D"/>
    <w:rsid w:val="00EF7A43"/>
    <w:rsid w:val="00EF7AC2"/>
    <w:rsid w:val="00EF7B55"/>
    <w:rsid w:val="00EF7B67"/>
    <w:rsid w:val="00EF7DB1"/>
    <w:rsid w:val="00EF7DF3"/>
    <w:rsid w:val="00EF7E77"/>
    <w:rsid w:val="00F000DA"/>
    <w:rsid w:val="00F0013F"/>
    <w:rsid w:val="00F00177"/>
    <w:rsid w:val="00F0030B"/>
    <w:rsid w:val="00F005ED"/>
    <w:rsid w:val="00F006B7"/>
    <w:rsid w:val="00F006D5"/>
    <w:rsid w:val="00F008D8"/>
    <w:rsid w:val="00F00913"/>
    <w:rsid w:val="00F00989"/>
    <w:rsid w:val="00F009F6"/>
    <w:rsid w:val="00F00A48"/>
    <w:rsid w:val="00F00C54"/>
    <w:rsid w:val="00F00C9F"/>
    <w:rsid w:val="00F00CE3"/>
    <w:rsid w:val="00F00D85"/>
    <w:rsid w:val="00F00EED"/>
    <w:rsid w:val="00F00EF7"/>
    <w:rsid w:val="00F00FA0"/>
    <w:rsid w:val="00F0102B"/>
    <w:rsid w:val="00F010FE"/>
    <w:rsid w:val="00F0112F"/>
    <w:rsid w:val="00F0113F"/>
    <w:rsid w:val="00F0119A"/>
    <w:rsid w:val="00F01428"/>
    <w:rsid w:val="00F01471"/>
    <w:rsid w:val="00F01489"/>
    <w:rsid w:val="00F014BC"/>
    <w:rsid w:val="00F01940"/>
    <w:rsid w:val="00F019CD"/>
    <w:rsid w:val="00F01A19"/>
    <w:rsid w:val="00F01CC0"/>
    <w:rsid w:val="00F01D09"/>
    <w:rsid w:val="00F01DA5"/>
    <w:rsid w:val="00F02055"/>
    <w:rsid w:val="00F020A5"/>
    <w:rsid w:val="00F020F7"/>
    <w:rsid w:val="00F0214C"/>
    <w:rsid w:val="00F02191"/>
    <w:rsid w:val="00F021A7"/>
    <w:rsid w:val="00F02264"/>
    <w:rsid w:val="00F0232E"/>
    <w:rsid w:val="00F0248D"/>
    <w:rsid w:val="00F02511"/>
    <w:rsid w:val="00F0251A"/>
    <w:rsid w:val="00F025A7"/>
    <w:rsid w:val="00F02620"/>
    <w:rsid w:val="00F0265D"/>
    <w:rsid w:val="00F0280B"/>
    <w:rsid w:val="00F0289F"/>
    <w:rsid w:val="00F02929"/>
    <w:rsid w:val="00F02999"/>
    <w:rsid w:val="00F02A7E"/>
    <w:rsid w:val="00F02AA1"/>
    <w:rsid w:val="00F02AB8"/>
    <w:rsid w:val="00F02BAF"/>
    <w:rsid w:val="00F02BDF"/>
    <w:rsid w:val="00F02CA8"/>
    <w:rsid w:val="00F02CCF"/>
    <w:rsid w:val="00F02D06"/>
    <w:rsid w:val="00F02D34"/>
    <w:rsid w:val="00F02D7D"/>
    <w:rsid w:val="00F02EF9"/>
    <w:rsid w:val="00F02FFD"/>
    <w:rsid w:val="00F03115"/>
    <w:rsid w:val="00F03373"/>
    <w:rsid w:val="00F033A7"/>
    <w:rsid w:val="00F033AA"/>
    <w:rsid w:val="00F0345D"/>
    <w:rsid w:val="00F034E6"/>
    <w:rsid w:val="00F03609"/>
    <w:rsid w:val="00F03642"/>
    <w:rsid w:val="00F0371A"/>
    <w:rsid w:val="00F038B9"/>
    <w:rsid w:val="00F038F2"/>
    <w:rsid w:val="00F03944"/>
    <w:rsid w:val="00F03962"/>
    <w:rsid w:val="00F03969"/>
    <w:rsid w:val="00F03A7C"/>
    <w:rsid w:val="00F03BBE"/>
    <w:rsid w:val="00F03BE0"/>
    <w:rsid w:val="00F03C15"/>
    <w:rsid w:val="00F03CBE"/>
    <w:rsid w:val="00F03D19"/>
    <w:rsid w:val="00F03D73"/>
    <w:rsid w:val="00F03DF1"/>
    <w:rsid w:val="00F03E43"/>
    <w:rsid w:val="00F03E67"/>
    <w:rsid w:val="00F03FCA"/>
    <w:rsid w:val="00F04221"/>
    <w:rsid w:val="00F04276"/>
    <w:rsid w:val="00F043D0"/>
    <w:rsid w:val="00F044FC"/>
    <w:rsid w:val="00F04666"/>
    <w:rsid w:val="00F046F6"/>
    <w:rsid w:val="00F04725"/>
    <w:rsid w:val="00F048D8"/>
    <w:rsid w:val="00F04949"/>
    <w:rsid w:val="00F049CD"/>
    <w:rsid w:val="00F049FD"/>
    <w:rsid w:val="00F04A40"/>
    <w:rsid w:val="00F04B3C"/>
    <w:rsid w:val="00F04CCA"/>
    <w:rsid w:val="00F04D41"/>
    <w:rsid w:val="00F04DE8"/>
    <w:rsid w:val="00F04DFD"/>
    <w:rsid w:val="00F04F71"/>
    <w:rsid w:val="00F04FE3"/>
    <w:rsid w:val="00F04FE9"/>
    <w:rsid w:val="00F0502B"/>
    <w:rsid w:val="00F0514E"/>
    <w:rsid w:val="00F051C4"/>
    <w:rsid w:val="00F05253"/>
    <w:rsid w:val="00F05313"/>
    <w:rsid w:val="00F0548E"/>
    <w:rsid w:val="00F05590"/>
    <w:rsid w:val="00F055CC"/>
    <w:rsid w:val="00F055FC"/>
    <w:rsid w:val="00F057BA"/>
    <w:rsid w:val="00F05845"/>
    <w:rsid w:val="00F058B8"/>
    <w:rsid w:val="00F058C5"/>
    <w:rsid w:val="00F058F7"/>
    <w:rsid w:val="00F05907"/>
    <w:rsid w:val="00F05A04"/>
    <w:rsid w:val="00F05A71"/>
    <w:rsid w:val="00F05B1B"/>
    <w:rsid w:val="00F05C8D"/>
    <w:rsid w:val="00F05CD6"/>
    <w:rsid w:val="00F05D09"/>
    <w:rsid w:val="00F05D0F"/>
    <w:rsid w:val="00F05D82"/>
    <w:rsid w:val="00F05DA9"/>
    <w:rsid w:val="00F05DCF"/>
    <w:rsid w:val="00F05E8D"/>
    <w:rsid w:val="00F05F2D"/>
    <w:rsid w:val="00F05F38"/>
    <w:rsid w:val="00F05FDE"/>
    <w:rsid w:val="00F060FF"/>
    <w:rsid w:val="00F06103"/>
    <w:rsid w:val="00F06232"/>
    <w:rsid w:val="00F062C7"/>
    <w:rsid w:val="00F062DC"/>
    <w:rsid w:val="00F062EA"/>
    <w:rsid w:val="00F063F3"/>
    <w:rsid w:val="00F063F5"/>
    <w:rsid w:val="00F06571"/>
    <w:rsid w:val="00F066B6"/>
    <w:rsid w:val="00F06728"/>
    <w:rsid w:val="00F067D7"/>
    <w:rsid w:val="00F06834"/>
    <w:rsid w:val="00F068CE"/>
    <w:rsid w:val="00F0699B"/>
    <w:rsid w:val="00F06A2B"/>
    <w:rsid w:val="00F06BFB"/>
    <w:rsid w:val="00F06D5C"/>
    <w:rsid w:val="00F06E70"/>
    <w:rsid w:val="00F06E73"/>
    <w:rsid w:val="00F06E9C"/>
    <w:rsid w:val="00F06F49"/>
    <w:rsid w:val="00F06FBF"/>
    <w:rsid w:val="00F07043"/>
    <w:rsid w:val="00F07168"/>
    <w:rsid w:val="00F07462"/>
    <w:rsid w:val="00F07540"/>
    <w:rsid w:val="00F07565"/>
    <w:rsid w:val="00F075D9"/>
    <w:rsid w:val="00F07601"/>
    <w:rsid w:val="00F078AE"/>
    <w:rsid w:val="00F079B6"/>
    <w:rsid w:val="00F079C8"/>
    <w:rsid w:val="00F079C9"/>
    <w:rsid w:val="00F079CC"/>
    <w:rsid w:val="00F07C88"/>
    <w:rsid w:val="00F07CFF"/>
    <w:rsid w:val="00F07E0B"/>
    <w:rsid w:val="00F07E2F"/>
    <w:rsid w:val="00F07E93"/>
    <w:rsid w:val="00F10054"/>
    <w:rsid w:val="00F1009D"/>
    <w:rsid w:val="00F10201"/>
    <w:rsid w:val="00F1044C"/>
    <w:rsid w:val="00F105B5"/>
    <w:rsid w:val="00F105D2"/>
    <w:rsid w:val="00F106ED"/>
    <w:rsid w:val="00F10742"/>
    <w:rsid w:val="00F10783"/>
    <w:rsid w:val="00F108F2"/>
    <w:rsid w:val="00F1097F"/>
    <w:rsid w:val="00F1099A"/>
    <w:rsid w:val="00F10A0A"/>
    <w:rsid w:val="00F10AB2"/>
    <w:rsid w:val="00F10AC3"/>
    <w:rsid w:val="00F10B55"/>
    <w:rsid w:val="00F10CE9"/>
    <w:rsid w:val="00F10D00"/>
    <w:rsid w:val="00F10E2A"/>
    <w:rsid w:val="00F10E73"/>
    <w:rsid w:val="00F10FBF"/>
    <w:rsid w:val="00F11144"/>
    <w:rsid w:val="00F112C3"/>
    <w:rsid w:val="00F11346"/>
    <w:rsid w:val="00F113AA"/>
    <w:rsid w:val="00F1145C"/>
    <w:rsid w:val="00F115B4"/>
    <w:rsid w:val="00F115DA"/>
    <w:rsid w:val="00F11645"/>
    <w:rsid w:val="00F116DA"/>
    <w:rsid w:val="00F1170D"/>
    <w:rsid w:val="00F11798"/>
    <w:rsid w:val="00F118B0"/>
    <w:rsid w:val="00F11B49"/>
    <w:rsid w:val="00F11CA3"/>
    <w:rsid w:val="00F11CF3"/>
    <w:rsid w:val="00F1202F"/>
    <w:rsid w:val="00F120B6"/>
    <w:rsid w:val="00F1215B"/>
    <w:rsid w:val="00F121A5"/>
    <w:rsid w:val="00F12261"/>
    <w:rsid w:val="00F122AE"/>
    <w:rsid w:val="00F122B4"/>
    <w:rsid w:val="00F12379"/>
    <w:rsid w:val="00F123E5"/>
    <w:rsid w:val="00F124A5"/>
    <w:rsid w:val="00F125A3"/>
    <w:rsid w:val="00F12686"/>
    <w:rsid w:val="00F12698"/>
    <w:rsid w:val="00F126FF"/>
    <w:rsid w:val="00F127DE"/>
    <w:rsid w:val="00F12804"/>
    <w:rsid w:val="00F12858"/>
    <w:rsid w:val="00F1288D"/>
    <w:rsid w:val="00F128CB"/>
    <w:rsid w:val="00F129C2"/>
    <w:rsid w:val="00F129ED"/>
    <w:rsid w:val="00F12B79"/>
    <w:rsid w:val="00F12BB5"/>
    <w:rsid w:val="00F12BD0"/>
    <w:rsid w:val="00F12BDC"/>
    <w:rsid w:val="00F12CA1"/>
    <w:rsid w:val="00F12DC3"/>
    <w:rsid w:val="00F12E02"/>
    <w:rsid w:val="00F12E7A"/>
    <w:rsid w:val="00F12FBA"/>
    <w:rsid w:val="00F12FDC"/>
    <w:rsid w:val="00F13025"/>
    <w:rsid w:val="00F130FA"/>
    <w:rsid w:val="00F13206"/>
    <w:rsid w:val="00F134D6"/>
    <w:rsid w:val="00F1354A"/>
    <w:rsid w:val="00F1356F"/>
    <w:rsid w:val="00F1372C"/>
    <w:rsid w:val="00F13796"/>
    <w:rsid w:val="00F13882"/>
    <w:rsid w:val="00F138E6"/>
    <w:rsid w:val="00F1398D"/>
    <w:rsid w:val="00F13A02"/>
    <w:rsid w:val="00F13A20"/>
    <w:rsid w:val="00F13B3A"/>
    <w:rsid w:val="00F13BB3"/>
    <w:rsid w:val="00F13CBC"/>
    <w:rsid w:val="00F13DAF"/>
    <w:rsid w:val="00F13E66"/>
    <w:rsid w:val="00F13F30"/>
    <w:rsid w:val="00F13FCF"/>
    <w:rsid w:val="00F1408E"/>
    <w:rsid w:val="00F143EF"/>
    <w:rsid w:val="00F14509"/>
    <w:rsid w:val="00F145A7"/>
    <w:rsid w:val="00F145E2"/>
    <w:rsid w:val="00F145EF"/>
    <w:rsid w:val="00F148B4"/>
    <w:rsid w:val="00F148B7"/>
    <w:rsid w:val="00F14B32"/>
    <w:rsid w:val="00F14C20"/>
    <w:rsid w:val="00F14C86"/>
    <w:rsid w:val="00F14D0E"/>
    <w:rsid w:val="00F14D87"/>
    <w:rsid w:val="00F14D92"/>
    <w:rsid w:val="00F14DA1"/>
    <w:rsid w:val="00F14DCA"/>
    <w:rsid w:val="00F14ED3"/>
    <w:rsid w:val="00F14FBB"/>
    <w:rsid w:val="00F15005"/>
    <w:rsid w:val="00F15025"/>
    <w:rsid w:val="00F15185"/>
    <w:rsid w:val="00F152A3"/>
    <w:rsid w:val="00F153D3"/>
    <w:rsid w:val="00F153E8"/>
    <w:rsid w:val="00F15424"/>
    <w:rsid w:val="00F1546D"/>
    <w:rsid w:val="00F154FE"/>
    <w:rsid w:val="00F15690"/>
    <w:rsid w:val="00F158C9"/>
    <w:rsid w:val="00F15964"/>
    <w:rsid w:val="00F159AB"/>
    <w:rsid w:val="00F15A19"/>
    <w:rsid w:val="00F15A71"/>
    <w:rsid w:val="00F15AAA"/>
    <w:rsid w:val="00F15C10"/>
    <w:rsid w:val="00F15CA9"/>
    <w:rsid w:val="00F15DA3"/>
    <w:rsid w:val="00F15EF0"/>
    <w:rsid w:val="00F15F42"/>
    <w:rsid w:val="00F15FA1"/>
    <w:rsid w:val="00F1610F"/>
    <w:rsid w:val="00F16219"/>
    <w:rsid w:val="00F1625F"/>
    <w:rsid w:val="00F16334"/>
    <w:rsid w:val="00F1646B"/>
    <w:rsid w:val="00F1650C"/>
    <w:rsid w:val="00F165CE"/>
    <w:rsid w:val="00F16626"/>
    <w:rsid w:val="00F16754"/>
    <w:rsid w:val="00F16854"/>
    <w:rsid w:val="00F16A1C"/>
    <w:rsid w:val="00F16AEE"/>
    <w:rsid w:val="00F16B7F"/>
    <w:rsid w:val="00F16DB5"/>
    <w:rsid w:val="00F16EB0"/>
    <w:rsid w:val="00F16F31"/>
    <w:rsid w:val="00F17070"/>
    <w:rsid w:val="00F17073"/>
    <w:rsid w:val="00F170C2"/>
    <w:rsid w:val="00F17114"/>
    <w:rsid w:val="00F17135"/>
    <w:rsid w:val="00F17236"/>
    <w:rsid w:val="00F1724C"/>
    <w:rsid w:val="00F1727B"/>
    <w:rsid w:val="00F172B5"/>
    <w:rsid w:val="00F1735C"/>
    <w:rsid w:val="00F17374"/>
    <w:rsid w:val="00F173C9"/>
    <w:rsid w:val="00F17561"/>
    <w:rsid w:val="00F17698"/>
    <w:rsid w:val="00F177B3"/>
    <w:rsid w:val="00F1786E"/>
    <w:rsid w:val="00F17967"/>
    <w:rsid w:val="00F17992"/>
    <w:rsid w:val="00F17B0C"/>
    <w:rsid w:val="00F17B5C"/>
    <w:rsid w:val="00F17C26"/>
    <w:rsid w:val="00F17CC7"/>
    <w:rsid w:val="00F17DA0"/>
    <w:rsid w:val="00F17DBE"/>
    <w:rsid w:val="00F17E45"/>
    <w:rsid w:val="00F17EA7"/>
    <w:rsid w:val="00F17ED7"/>
    <w:rsid w:val="00F17F63"/>
    <w:rsid w:val="00F17FC6"/>
    <w:rsid w:val="00F20049"/>
    <w:rsid w:val="00F2005F"/>
    <w:rsid w:val="00F20358"/>
    <w:rsid w:val="00F20385"/>
    <w:rsid w:val="00F204E8"/>
    <w:rsid w:val="00F205EE"/>
    <w:rsid w:val="00F20691"/>
    <w:rsid w:val="00F206D8"/>
    <w:rsid w:val="00F20868"/>
    <w:rsid w:val="00F209F3"/>
    <w:rsid w:val="00F20A10"/>
    <w:rsid w:val="00F20C43"/>
    <w:rsid w:val="00F20C7B"/>
    <w:rsid w:val="00F20D7D"/>
    <w:rsid w:val="00F20DF6"/>
    <w:rsid w:val="00F20F23"/>
    <w:rsid w:val="00F20FE7"/>
    <w:rsid w:val="00F21043"/>
    <w:rsid w:val="00F212AD"/>
    <w:rsid w:val="00F213A1"/>
    <w:rsid w:val="00F21481"/>
    <w:rsid w:val="00F2184F"/>
    <w:rsid w:val="00F2187D"/>
    <w:rsid w:val="00F21A87"/>
    <w:rsid w:val="00F21AC7"/>
    <w:rsid w:val="00F21B75"/>
    <w:rsid w:val="00F21B82"/>
    <w:rsid w:val="00F21CC4"/>
    <w:rsid w:val="00F21D68"/>
    <w:rsid w:val="00F21D73"/>
    <w:rsid w:val="00F21DC4"/>
    <w:rsid w:val="00F21E17"/>
    <w:rsid w:val="00F21F0C"/>
    <w:rsid w:val="00F21F81"/>
    <w:rsid w:val="00F22036"/>
    <w:rsid w:val="00F22106"/>
    <w:rsid w:val="00F221A3"/>
    <w:rsid w:val="00F221D2"/>
    <w:rsid w:val="00F221DF"/>
    <w:rsid w:val="00F222E8"/>
    <w:rsid w:val="00F22343"/>
    <w:rsid w:val="00F22422"/>
    <w:rsid w:val="00F2244B"/>
    <w:rsid w:val="00F22454"/>
    <w:rsid w:val="00F224C4"/>
    <w:rsid w:val="00F22551"/>
    <w:rsid w:val="00F2257A"/>
    <w:rsid w:val="00F22673"/>
    <w:rsid w:val="00F22795"/>
    <w:rsid w:val="00F2279C"/>
    <w:rsid w:val="00F227DF"/>
    <w:rsid w:val="00F22819"/>
    <w:rsid w:val="00F22A50"/>
    <w:rsid w:val="00F22AA5"/>
    <w:rsid w:val="00F22ADA"/>
    <w:rsid w:val="00F22AF7"/>
    <w:rsid w:val="00F22B3A"/>
    <w:rsid w:val="00F22B9B"/>
    <w:rsid w:val="00F22BF3"/>
    <w:rsid w:val="00F22C00"/>
    <w:rsid w:val="00F22C1C"/>
    <w:rsid w:val="00F22CAE"/>
    <w:rsid w:val="00F22D80"/>
    <w:rsid w:val="00F22DE3"/>
    <w:rsid w:val="00F22F09"/>
    <w:rsid w:val="00F22F77"/>
    <w:rsid w:val="00F23001"/>
    <w:rsid w:val="00F2324F"/>
    <w:rsid w:val="00F23269"/>
    <w:rsid w:val="00F23299"/>
    <w:rsid w:val="00F235FD"/>
    <w:rsid w:val="00F236A4"/>
    <w:rsid w:val="00F236BB"/>
    <w:rsid w:val="00F236C6"/>
    <w:rsid w:val="00F236F0"/>
    <w:rsid w:val="00F23758"/>
    <w:rsid w:val="00F238F0"/>
    <w:rsid w:val="00F2391B"/>
    <w:rsid w:val="00F239C2"/>
    <w:rsid w:val="00F23D3D"/>
    <w:rsid w:val="00F23F91"/>
    <w:rsid w:val="00F24073"/>
    <w:rsid w:val="00F240ED"/>
    <w:rsid w:val="00F24285"/>
    <w:rsid w:val="00F24299"/>
    <w:rsid w:val="00F24338"/>
    <w:rsid w:val="00F243DD"/>
    <w:rsid w:val="00F2455D"/>
    <w:rsid w:val="00F24611"/>
    <w:rsid w:val="00F246A3"/>
    <w:rsid w:val="00F2478B"/>
    <w:rsid w:val="00F24793"/>
    <w:rsid w:val="00F248E2"/>
    <w:rsid w:val="00F24AE7"/>
    <w:rsid w:val="00F24AFB"/>
    <w:rsid w:val="00F24B56"/>
    <w:rsid w:val="00F24BCC"/>
    <w:rsid w:val="00F24CBF"/>
    <w:rsid w:val="00F24DA0"/>
    <w:rsid w:val="00F24DE4"/>
    <w:rsid w:val="00F24FC0"/>
    <w:rsid w:val="00F25183"/>
    <w:rsid w:val="00F25243"/>
    <w:rsid w:val="00F25383"/>
    <w:rsid w:val="00F253B9"/>
    <w:rsid w:val="00F2552B"/>
    <w:rsid w:val="00F25571"/>
    <w:rsid w:val="00F2565D"/>
    <w:rsid w:val="00F2576C"/>
    <w:rsid w:val="00F25787"/>
    <w:rsid w:val="00F2598E"/>
    <w:rsid w:val="00F25B56"/>
    <w:rsid w:val="00F25C5B"/>
    <w:rsid w:val="00F25CAE"/>
    <w:rsid w:val="00F25D9A"/>
    <w:rsid w:val="00F25DC7"/>
    <w:rsid w:val="00F25EA9"/>
    <w:rsid w:val="00F25EEC"/>
    <w:rsid w:val="00F25FA9"/>
    <w:rsid w:val="00F25FBE"/>
    <w:rsid w:val="00F26072"/>
    <w:rsid w:val="00F26191"/>
    <w:rsid w:val="00F26237"/>
    <w:rsid w:val="00F2638E"/>
    <w:rsid w:val="00F264FE"/>
    <w:rsid w:val="00F26524"/>
    <w:rsid w:val="00F2652D"/>
    <w:rsid w:val="00F265B8"/>
    <w:rsid w:val="00F266EE"/>
    <w:rsid w:val="00F268EB"/>
    <w:rsid w:val="00F269ED"/>
    <w:rsid w:val="00F26B0B"/>
    <w:rsid w:val="00F26B8B"/>
    <w:rsid w:val="00F26CBE"/>
    <w:rsid w:val="00F26CF1"/>
    <w:rsid w:val="00F26D09"/>
    <w:rsid w:val="00F26D8C"/>
    <w:rsid w:val="00F26DB9"/>
    <w:rsid w:val="00F26E29"/>
    <w:rsid w:val="00F26E36"/>
    <w:rsid w:val="00F26E45"/>
    <w:rsid w:val="00F26EEA"/>
    <w:rsid w:val="00F27068"/>
    <w:rsid w:val="00F27184"/>
    <w:rsid w:val="00F272AF"/>
    <w:rsid w:val="00F27305"/>
    <w:rsid w:val="00F2732A"/>
    <w:rsid w:val="00F273A4"/>
    <w:rsid w:val="00F2740F"/>
    <w:rsid w:val="00F27512"/>
    <w:rsid w:val="00F27777"/>
    <w:rsid w:val="00F27800"/>
    <w:rsid w:val="00F27A6B"/>
    <w:rsid w:val="00F27AD2"/>
    <w:rsid w:val="00F27AD3"/>
    <w:rsid w:val="00F27B85"/>
    <w:rsid w:val="00F27BAA"/>
    <w:rsid w:val="00F27CFB"/>
    <w:rsid w:val="00F27D25"/>
    <w:rsid w:val="00F27D64"/>
    <w:rsid w:val="00F27E1C"/>
    <w:rsid w:val="00F27E5B"/>
    <w:rsid w:val="00F27E71"/>
    <w:rsid w:val="00F27E9D"/>
    <w:rsid w:val="00F27EFB"/>
    <w:rsid w:val="00F27F3B"/>
    <w:rsid w:val="00F30106"/>
    <w:rsid w:val="00F3011B"/>
    <w:rsid w:val="00F30336"/>
    <w:rsid w:val="00F3043D"/>
    <w:rsid w:val="00F304C1"/>
    <w:rsid w:val="00F305A2"/>
    <w:rsid w:val="00F3067A"/>
    <w:rsid w:val="00F306F1"/>
    <w:rsid w:val="00F30792"/>
    <w:rsid w:val="00F3081D"/>
    <w:rsid w:val="00F30836"/>
    <w:rsid w:val="00F3087B"/>
    <w:rsid w:val="00F3088B"/>
    <w:rsid w:val="00F308DE"/>
    <w:rsid w:val="00F30926"/>
    <w:rsid w:val="00F309D5"/>
    <w:rsid w:val="00F30A0C"/>
    <w:rsid w:val="00F30A1C"/>
    <w:rsid w:val="00F30A24"/>
    <w:rsid w:val="00F30A73"/>
    <w:rsid w:val="00F30AA6"/>
    <w:rsid w:val="00F30AAB"/>
    <w:rsid w:val="00F30B89"/>
    <w:rsid w:val="00F30C4A"/>
    <w:rsid w:val="00F30C95"/>
    <w:rsid w:val="00F30D67"/>
    <w:rsid w:val="00F30EB9"/>
    <w:rsid w:val="00F30EDF"/>
    <w:rsid w:val="00F3108D"/>
    <w:rsid w:val="00F310FF"/>
    <w:rsid w:val="00F311EE"/>
    <w:rsid w:val="00F311FD"/>
    <w:rsid w:val="00F31202"/>
    <w:rsid w:val="00F312FB"/>
    <w:rsid w:val="00F31345"/>
    <w:rsid w:val="00F31382"/>
    <w:rsid w:val="00F31416"/>
    <w:rsid w:val="00F3158E"/>
    <w:rsid w:val="00F315C4"/>
    <w:rsid w:val="00F3176A"/>
    <w:rsid w:val="00F31A00"/>
    <w:rsid w:val="00F31A4D"/>
    <w:rsid w:val="00F31ACF"/>
    <w:rsid w:val="00F31B27"/>
    <w:rsid w:val="00F31B3C"/>
    <w:rsid w:val="00F31BBB"/>
    <w:rsid w:val="00F31BD3"/>
    <w:rsid w:val="00F31D5C"/>
    <w:rsid w:val="00F31E7D"/>
    <w:rsid w:val="00F31FD6"/>
    <w:rsid w:val="00F32003"/>
    <w:rsid w:val="00F32058"/>
    <w:rsid w:val="00F320FF"/>
    <w:rsid w:val="00F3215B"/>
    <w:rsid w:val="00F32170"/>
    <w:rsid w:val="00F32206"/>
    <w:rsid w:val="00F32245"/>
    <w:rsid w:val="00F322CA"/>
    <w:rsid w:val="00F32307"/>
    <w:rsid w:val="00F3236D"/>
    <w:rsid w:val="00F32405"/>
    <w:rsid w:val="00F3247A"/>
    <w:rsid w:val="00F32483"/>
    <w:rsid w:val="00F3249D"/>
    <w:rsid w:val="00F32572"/>
    <w:rsid w:val="00F325B0"/>
    <w:rsid w:val="00F325B6"/>
    <w:rsid w:val="00F325D3"/>
    <w:rsid w:val="00F32635"/>
    <w:rsid w:val="00F32715"/>
    <w:rsid w:val="00F32744"/>
    <w:rsid w:val="00F32814"/>
    <w:rsid w:val="00F3296C"/>
    <w:rsid w:val="00F329C1"/>
    <w:rsid w:val="00F32A4E"/>
    <w:rsid w:val="00F32C5C"/>
    <w:rsid w:val="00F32CF2"/>
    <w:rsid w:val="00F32DAF"/>
    <w:rsid w:val="00F32F8F"/>
    <w:rsid w:val="00F32FD4"/>
    <w:rsid w:val="00F33083"/>
    <w:rsid w:val="00F33117"/>
    <w:rsid w:val="00F3316A"/>
    <w:rsid w:val="00F331C4"/>
    <w:rsid w:val="00F331F5"/>
    <w:rsid w:val="00F33239"/>
    <w:rsid w:val="00F3327A"/>
    <w:rsid w:val="00F3334F"/>
    <w:rsid w:val="00F33419"/>
    <w:rsid w:val="00F33431"/>
    <w:rsid w:val="00F33621"/>
    <w:rsid w:val="00F3366B"/>
    <w:rsid w:val="00F336FD"/>
    <w:rsid w:val="00F3374E"/>
    <w:rsid w:val="00F33922"/>
    <w:rsid w:val="00F3395C"/>
    <w:rsid w:val="00F33A61"/>
    <w:rsid w:val="00F33AA0"/>
    <w:rsid w:val="00F33E83"/>
    <w:rsid w:val="00F33EF0"/>
    <w:rsid w:val="00F340D8"/>
    <w:rsid w:val="00F34302"/>
    <w:rsid w:val="00F34365"/>
    <w:rsid w:val="00F34391"/>
    <w:rsid w:val="00F3443E"/>
    <w:rsid w:val="00F3448F"/>
    <w:rsid w:val="00F344A0"/>
    <w:rsid w:val="00F34523"/>
    <w:rsid w:val="00F34590"/>
    <w:rsid w:val="00F345C8"/>
    <w:rsid w:val="00F346AE"/>
    <w:rsid w:val="00F3475E"/>
    <w:rsid w:val="00F34763"/>
    <w:rsid w:val="00F347C0"/>
    <w:rsid w:val="00F34848"/>
    <w:rsid w:val="00F349E8"/>
    <w:rsid w:val="00F34A0E"/>
    <w:rsid w:val="00F34A1C"/>
    <w:rsid w:val="00F34AEC"/>
    <w:rsid w:val="00F34B94"/>
    <w:rsid w:val="00F34C32"/>
    <w:rsid w:val="00F34DDD"/>
    <w:rsid w:val="00F34E79"/>
    <w:rsid w:val="00F34EAA"/>
    <w:rsid w:val="00F34FB8"/>
    <w:rsid w:val="00F350D0"/>
    <w:rsid w:val="00F35280"/>
    <w:rsid w:val="00F352EF"/>
    <w:rsid w:val="00F3530B"/>
    <w:rsid w:val="00F35374"/>
    <w:rsid w:val="00F35694"/>
    <w:rsid w:val="00F35738"/>
    <w:rsid w:val="00F35772"/>
    <w:rsid w:val="00F35873"/>
    <w:rsid w:val="00F358A2"/>
    <w:rsid w:val="00F358C7"/>
    <w:rsid w:val="00F35945"/>
    <w:rsid w:val="00F359F9"/>
    <w:rsid w:val="00F35A4E"/>
    <w:rsid w:val="00F35AB2"/>
    <w:rsid w:val="00F35AE2"/>
    <w:rsid w:val="00F35B3B"/>
    <w:rsid w:val="00F35BB4"/>
    <w:rsid w:val="00F35CCF"/>
    <w:rsid w:val="00F35E50"/>
    <w:rsid w:val="00F35EA6"/>
    <w:rsid w:val="00F35F56"/>
    <w:rsid w:val="00F35F8C"/>
    <w:rsid w:val="00F3601C"/>
    <w:rsid w:val="00F363F8"/>
    <w:rsid w:val="00F36405"/>
    <w:rsid w:val="00F36439"/>
    <w:rsid w:val="00F364B6"/>
    <w:rsid w:val="00F365DE"/>
    <w:rsid w:val="00F3666C"/>
    <w:rsid w:val="00F3683F"/>
    <w:rsid w:val="00F36874"/>
    <w:rsid w:val="00F36908"/>
    <w:rsid w:val="00F369CE"/>
    <w:rsid w:val="00F369D7"/>
    <w:rsid w:val="00F369EE"/>
    <w:rsid w:val="00F36A6A"/>
    <w:rsid w:val="00F36A79"/>
    <w:rsid w:val="00F36AFC"/>
    <w:rsid w:val="00F36B94"/>
    <w:rsid w:val="00F36C65"/>
    <w:rsid w:val="00F36CB3"/>
    <w:rsid w:val="00F36CFD"/>
    <w:rsid w:val="00F36D30"/>
    <w:rsid w:val="00F36D70"/>
    <w:rsid w:val="00F37006"/>
    <w:rsid w:val="00F370E5"/>
    <w:rsid w:val="00F370F4"/>
    <w:rsid w:val="00F3734E"/>
    <w:rsid w:val="00F373BE"/>
    <w:rsid w:val="00F373E2"/>
    <w:rsid w:val="00F37449"/>
    <w:rsid w:val="00F374DA"/>
    <w:rsid w:val="00F37656"/>
    <w:rsid w:val="00F3768D"/>
    <w:rsid w:val="00F376D5"/>
    <w:rsid w:val="00F37738"/>
    <w:rsid w:val="00F37884"/>
    <w:rsid w:val="00F378E5"/>
    <w:rsid w:val="00F37952"/>
    <w:rsid w:val="00F37AC3"/>
    <w:rsid w:val="00F37CEC"/>
    <w:rsid w:val="00F37E9A"/>
    <w:rsid w:val="00F37ECE"/>
    <w:rsid w:val="00F37FBF"/>
    <w:rsid w:val="00F37FC5"/>
    <w:rsid w:val="00F4002A"/>
    <w:rsid w:val="00F400E6"/>
    <w:rsid w:val="00F400F4"/>
    <w:rsid w:val="00F400FE"/>
    <w:rsid w:val="00F401E8"/>
    <w:rsid w:val="00F4021B"/>
    <w:rsid w:val="00F403B3"/>
    <w:rsid w:val="00F403DD"/>
    <w:rsid w:val="00F4041B"/>
    <w:rsid w:val="00F40495"/>
    <w:rsid w:val="00F4050B"/>
    <w:rsid w:val="00F406D9"/>
    <w:rsid w:val="00F4078C"/>
    <w:rsid w:val="00F4086F"/>
    <w:rsid w:val="00F408E9"/>
    <w:rsid w:val="00F40A7A"/>
    <w:rsid w:val="00F40B20"/>
    <w:rsid w:val="00F40CD4"/>
    <w:rsid w:val="00F40E06"/>
    <w:rsid w:val="00F40E3A"/>
    <w:rsid w:val="00F40EAF"/>
    <w:rsid w:val="00F40F16"/>
    <w:rsid w:val="00F40F57"/>
    <w:rsid w:val="00F40FE5"/>
    <w:rsid w:val="00F4100C"/>
    <w:rsid w:val="00F41082"/>
    <w:rsid w:val="00F410E0"/>
    <w:rsid w:val="00F41200"/>
    <w:rsid w:val="00F41211"/>
    <w:rsid w:val="00F412BB"/>
    <w:rsid w:val="00F412BF"/>
    <w:rsid w:val="00F41348"/>
    <w:rsid w:val="00F413BD"/>
    <w:rsid w:val="00F413CC"/>
    <w:rsid w:val="00F413D9"/>
    <w:rsid w:val="00F4141B"/>
    <w:rsid w:val="00F414A9"/>
    <w:rsid w:val="00F415FC"/>
    <w:rsid w:val="00F4163C"/>
    <w:rsid w:val="00F41859"/>
    <w:rsid w:val="00F4186F"/>
    <w:rsid w:val="00F4188C"/>
    <w:rsid w:val="00F418B6"/>
    <w:rsid w:val="00F418E5"/>
    <w:rsid w:val="00F419DC"/>
    <w:rsid w:val="00F41A8B"/>
    <w:rsid w:val="00F41B34"/>
    <w:rsid w:val="00F41B52"/>
    <w:rsid w:val="00F41B66"/>
    <w:rsid w:val="00F41DED"/>
    <w:rsid w:val="00F41E24"/>
    <w:rsid w:val="00F4208F"/>
    <w:rsid w:val="00F420D3"/>
    <w:rsid w:val="00F42133"/>
    <w:rsid w:val="00F4226B"/>
    <w:rsid w:val="00F423BA"/>
    <w:rsid w:val="00F423CA"/>
    <w:rsid w:val="00F424ED"/>
    <w:rsid w:val="00F425B6"/>
    <w:rsid w:val="00F425C5"/>
    <w:rsid w:val="00F42669"/>
    <w:rsid w:val="00F428E2"/>
    <w:rsid w:val="00F4292D"/>
    <w:rsid w:val="00F42A07"/>
    <w:rsid w:val="00F42A44"/>
    <w:rsid w:val="00F42BD4"/>
    <w:rsid w:val="00F42C5D"/>
    <w:rsid w:val="00F42CFE"/>
    <w:rsid w:val="00F42D4D"/>
    <w:rsid w:val="00F42D65"/>
    <w:rsid w:val="00F42D86"/>
    <w:rsid w:val="00F42D95"/>
    <w:rsid w:val="00F42E15"/>
    <w:rsid w:val="00F42E4A"/>
    <w:rsid w:val="00F42E4C"/>
    <w:rsid w:val="00F42F6B"/>
    <w:rsid w:val="00F42FC9"/>
    <w:rsid w:val="00F42FF8"/>
    <w:rsid w:val="00F430A0"/>
    <w:rsid w:val="00F4313B"/>
    <w:rsid w:val="00F43153"/>
    <w:rsid w:val="00F43207"/>
    <w:rsid w:val="00F43328"/>
    <w:rsid w:val="00F433B0"/>
    <w:rsid w:val="00F4347E"/>
    <w:rsid w:val="00F43493"/>
    <w:rsid w:val="00F435FD"/>
    <w:rsid w:val="00F4363B"/>
    <w:rsid w:val="00F43718"/>
    <w:rsid w:val="00F43833"/>
    <w:rsid w:val="00F438EC"/>
    <w:rsid w:val="00F43987"/>
    <w:rsid w:val="00F439CC"/>
    <w:rsid w:val="00F439F6"/>
    <w:rsid w:val="00F43A51"/>
    <w:rsid w:val="00F43AAF"/>
    <w:rsid w:val="00F43BB5"/>
    <w:rsid w:val="00F43BDD"/>
    <w:rsid w:val="00F43C03"/>
    <w:rsid w:val="00F43C3D"/>
    <w:rsid w:val="00F43C5D"/>
    <w:rsid w:val="00F43CB1"/>
    <w:rsid w:val="00F43D29"/>
    <w:rsid w:val="00F43DF5"/>
    <w:rsid w:val="00F43E36"/>
    <w:rsid w:val="00F43EA3"/>
    <w:rsid w:val="00F43F93"/>
    <w:rsid w:val="00F43FE4"/>
    <w:rsid w:val="00F4408C"/>
    <w:rsid w:val="00F4416E"/>
    <w:rsid w:val="00F44290"/>
    <w:rsid w:val="00F44355"/>
    <w:rsid w:val="00F443D5"/>
    <w:rsid w:val="00F443EE"/>
    <w:rsid w:val="00F4441E"/>
    <w:rsid w:val="00F4457C"/>
    <w:rsid w:val="00F4461F"/>
    <w:rsid w:val="00F449D7"/>
    <w:rsid w:val="00F44A6D"/>
    <w:rsid w:val="00F44B7F"/>
    <w:rsid w:val="00F44BBD"/>
    <w:rsid w:val="00F44D74"/>
    <w:rsid w:val="00F44D7E"/>
    <w:rsid w:val="00F44EC8"/>
    <w:rsid w:val="00F44EF5"/>
    <w:rsid w:val="00F44FBA"/>
    <w:rsid w:val="00F44FDC"/>
    <w:rsid w:val="00F4503A"/>
    <w:rsid w:val="00F450A8"/>
    <w:rsid w:val="00F4515F"/>
    <w:rsid w:val="00F45215"/>
    <w:rsid w:val="00F452C0"/>
    <w:rsid w:val="00F4537A"/>
    <w:rsid w:val="00F453EB"/>
    <w:rsid w:val="00F456E9"/>
    <w:rsid w:val="00F4570F"/>
    <w:rsid w:val="00F458F6"/>
    <w:rsid w:val="00F45992"/>
    <w:rsid w:val="00F459C3"/>
    <w:rsid w:val="00F45CAA"/>
    <w:rsid w:val="00F45D36"/>
    <w:rsid w:val="00F45DD4"/>
    <w:rsid w:val="00F45EE6"/>
    <w:rsid w:val="00F45EF3"/>
    <w:rsid w:val="00F45F1C"/>
    <w:rsid w:val="00F45F83"/>
    <w:rsid w:val="00F45FAD"/>
    <w:rsid w:val="00F46046"/>
    <w:rsid w:val="00F4607F"/>
    <w:rsid w:val="00F4616A"/>
    <w:rsid w:val="00F46238"/>
    <w:rsid w:val="00F462D9"/>
    <w:rsid w:val="00F462EF"/>
    <w:rsid w:val="00F46342"/>
    <w:rsid w:val="00F46348"/>
    <w:rsid w:val="00F463FD"/>
    <w:rsid w:val="00F46400"/>
    <w:rsid w:val="00F46506"/>
    <w:rsid w:val="00F46986"/>
    <w:rsid w:val="00F469D8"/>
    <w:rsid w:val="00F46BA2"/>
    <w:rsid w:val="00F46C05"/>
    <w:rsid w:val="00F46C1F"/>
    <w:rsid w:val="00F46D9A"/>
    <w:rsid w:val="00F46DCB"/>
    <w:rsid w:val="00F46E39"/>
    <w:rsid w:val="00F46E3C"/>
    <w:rsid w:val="00F46E46"/>
    <w:rsid w:val="00F46EED"/>
    <w:rsid w:val="00F46F4E"/>
    <w:rsid w:val="00F47284"/>
    <w:rsid w:val="00F472AC"/>
    <w:rsid w:val="00F472FB"/>
    <w:rsid w:val="00F473C2"/>
    <w:rsid w:val="00F47679"/>
    <w:rsid w:val="00F476C2"/>
    <w:rsid w:val="00F477D7"/>
    <w:rsid w:val="00F47A24"/>
    <w:rsid w:val="00F47A3B"/>
    <w:rsid w:val="00F47B18"/>
    <w:rsid w:val="00F47CFA"/>
    <w:rsid w:val="00F47D10"/>
    <w:rsid w:val="00F47E32"/>
    <w:rsid w:val="00F47EED"/>
    <w:rsid w:val="00F50064"/>
    <w:rsid w:val="00F50153"/>
    <w:rsid w:val="00F50252"/>
    <w:rsid w:val="00F5026D"/>
    <w:rsid w:val="00F502A3"/>
    <w:rsid w:val="00F50305"/>
    <w:rsid w:val="00F50346"/>
    <w:rsid w:val="00F505E8"/>
    <w:rsid w:val="00F50674"/>
    <w:rsid w:val="00F507C8"/>
    <w:rsid w:val="00F507F2"/>
    <w:rsid w:val="00F50828"/>
    <w:rsid w:val="00F50A68"/>
    <w:rsid w:val="00F50A79"/>
    <w:rsid w:val="00F50BA0"/>
    <w:rsid w:val="00F50D2E"/>
    <w:rsid w:val="00F50DC6"/>
    <w:rsid w:val="00F50EE2"/>
    <w:rsid w:val="00F50F9B"/>
    <w:rsid w:val="00F50FD8"/>
    <w:rsid w:val="00F511B4"/>
    <w:rsid w:val="00F51444"/>
    <w:rsid w:val="00F51533"/>
    <w:rsid w:val="00F51587"/>
    <w:rsid w:val="00F51593"/>
    <w:rsid w:val="00F5165C"/>
    <w:rsid w:val="00F5188D"/>
    <w:rsid w:val="00F51AC4"/>
    <w:rsid w:val="00F51ADB"/>
    <w:rsid w:val="00F51BBC"/>
    <w:rsid w:val="00F51C1B"/>
    <w:rsid w:val="00F51CB6"/>
    <w:rsid w:val="00F51D29"/>
    <w:rsid w:val="00F51DAF"/>
    <w:rsid w:val="00F51EBE"/>
    <w:rsid w:val="00F51F21"/>
    <w:rsid w:val="00F52161"/>
    <w:rsid w:val="00F522B2"/>
    <w:rsid w:val="00F522D9"/>
    <w:rsid w:val="00F5248F"/>
    <w:rsid w:val="00F5262F"/>
    <w:rsid w:val="00F526B3"/>
    <w:rsid w:val="00F528FA"/>
    <w:rsid w:val="00F5293C"/>
    <w:rsid w:val="00F52981"/>
    <w:rsid w:val="00F52999"/>
    <w:rsid w:val="00F529E8"/>
    <w:rsid w:val="00F52A52"/>
    <w:rsid w:val="00F52B44"/>
    <w:rsid w:val="00F52BCB"/>
    <w:rsid w:val="00F52DC0"/>
    <w:rsid w:val="00F52E0D"/>
    <w:rsid w:val="00F52F61"/>
    <w:rsid w:val="00F53034"/>
    <w:rsid w:val="00F531ED"/>
    <w:rsid w:val="00F531F2"/>
    <w:rsid w:val="00F53235"/>
    <w:rsid w:val="00F5326D"/>
    <w:rsid w:val="00F532B3"/>
    <w:rsid w:val="00F533CB"/>
    <w:rsid w:val="00F5342F"/>
    <w:rsid w:val="00F535E1"/>
    <w:rsid w:val="00F5361E"/>
    <w:rsid w:val="00F53659"/>
    <w:rsid w:val="00F53714"/>
    <w:rsid w:val="00F537BF"/>
    <w:rsid w:val="00F5386E"/>
    <w:rsid w:val="00F5394C"/>
    <w:rsid w:val="00F539A7"/>
    <w:rsid w:val="00F53A4C"/>
    <w:rsid w:val="00F53AAE"/>
    <w:rsid w:val="00F53B93"/>
    <w:rsid w:val="00F53BBF"/>
    <w:rsid w:val="00F53C82"/>
    <w:rsid w:val="00F53C88"/>
    <w:rsid w:val="00F53D0A"/>
    <w:rsid w:val="00F53D28"/>
    <w:rsid w:val="00F53DCB"/>
    <w:rsid w:val="00F53E71"/>
    <w:rsid w:val="00F53F2F"/>
    <w:rsid w:val="00F53FEE"/>
    <w:rsid w:val="00F540A2"/>
    <w:rsid w:val="00F540AA"/>
    <w:rsid w:val="00F541A7"/>
    <w:rsid w:val="00F541B7"/>
    <w:rsid w:val="00F5420F"/>
    <w:rsid w:val="00F5430B"/>
    <w:rsid w:val="00F54336"/>
    <w:rsid w:val="00F54472"/>
    <w:rsid w:val="00F5447B"/>
    <w:rsid w:val="00F544E9"/>
    <w:rsid w:val="00F5471D"/>
    <w:rsid w:val="00F5477D"/>
    <w:rsid w:val="00F547DD"/>
    <w:rsid w:val="00F54921"/>
    <w:rsid w:val="00F54A46"/>
    <w:rsid w:val="00F54AE1"/>
    <w:rsid w:val="00F54B2D"/>
    <w:rsid w:val="00F54B54"/>
    <w:rsid w:val="00F54B7E"/>
    <w:rsid w:val="00F54BF2"/>
    <w:rsid w:val="00F54C54"/>
    <w:rsid w:val="00F54D10"/>
    <w:rsid w:val="00F54D85"/>
    <w:rsid w:val="00F54DFC"/>
    <w:rsid w:val="00F54EC0"/>
    <w:rsid w:val="00F550EE"/>
    <w:rsid w:val="00F55182"/>
    <w:rsid w:val="00F5519E"/>
    <w:rsid w:val="00F5533A"/>
    <w:rsid w:val="00F554E0"/>
    <w:rsid w:val="00F5554B"/>
    <w:rsid w:val="00F55575"/>
    <w:rsid w:val="00F55579"/>
    <w:rsid w:val="00F555A0"/>
    <w:rsid w:val="00F55681"/>
    <w:rsid w:val="00F556B2"/>
    <w:rsid w:val="00F556ED"/>
    <w:rsid w:val="00F55701"/>
    <w:rsid w:val="00F557B6"/>
    <w:rsid w:val="00F55861"/>
    <w:rsid w:val="00F55866"/>
    <w:rsid w:val="00F558D8"/>
    <w:rsid w:val="00F55A10"/>
    <w:rsid w:val="00F55A4B"/>
    <w:rsid w:val="00F55A51"/>
    <w:rsid w:val="00F55AB7"/>
    <w:rsid w:val="00F55D33"/>
    <w:rsid w:val="00F55E5D"/>
    <w:rsid w:val="00F55F05"/>
    <w:rsid w:val="00F55F16"/>
    <w:rsid w:val="00F55F1E"/>
    <w:rsid w:val="00F55F71"/>
    <w:rsid w:val="00F5601C"/>
    <w:rsid w:val="00F56258"/>
    <w:rsid w:val="00F5631D"/>
    <w:rsid w:val="00F56338"/>
    <w:rsid w:val="00F56361"/>
    <w:rsid w:val="00F564B6"/>
    <w:rsid w:val="00F564C3"/>
    <w:rsid w:val="00F564E6"/>
    <w:rsid w:val="00F565F2"/>
    <w:rsid w:val="00F56660"/>
    <w:rsid w:val="00F566E6"/>
    <w:rsid w:val="00F56701"/>
    <w:rsid w:val="00F56823"/>
    <w:rsid w:val="00F568EF"/>
    <w:rsid w:val="00F56A91"/>
    <w:rsid w:val="00F56BBB"/>
    <w:rsid w:val="00F56D92"/>
    <w:rsid w:val="00F56DDA"/>
    <w:rsid w:val="00F56E74"/>
    <w:rsid w:val="00F56FDB"/>
    <w:rsid w:val="00F57037"/>
    <w:rsid w:val="00F5713C"/>
    <w:rsid w:val="00F57150"/>
    <w:rsid w:val="00F57187"/>
    <w:rsid w:val="00F572CA"/>
    <w:rsid w:val="00F5731E"/>
    <w:rsid w:val="00F57382"/>
    <w:rsid w:val="00F57526"/>
    <w:rsid w:val="00F57550"/>
    <w:rsid w:val="00F5757D"/>
    <w:rsid w:val="00F575E9"/>
    <w:rsid w:val="00F575EE"/>
    <w:rsid w:val="00F575F1"/>
    <w:rsid w:val="00F576B8"/>
    <w:rsid w:val="00F57738"/>
    <w:rsid w:val="00F5778A"/>
    <w:rsid w:val="00F577C9"/>
    <w:rsid w:val="00F57841"/>
    <w:rsid w:val="00F5798B"/>
    <w:rsid w:val="00F57AD0"/>
    <w:rsid w:val="00F57B6A"/>
    <w:rsid w:val="00F57BAD"/>
    <w:rsid w:val="00F57C8C"/>
    <w:rsid w:val="00F57D90"/>
    <w:rsid w:val="00F57E89"/>
    <w:rsid w:val="00F57E9D"/>
    <w:rsid w:val="00F57FE9"/>
    <w:rsid w:val="00F600AE"/>
    <w:rsid w:val="00F600B7"/>
    <w:rsid w:val="00F60127"/>
    <w:rsid w:val="00F6013A"/>
    <w:rsid w:val="00F60275"/>
    <w:rsid w:val="00F602B5"/>
    <w:rsid w:val="00F602EA"/>
    <w:rsid w:val="00F60325"/>
    <w:rsid w:val="00F6033C"/>
    <w:rsid w:val="00F60343"/>
    <w:rsid w:val="00F60413"/>
    <w:rsid w:val="00F6045E"/>
    <w:rsid w:val="00F6048F"/>
    <w:rsid w:val="00F60520"/>
    <w:rsid w:val="00F60526"/>
    <w:rsid w:val="00F60708"/>
    <w:rsid w:val="00F6079B"/>
    <w:rsid w:val="00F608CB"/>
    <w:rsid w:val="00F609B8"/>
    <w:rsid w:val="00F609EB"/>
    <w:rsid w:val="00F609F3"/>
    <w:rsid w:val="00F60A77"/>
    <w:rsid w:val="00F60AA3"/>
    <w:rsid w:val="00F60AAE"/>
    <w:rsid w:val="00F60BD0"/>
    <w:rsid w:val="00F60C26"/>
    <w:rsid w:val="00F60D09"/>
    <w:rsid w:val="00F60D44"/>
    <w:rsid w:val="00F60DA4"/>
    <w:rsid w:val="00F60DA7"/>
    <w:rsid w:val="00F60E40"/>
    <w:rsid w:val="00F60ED2"/>
    <w:rsid w:val="00F60FAE"/>
    <w:rsid w:val="00F61026"/>
    <w:rsid w:val="00F61089"/>
    <w:rsid w:val="00F61090"/>
    <w:rsid w:val="00F61218"/>
    <w:rsid w:val="00F6129A"/>
    <w:rsid w:val="00F613AB"/>
    <w:rsid w:val="00F61484"/>
    <w:rsid w:val="00F614EB"/>
    <w:rsid w:val="00F61591"/>
    <w:rsid w:val="00F615B0"/>
    <w:rsid w:val="00F6163B"/>
    <w:rsid w:val="00F61662"/>
    <w:rsid w:val="00F61677"/>
    <w:rsid w:val="00F617E5"/>
    <w:rsid w:val="00F617EF"/>
    <w:rsid w:val="00F618CD"/>
    <w:rsid w:val="00F618E3"/>
    <w:rsid w:val="00F61911"/>
    <w:rsid w:val="00F6199F"/>
    <w:rsid w:val="00F61A00"/>
    <w:rsid w:val="00F61A74"/>
    <w:rsid w:val="00F61A99"/>
    <w:rsid w:val="00F61CBC"/>
    <w:rsid w:val="00F61D61"/>
    <w:rsid w:val="00F61D83"/>
    <w:rsid w:val="00F61DB3"/>
    <w:rsid w:val="00F61DB5"/>
    <w:rsid w:val="00F61E7D"/>
    <w:rsid w:val="00F62056"/>
    <w:rsid w:val="00F620E1"/>
    <w:rsid w:val="00F62103"/>
    <w:rsid w:val="00F62121"/>
    <w:rsid w:val="00F62143"/>
    <w:rsid w:val="00F621BF"/>
    <w:rsid w:val="00F6227E"/>
    <w:rsid w:val="00F623DD"/>
    <w:rsid w:val="00F624D1"/>
    <w:rsid w:val="00F625FF"/>
    <w:rsid w:val="00F6267B"/>
    <w:rsid w:val="00F62758"/>
    <w:rsid w:val="00F627ED"/>
    <w:rsid w:val="00F627F1"/>
    <w:rsid w:val="00F629B5"/>
    <w:rsid w:val="00F62A05"/>
    <w:rsid w:val="00F62AFE"/>
    <w:rsid w:val="00F62C74"/>
    <w:rsid w:val="00F62C84"/>
    <w:rsid w:val="00F62DAE"/>
    <w:rsid w:val="00F62DCB"/>
    <w:rsid w:val="00F62E83"/>
    <w:rsid w:val="00F62E95"/>
    <w:rsid w:val="00F62E9D"/>
    <w:rsid w:val="00F62EA8"/>
    <w:rsid w:val="00F62ECA"/>
    <w:rsid w:val="00F62FAB"/>
    <w:rsid w:val="00F63018"/>
    <w:rsid w:val="00F6316C"/>
    <w:rsid w:val="00F631BB"/>
    <w:rsid w:val="00F633F7"/>
    <w:rsid w:val="00F634ED"/>
    <w:rsid w:val="00F63507"/>
    <w:rsid w:val="00F63635"/>
    <w:rsid w:val="00F6366D"/>
    <w:rsid w:val="00F63764"/>
    <w:rsid w:val="00F637E8"/>
    <w:rsid w:val="00F63810"/>
    <w:rsid w:val="00F638A0"/>
    <w:rsid w:val="00F638A8"/>
    <w:rsid w:val="00F638B0"/>
    <w:rsid w:val="00F63934"/>
    <w:rsid w:val="00F639A2"/>
    <w:rsid w:val="00F639E2"/>
    <w:rsid w:val="00F63A89"/>
    <w:rsid w:val="00F63ABF"/>
    <w:rsid w:val="00F63ACE"/>
    <w:rsid w:val="00F63B24"/>
    <w:rsid w:val="00F63C27"/>
    <w:rsid w:val="00F63D69"/>
    <w:rsid w:val="00F63D75"/>
    <w:rsid w:val="00F63E3C"/>
    <w:rsid w:val="00F63E95"/>
    <w:rsid w:val="00F63EE9"/>
    <w:rsid w:val="00F6404A"/>
    <w:rsid w:val="00F64093"/>
    <w:rsid w:val="00F6409C"/>
    <w:rsid w:val="00F6417E"/>
    <w:rsid w:val="00F641D9"/>
    <w:rsid w:val="00F64228"/>
    <w:rsid w:val="00F64265"/>
    <w:rsid w:val="00F642B6"/>
    <w:rsid w:val="00F643AE"/>
    <w:rsid w:val="00F643E9"/>
    <w:rsid w:val="00F64406"/>
    <w:rsid w:val="00F6442D"/>
    <w:rsid w:val="00F6445F"/>
    <w:rsid w:val="00F6457C"/>
    <w:rsid w:val="00F645BB"/>
    <w:rsid w:val="00F64604"/>
    <w:rsid w:val="00F64605"/>
    <w:rsid w:val="00F6462F"/>
    <w:rsid w:val="00F647C8"/>
    <w:rsid w:val="00F6484D"/>
    <w:rsid w:val="00F64875"/>
    <w:rsid w:val="00F649B1"/>
    <w:rsid w:val="00F64A41"/>
    <w:rsid w:val="00F64B34"/>
    <w:rsid w:val="00F64C8E"/>
    <w:rsid w:val="00F64D54"/>
    <w:rsid w:val="00F64DCA"/>
    <w:rsid w:val="00F64EC3"/>
    <w:rsid w:val="00F64F46"/>
    <w:rsid w:val="00F64F5F"/>
    <w:rsid w:val="00F650D3"/>
    <w:rsid w:val="00F65208"/>
    <w:rsid w:val="00F65245"/>
    <w:rsid w:val="00F656FC"/>
    <w:rsid w:val="00F657B1"/>
    <w:rsid w:val="00F65892"/>
    <w:rsid w:val="00F659B1"/>
    <w:rsid w:val="00F659F5"/>
    <w:rsid w:val="00F65A66"/>
    <w:rsid w:val="00F65B89"/>
    <w:rsid w:val="00F65BBC"/>
    <w:rsid w:val="00F65C09"/>
    <w:rsid w:val="00F65D1E"/>
    <w:rsid w:val="00F65DF3"/>
    <w:rsid w:val="00F65E42"/>
    <w:rsid w:val="00F65EE9"/>
    <w:rsid w:val="00F6605C"/>
    <w:rsid w:val="00F662D0"/>
    <w:rsid w:val="00F66300"/>
    <w:rsid w:val="00F66306"/>
    <w:rsid w:val="00F66358"/>
    <w:rsid w:val="00F66362"/>
    <w:rsid w:val="00F663F3"/>
    <w:rsid w:val="00F66556"/>
    <w:rsid w:val="00F66570"/>
    <w:rsid w:val="00F667FB"/>
    <w:rsid w:val="00F66910"/>
    <w:rsid w:val="00F66A00"/>
    <w:rsid w:val="00F66AA3"/>
    <w:rsid w:val="00F66AAD"/>
    <w:rsid w:val="00F66B7E"/>
    <w:rsid w:val="00F66BDC"/>
    <w:rsid w:val="00F66C27"/>
    <w:rsid w:val="00F66E06"/>
    <w:rsid w:val="00F66FE2"/>
    <w:rsid w:val="00F67085"/>
    <w:rsid w:val="00F671D5"/>
    <w:rsid w:val="00F67227"/>
    <w:rsid w:val="00F6734A"/>
    <w:rsid w:val="00F673B9"/>
    <w:rsid w:val="00F67596"/>
    <w:rsid w:val="00F67856"/>
    <w:rsid w:val="00F67A57"/>
    <w:rsid w:val="00F67AF1"/>
    <w:rsid w:val="00F67B25"/>
    <w:rsid w:val="00F67BAA"/>
    <w:rsid w:val="00F67BB2"/>
    <w:rsid w:val="00F67BFD"/>
    <w:rsid w:val="00F67BFF"/>
    <w:rsid w:val="00F67CA3"/>
    <w:rsid w:val="00F67D1C"/>
    <w:rsid w:val="00F67D29"/>
    <w:rsid w:val="00F67D5E"/>
    <w:rsid w:val="00F67E21"/>
    <w:rsid w:val="00F67E52"/>
    <w:rsid w:val="00F67F03"/>
    <w:rsid w:val="00F67F21"/>
    <w:rsid w:val="00F70043"/>
    <w:rsid w:val="00F7014A"/>
    <w:rsid w:val="00F7014F"/>
    <w:rsid w:val="00F70282"/>
    <w:rsid w:val="00F702AB"/>
    <w:rsid w:val="00F70421"/>
    <w:rsid w:val="00F70457"/>
    <w:rsid w:val="00F705E2"/>
    <w:rsid w:val="00F70745"/>
    <w:rsid w:val="00F70746"/>
    <w:rsid w:val="00F70766"/>
    <w:rsid w:val="00F707EE"/>
    <w:rsid w:val="00F70813"/>
    <w:rsid w:val="00F70871"/>
    <w:rsid w:val="00F708F8"/>
    <w:rsid w:val="00F7096D"/>
    <w:rsid w:val="00F709B2"/>
    <w:rsid w:val="00F70A8F"/>
    <w:rsid w:val="00F70BD5"/>
    <w:rsid w:val="00F70BE7"/>
    <w:rsid w:val="00F70DC5"/>
    <w:rsid w:val="00F70E81"/>
    <w:rsid w:val="00F70E9B"/>
    <w:rsid w:val="00F70F00"/>
    <w:rsid w:val="00F70FCA"/>
    <w:rsid w:val="00F7105F"/>
    <w:rsid w:val="00F71104"/>
    <w:rsid w:val="00F71126"/>
    <w:rsid w:val="00F71144"/>
    <w:rsid w:val="00F7114F"/>
    <w:rsid w:val="00F71170"/>
    <w:rsid w:val="00F7117E"/>
    <w:rsid w:val="00F71273"/>
    <w:rsid w:val="00F713D2"/>
    <w:rsid w:val="00F7148F"/>
    <w:rsid w:val="00F714B1"/>
    <w:rsid w:val="00F714C5"/>
    <w:rsid w:val="00F715CD"/>
    <w:rsid w:val="00F71749"/>
    <w:rsid w:val="00F7180F"/>
    <w:rsid w:val="00F718ED"/>
    <w:rsid w:val="00F718FE"/>
    <w:rsid w:val="00F71AB1"/>
    <w:rsid w:val="00F71B0E"/>
    <w:rsid w:val="00F71DAE"/>
    <w:rsid w:val="00F71DB4"/>
    <w:rsid w:val="00F71E66"/>
    <w:rsid w:val="00F71F16"/>
    <w:rsid w:val="00F71F5E"/>
    <w:rsid w:val="00F71FA9"/>
    <w:rsid w:val="00F71FF2"/>
    <w:rsid w:val="00F7210B"/>
    <w:rsid w:val="00F72187"/>
    <w:rsid w:val="00F721F4"/>
    <w:rsid w:val="00F7220F"/>
    <w:rsid w:val="00F723A3"/>
    <w:rsid w:val="00F72489"/>
    <w:rsid w:val="00F72518"/>
    <w:rsid w:val="00F7266B"/>
    <w:rsid w:val="00F72762"/>
    <w:rsid w:val="00F727EC"/>
    <w:rsid w:val="00F7289C"/>
    <w:rsid w:val="00F72935"/>
    <w:rsid w:val="00F72A3E"/>
    <w:rsid w:val="00F72AB1"/>
    <w:rsid w:val="00F72D9C"/>
    <w:rsid w:val="00F72DDF"/>
    <w:rsid w:val="00F72E16"/>
    <w:rsid w:val="00F72E68"/>
    <w:rsid w:val="00F72F1A"/>
    <w:rsid w:val="00F73002"/>
    <w:rsid w:val="00F73231"/>
    <w:rsid w:val="00F735BC"/>
    <w:rsid w:val="00F736E0"/>
    <w:rsid w:val="00F737CF"/>
    <w:rsid w:val="00F7384B"/>
    <w:rsid w:val="00F73891"/>
    <w:rsid w:val="00F738BA"/>
    <w:rsid w:val="00F739FE"/>
    <w:rsid w:val="00F73B3A"/>
    <w:rsid w:val="00F73D46"/>
    <w:rsid w:val="00F73E47"/>
    <w:rsid w:val="00F73E9C"/>
    <w:rsid w:val="00F73EFE"/>
    <w:rsid w:val="00F73F1C"/>
    <w:rsid w:val="00F74021"/>
    <w:rsid w:val="00F740E8"/>
    <w:rsid w:val="00F743DC"/>
    <w:rsid w:val="00F74421"/>
    <w:rsid w:val="00F7442B"/>
    <w:rsid w:val="00F74471"/>
    <w:rsid w:val="00F744D3"/>
    <w:rsid w:val="00F74625"/>
    <w:rsid w:val="00F746C4"/>
    <w:rsid w:val="00F746EB"/>
    <w:rsid w:val="00F7470F"/>
    <w:rsid w:val="00F74909"/>
    <w:rsid w:val="00F749D6"/>
    <w:rsid w:val="00F74B05"/>
    <w:rsid w:val="00F74B9B"/>
    <w:rsid w:val="00F74C5A"/>
    <w:rsid w:val="00F74C94"/>
    <w:rsid w:val="00F74D81"/>
    <w:rsid w:val="00F74DC3"/>
    <w:rsid w:val="00F74E46"/>
    <w:rsid w:val="00F74EE2"/>
    <w:rsid w:val="00F74EEC"/>
    <w:rsid w:val="00F75029"/>
    <w:rsid w:val="00F75094"/>
    <w:rsid w:val="00F750DE"/>
    <w:rsid w:val="00F75161"/>
    <w:rsid w:val="00F75411"/>
    <w:rsid w:val="00F7544A"/>
    <w:rsid w:val="00F755A4"/>
    <w:rsid w:val="00F755A8"/>
    <w:rsid w:val="00F756A2"/>
    <w:rsid w:val="00F758EF"/>
    <w:rsid w:val="00F759B1"/>
    <w:rsid w:val="00F759BD"/>
    <w:rsid w:val="00F75B72"/>
    <w:rsid w:val="00F75C53"/>
    <w:rsid w:val="00F75CA4"/>
    <w:rsid w:val="00F75D73"/>
    <w:rsid w:val="00F75E4E"/>
    <w:rsid w:val="00F75EA4"/>
    <w:rsid w:val="00F75EF7"/>
    <w:rsid w:val="00F75F65"/>
    <w:rsid w:val="00F75F68"/>
    <w:rsid w:val="00F75FAF"/>
    <w:rsid w:val="00F75FF7"/>
    <w:rsid w:val="00F76054"/>
    <w:rsid w:val="00F76132"/>
    <w:rsid w:val="00F762B4"/>
    <w:rsid w:val="00F762D7"/>
    <w:rsid w:val="00F762E9"/>
    <w:rsid w:val="00F76437"/>
    <w:rsid w:val="00F765BB"/>
    <w:rsid w:val="00F7675C"/>
    <w:rsid w:val="00F76772"/>
    <w:rsid w:val="00F767F5"/>
    <w:rsid w:val="00F76823"/>
    <w:rsid w:val="00F76862"/>
    <w:rsid w:val="00F76949"/>
    <w:rsid w:val="00F76A48"/>
    <w:rsid w:val="00F76AAB"/>
    <w:rsid w:val="00F76C3B"/>
    <w:rsid w:val="00F76DA2"/>
    <w:rsid w:val="00F76DCB"/>
    <w:rsid w:val="00F76E1A"/>
    <w:rsid w:val="00F76EF6"/>
    <w:rsid w:val="00F76FA7"/>
    <w:rsid w:val="00F76FB1"/>
    <w:rsid w:val="00F77016"/>
    <w:rsid w:val="00F77042"/>
    <w:rsid w:val="00F7705D"/>
    <w:rsid w:val="00F77076"/>
    <w:rsid w:val="00F770F2"/>
    <w:rsid w:val="00F77196"/>
    <w:rsid w:val="00F771E4"/>
    <w:rsid w:val="00F77231"/>
    <w:rsid w:val="00F7734C"/>
    <w:rsid w:val="00F77385"/>
    <w:rsid w:val="00F773DC"/>
    <w:rsid w:val="00F775A8"/>
    <w:rsid w:val="00F77724"/>
    <w:rsid w:val="00F77757"/>
    <w:rsid w:val="00F77801"/>
    <w:rsid w:val="00F778E6"/>
    <w:rsid w:val="00F7791E"/>
    <w:rsid w:val="00F77930"/>
    <w:rsid w:val="00F77981"/>
    <w:rsid w:val="00F77AAF"/>
    <w:rsid w:val="00F77AF4"/>
    <w:rsid w:val="00F77B19"/>
    <w:rsid w:val="00F77BC0"/>
    <w:rsid w:val="00F77C2E"/>
    <w:rsid w:val="00F77CB5"/>
    <w:rsid w:val="00F77D82"/>
    <w:rsid w:val="00F77D84"/>
    <w:rsid w:val="00F77DF3"/>
    <w:rsid w:val="00F77E7F"/>
    <w:rsid w:val="00F80074"/>
    <w:rsid w:val="00F800E9"/>
    <w:rsid w:val="00F80110"/>
    <w:rsid w:val="00F80172"/>
    <w:rsid w:val="00F801C2"/>
    <w:rsid w:val="00F801F7"/>
    <w:rsid w:val="00F802B6"/>
    <w:rsid w:val="00F802DF"/>
    <w:rsid w:val="00F80429"/>
    <w:rsid w:val="00F804CA"/>
    <w:rsid w:val="00F804EF"/>
    <w:rsid w:val="00F80564"/>
    <w:rsid w:val="00F80731"/>
    <w:rsid w:val="00F808CE"/>
    <w:rsid w:val="00F808EB"/>
    <w:rsid w:val="00F80920"/>
    <w:rsid w:val="00F8097D"/>
    <w:rsid w:val="00F809FC"/>
    <w:rsid w:val="00F80B65"/>
    <w:rsid w:val="00F80B80"/>
    <w:rsid w:val="00F80D15"/>
    <w:rsid w:val="00F80DD3"/>
    <w:rsid w:val="00F80DEC"/>
    <w:rsid w:val="00F80F03"/>
    <w:rsid w:val="00F80F4F"/>
    <w:rsid w:val="00F80F79"/>
    <w:rsid w:val="00F80F86"/>
    <w:rsid w:val="00F80FE7"/>
    <w:rsid w:val="00F81117"/>
    <w:rsid w:val="00F81218"/>
    <w:rsid w:val="00F8121E"/>
    <w:rsid w:val="00F81248"/>
    <w:rsid w:val="00F81473"/>
    <w:rsid w:val="00F8149D"/>
    <w:rsid w:val="00F814AB"/>
    <w:rsid w:val="00F814E5"/>
    <w:rsid w:val="00F81555"/>
    <w:rsid w:val="00F816AD"/>
    <w:rsid w:val="00F81885"/>
    <w:rsid w:val="00F81A16"/>
    <w:rsid w:val="00F81AA7"/>
    <w:rsid w:val="00F81B93"/>
    <w:rsid w:val="00F81B9C"/>
    <w:rsid w:val="00F81BC7"/>
    <w:rsid w:val="00F81D03"/>
    <w:rsid w:val="00F81D3A"/>
    <w:rsid w:val="00F81DC4"/>
    <w:rsid w:val="00F81DEB"/>
    <w:rsid w:val="00F81FEF"/>
    <w:rsid w:val="00F8205B"/>
    <w:rsid w:val="00F8206A"/>
    <w:rsid w:val="00F82080"/>
    <w:rsid w:val="00F820F9"/>
    <w:rsid w:val="00F8217E"/>
    <w:rsid w:val="00F82191"/>
    <w:rsid w:val="00F82203"/>
    <w:rsid w:val="00F8234B"/>
    <w:rsid w:val="00F82364"/>
    <w:rsid w:val="00F82436"/>
    <w:rsid w:val="00F824A9"/>
    <w:rsid w:val="00F824D8"/>
    <w:rsid w:val="00F82629"/>
    <w:rsid w:val="00F82696"/>
    <w:rsid w:val="00F827A8"/>
    <w:rsid w:val="00F827FA"/>
    <w:rsid w:val="00F828DF"/>
    <w:rsid w:val="00F82901"/>
    <w:rsid w:val="00F82921"/>
    <w:rsid w:val="00F82BC5"/>
    <w:rsid w:val="00F82CEA"/>
    <w:rsid w:val="00F82D05"/>
    <w:rsid w:val="00F82D1E"/>
    <w:rsid w:val="00F82D84"/>
    <w:rsid w:val="00F82DCC"/>
    <w:rsid w:val="00F82FD0"/>
    <w:rsid w:val="00F82FDF"/>
    <w:rsid w:val="00F82FF8"/>
    <w:rsid w:val="00F83037"/>
    <w:rsid w:val="00F832D6"/>
    <w:rsid w:val="00F832EB"/>
    <w:rsid w:val="00F83303"/>
    <w:rsid w:val="00F833E5"/>
    <w:rsid w:val="00F83488"/>
    <w:rsid w:val="00F834B9"/>
    <w:rsid w:val="00F834C9"/>
    <w:rsid w:val="00F8353B"/>
    <w:rsid w:val="00F8355E"/>
    <w:rsid w:val="00F8361D"/>
    <w:rsid w:val="00F83710"/>
    <w:rsid w:val="00F837F0"/>
    <w:rsid w:val="00F837F3"/>
    <w:rsid w:val="00F83806"/>
    <w:rsid w:val="00F8380D"/>
    <w:rsid w:val="00F83849"/>
    <w:rsid w:val="00F8384A"/>
    <w:rsid w:val="00F83855"/>
    <w:rsid w:val="00F838B6"/>
    <w:rsid w:val="00F8392C"/>
    <w:rsid w:val="00F839AA"/>
    <w:rsid w:val="00F83AD0"/>
    <w:rsid w:val="00F83BEA"/>
    <w:rsid w:val="00F83C9B"/>
    <w:rsid w:val="00F83CE8"/>
    <w:rsid w:val="00F83D37"/>
    <w:rsid w:val="00F83DFB"/>
    <w:rsid w:val="00F83EBE"/>
    <w:rsid w:val="00F83F76"/>
    <w:rsid w:val="00F8406E"/>
    <w:rsid w:val="00F840F7"/>
    <w:rsid w:val="00F84115"/>
    <w:rsid w:val="00F84387"/>
    <w:rsid w:val="00F84531"/>
    <w:rsid w:val="00F846F9"/>
    <w:rsid w:val="00F84775"/>
    <w:rsid w:val="00F848E5"/>
    <w:rsid w:val="00F848E7"/>
    <w:rsid w:val="00F84A41"/>
    <w:rsid w:val="00F84A90"/>
    <w:rsid w:val="00F84AAC"/>
    <w:rsid w:val="00F84BE4"/>
    <w:rsid w:val="00F84CD5"/>
    <w:rsid w:val="00F84CE6"/>
    <w:rsid w:val="00F84D43"/>
    <w:rsid w:val="00F84D4E"/>
    <w:rsid w:val="00F84D5D"/>
    <w:rsid w:val="00F84E6C"/>
    <w:rsid w:val="00F84EAB"/>
    <w:rsid w:val="00F84EB2"/>
    <w:rsid w:val="00F84F01"/>
    <w:rsid w:val="00F852B2"/>
    <w:rsid w:val="00F85355"/>
    <w:rsid w:val="00F8537F"/>
    <w:rsid w:val="00F853AD"/>
    <w:rsid w:val="00F854FC"/>
    <w:rsid w:val="00F8550D"/>
    <w:rsid w:val="00F85572"/>
    <w:rsid w:val="00F85596"/>
    <w:rsid w:val="00F855A3"/>
    <w:rsid w:val="00F855F1"/>
    <w:rsid w:val="00F85630"/>
    <w:rsid w:val="00F85667"/>
    <w:rsid w:val="00F857DB"/>
    <w:rsid w:val="00F857EB"/>
    <w:rsid w:val="00F8593A"/>
    <w:rsid w:val="00F85AD0"/>
    <w:rsid w:val="00F85AF3"/>
    <w:rsid w:val="00F85BE7"/>
    <w:rsid w:val="00F85C04"/>
    <w:rsid w:val="00F85C0C"/>
    <w:rsid w:val="00F85C30"/>
    <w:rsid w:val="00F85CBB"/>
    <w:rsid w:val="00F85CD3"/>
    <w:rsid w:val="00F85E0D"/>
    <w:rsid w:val="00F85E6F"/>
    <w:rsid w:val="00F85EAE"/>
    <w:rsid w:val="00F85F4A"/>
    <w:rsid w:val="00F86158"/>
    <w:rsid w:val="00F86342"/>
    <w:rsid w:val="00F863A0"/>
    <w:rsid w:val="00F86472"/>
    <w:rsid w:val="00F864DB"/>
    <w:rsid w:val="00F8655A"/>
    <w:rsid w:val="00F86569"/>
    <w:rsid w:val="00F865C4"/>
    <w:rsid w:val="00F865C8"/>
    <w:rsid w:val="00F86736"/>
    <w:rsid w:val="00F86737"/>
    <w:rsid w:val="00F867AF"/>
    <w:rsid w:val="00F86894"/>
    <w:rsid w:val="00F86B28"/>
    <w:rsid w:val="00F86B5B"/>
    <w:rsid w:val="00F86C00"/>
    <w:rsid w:val="00F86D36"/>
    <w:rsid w:val="00F86D68"/>
    <w:rsid w:val="00F86FA8"/>
    <w:rsid w:val="00F87108"/>
    <w:rsid w:val="00F871E2"/>
    <w:rsid w:val="00F873D9"/>
    <w:rsid w:val="00F8741A"/>
    <w:rsid w:val="00F874C9"/>
    <w:rsid w:val="00F87628"/>
    <w:rsid w:val="00F876B5"/>
    <w:rsid w:val="00F87711"/>
    <w:rsid w:val="00F8779A"/>
    <w:rsid w:val="00F877CD"/>
    <w:rsid w:val="00F877DC"/>
    <w:rsid w:val="00F8787D"/>
    <w:rsid w:val="00F878A7"/>
    <w:rsid w:val="00F8792A"/>
    <w:rsid w:val="00F87AA7"/>
    <w:rsid w:val="00F87AED"/>
    <w:rsid w:val="00F87B59"/>
    <w:rsid w:val="00F87B72"/>
    <w:rsid w:val="00F87B8F"/>
    <w:rsid w:val="00F87BF9"/>
    <w:rsid w:val="00F87CB8"/>
    <w:rsid w:val="00F87D1C"/>
    <w:rsid w:val="00F87E40"/>
    <w:rsid w:val="00F87EC9"/>
    <w:rsid w:val="00F87ECE"/>
    <w:rsid w:val="00F90097"/>
    <w:rsid w:val="00F900DA"/>
    <w:rsid w:val="00F9020B"/>
    <w:rsid w:val="00F90518"/>
    <w:rsid w:val="00F9052A"/>
    <w:rsid w:val="00F905E8"/>
    <w:rsid w:val="00F90690"/>
    <w:rsid w:val="00F9082C"/>
    <w:rsid w:val="00F90986"/>
    <w:rsid w:val="00F909C0"/>
    <w:rsid w:val="00F90ABD"/>
    <w:rsid w:val="00F90B73"/>
    <w:rsid w:val="00F90C65"/>
    <w:rsid w:val="00F90C8F"/>
    <w:rsid w:val="00F90C9A"/>
    <w:rsid w:val="00F90CD4"/>
    <w:rsid w:val="00F90D00"/>
    <w:rsid w:val="00F90D46"/>
    <w:rsid w:val="00F90D5E"/>
    <w:rsid w:val="00F90D70"/>
    <w:rsid w:val="00F90E1C"/>
    <w:rsid w:val="00F90E74"/>
    <w:rsid w:val="00F90F27"/>
    <w:rsid w:val="00F90FF3"/>
    <w:rsid w:val="00F91040"/>
    <w:rsid w:val="00F9109E"/>
    <w:rsid w:val="00F910AD"/>
    <w:rsid w:val="00F911CB"/>
    <w:rsid w:val="00F911E8"/>
    <w:rsid w:val="00F912A9"/>
    <w:rsid w:val="00F91309"/>
    <w:rsid w:val="00F91344"/>
    <w:rsid w:val="00F914F9"/>
    <w:rsid w:val="00F9175C"/>
    <w:rsid w:val="00F9192B"/>
    <w:rsid w:val="00F919DD"/>
    <w:rsid w:val="00F91A35"/>
    <w:rsid w:val="00F91AA9"/>
    <w:rsid w:val="00F91CC0"/>
    <w:rsid w:val="00F91E45"/>
    <w:rsid w:val="00F91F34"/>
    <w:rsid w:val="00F91F3C"/>
    <w:rsid w:val="00F92008"/>
    <w:rsid w:val="00F9206C"/>
    <w:rsid w:val="00F92083"/>
    <w:rsid w:val="00F92151"/>
    <w:rsid w:val="00F921F1"/>
    <w:rsid w:val="00F922BD"/>
    <w:rsid w:val="00F9239F"/>
    <w:rsid w:val="00F923A0"/>
    <w:rsid w:val="00F923B6"/>
    <w:rsid w:val="00F92653"/>
    <w:rsid w:val="00F926A8"/>
    <w:rsid w:val="00F9270C"/>
    <w:rsid w:val="00F92737"/>
    <w:rsid w:val="00F927F9"/>
    <w:rsid w:val="00F92842"/>
    <w:rsid w:val="00F92865"/>
    <w:rsid w:val="00F92876"/>
    <w:rsid w:val="00F92A21"/>
    <w:rsid w:val="00F92B4A"/>
    <w:rsid w:val="00F92C70"/>
    <w:rsid w:val="00F92C71"/>
    <w:rsid w:val="00F92D29"/>
    <w:rsid w:val="00F92D3A"/>
    <w:rsid w:val="00F92E73"/>
    <w:rsid w:val="00F92EEE"/>
    <w:rsid w:val="00F92F21"/>
    <w:rsid w:val="00F92F78"/>
    <w:rsid w:val="00F92F87"/>
    <w:rsid w:val="00F92F88"/>
    <w:rsid w:val="00F9306E"/>
    <w:rsid w:val="00F930A6"/>
    <w:rsid w:val="00F9319A"/>
    <w:rsid w:val="00F931C8"/>
    <w:rsid w:val="00F9327F"/>
    <w:rsid w:val="00F9357C"/>
    <w:rsid w:val="00F935B0"/>
    <w:rsid w:val="00F93705"/>
    <w:rsid w:val="00F93729"/>
    <w:rsid w:val="00F9375C"/>
    <w:rsid w:val="00F9376C"/>
    <w:rsid w:val="00F937F3"/>
    <w:rsid w:val="00F9384F"/>
    <w:rsid w:val="00F93889"/>
    <w:rsid w:val="00F938DA"/>
    <w:rsid w:val="00F938F2"/>
    <w:rsid w:val="00F93A69"/>
    <w:rsid w:val="00F93AAC"/>
    <w:rsid w:val="00F93BAE"/>
    <w:rsid w:val="00F93D63"/>
    <w:rsid w:val="00F93E0A"/>
    <w:rsid w:val="00F93E4F"/>
    <w:rsid w:val="00F93F05"/>
    <w:rsid w:val="00F93F2F"/>
    <w:rsid w:val="00F9406D"/>
    <w:rsid w:val="00F942D1"/>
    <w:rsid w:val="00F94340"/>
    <w:rsid w:val="00F943DD"/>
    <w:rsid w:val="00F9441F"/>
    <w:rsid w:val="00F945D8"/>
    <w:rsid w:val="00F94775"/>
    <w:rsid w:val="00F947C0"/>
    <w:rsid w:val="00F94EA1"/>
    <w:rsid w:val="00F95005"/>
    <w:rsid w:val="00F951C1"/>
    <w:rsid w:val="00F9520D"/>
    <w:rsid w:val="00F9526D"/>
    <w:rsid w:val="00F95342"/>
    <w:rsid w:val="00F95366"/>
    <w:rsid w:val="00F95394"/>
    <w:rsid w:val="00F955B3"/>
    <w:rsid w:val="00F955F6"/>
    <w:rsid w:val="00F9587A"/>
    <w:rsid w:val="00F95A7A"/>
    <w:rsid w:val="00F95A98"/>
    <w:rsid w:val="00F95C10"/>
    <w:rsid w:val="00F95C3A"/>
    <w:rsid w:val="00F95C9D"/>
    <w:rsid w:val="00F95CE8"/>
    <w:rsid w:val="00F95D41"/>
    <w:rsid w:val="00F95E98"/>
    <w:rsid w:val="00F95F88"/>
    <w:rsid w:val="00F9604B"/>
    <w:rsid w:val="00F9608A"/>
    <w:rsid w:val="00F960D7"/>
    <w:rsid w:val="00F96142"/>
    <w:rsid w:val="00F961E5"/>
    <w:rsid w:val="00F96204"/>
    <w:rsid w:val="00F96311"/>
    <w:rsid w:val="00F963B1"/>
    <w:rsid w:val="00F96478"/>
    <w:rsid w:val="00F96508"/>
    <w:rsid w:val="00F9653D"/>
    <w:rsid w:val="00F965BC"/>
    <w:rsid w:val="00F96633"/>
    <w:rsid w:val="00F96698"/>
    <w:rsid w:val="00F967D9"/>
    <w:rsid w:val="00F96805"/>
    <w:rsid w:val="00F9680F"/>
    <w:rsid w:val="00F969D6"/>
    <w:rsid w:val="00F96A65"/>
    <w:rsid w:val="00F96B07"/>
    <w:rsid w:val="00F96B14"/>
    <w:rsid w:val="00F96BE1"/>
    <w:rsid w:val="00F96C05"/>
    <w:rsid w:val="00F96D14"/>
    <w:rsid w:val="00F96DFB"/>
    <w:rsid w:val="00F96F18"/>
    <w:rsid w:val="00F96F29"/>
    <w:rsid w:val="00F97096"/>
    <w:rsid w:val="00F970EA"/>
    <w:rsid w:val="00F970F4"/>
    <w:rsid w:val="00F972BA"/>
    <w:rsid w:val="00F97347"/>
    <w:rsid w:val="00F9736B"/>
    <w:rsid w:val="00F9740E"/>
    <w:rsid w:val="00F97521"/>
    <w:rsid w:val="00F975D3"/>
    <w:rsid w:val="00F97647"/>
    <w:rsid w:val="00F97715"/>
    <w:rsid w:val="00F979CF"/>
    <w:rsid w:val="00F979E8"/>
    <w:rsid w:val="00F97A27"/>
    <w:rsid w:val="00F97C65"/>
    <w:rsid w:val="00F97CC6"/>
    <w:rsid w:val="00F97D28"/>
    <w:rsid w:val="00F97D2D"/>
    <w:rsid w:val="00F97EB3"/>
    <w:rsid w:val="00FA001B"/>
    <w:rsid w:val="00FA0060"/>
    <w:rsid w:val="00FA00D8"/>
    <w:rsid w:val="00FA01DA"/>
    <w:rsid w:val="00FA04AA"/>
    <w:rsid w:val="00FA0568"/>
    <w:rsid w:val="00FA058D"/>
    <w:rsid w:val="00FA05CF"/>
    <w:rsid w:val="00FA061F"/>
    <w:rsid w:val="00FA06A1"/>
    <w:rsid w:val="00FA06D3"/>
    <w:rsid w:val="00FA09D8"/>
    <w:rsid w:val="00FA0A55"/>
    <w:rsid w:val="00FA0AB4"/>
    <w:rsid w:val="00FA0B8A"/>
    <w:rsid w:val="00FA0BCE"/>
    <w:rsid w:val="00FA0C2A"/>
    <w:rsid w:val="00FA0DA5"/>
    <w:rsid w:val="00FA0E12"/>
    <w:rsid w:val="00FA0EA8"/>
    <w:rsid w:val="00FA0EB2"/>
    <w:rsid w:val="00FA0F83"/>
    <w:rsid w:val="00FA1081"/>
    <w:rsid w:val="00FA115D"/>
    <w:rsid w:val="00FA11BE"/>
    <w:rsid w:val="00FA124C"/>
    <w:rsid w:val="00FA134C"/>
    <w:rsid w:val="00FA140D"/>
    <w:rsid w:val="00FA141A"/>
    <w:rsid w:val="00FA1665"/>
    <w:rsid w:val="00FA17B1"/>
    <w:rsid w:val="00FA1A82"/>
    <w:rsid w:val="00FA1B68"/>
    <w:rsid w:val="00FA1B72"/>
    <w:rsid w:val="00FA1C58"/>
    <w:rsid w:val="00FA1D05"/>
    <w:rsid w:val="00FA1D0D"/>
    <w:rsid w:val="00FA1E22"/>
    <w:rsid w:val="00FA1E7A"/>
    <w:rsid w:val="00FA1EA8"/>
    <w:rsid w:val="00FA1EE5"/>
    <w:rsid w:val="00FA1F4F"/>
    <w:rsid w:val="00FA1FFE"/>
    <w:rsid w:val="00FA20D3"/>
    <w:rsid w:val="00FA20EA"/>
    <w:rsid w:val="00FA2176"/>
    <w:rsid w:val="00FA21BE"/>
    <w:rsid w:val="00FA2481"/>
    <w:rsid w:val="00FA2508"/>
    <w:rsid w:val="00FA2525"/>
    <w:rsid w:val="00FA25C0"/>
    <w:rsid w:val="00FA26F0"/>
    <w:rsid w:val="00FA27AF"/>
    <w:rsid w:val="00FA282D"/>
    <w:rsid w:val="00FA285F"/>
    <w:rsid w:val="00FA2870"/>
    <w:rsid w:val="00FA2900"/>
    <w:rsid w:val="00FA2967"/>
    <w:rsid w:val="00FA2A7D"/>
    <w:rsid w:val="00FA2B90"/>
    <w:rsid w:val="00FA2D16"/>
    <w:rsid w:val="00FA2D1A"/>
    <w:rsid w:val="00FA2F15"/>
    <w:rsid w:val="00FA2F48"/>
    <w:rsid w:val="00FA2FD2"/>
    <w:rsid w:val="00FA3018"/>
    <w:rsid w:val="00FA30E4"/>
    <w:rsid w:val="00FA3190"/>
    <w:rsid w:val="00FA33DC"/>
    <w:rsid w:val="00FA34B8"/>
    <w:rsid w:val="00FA34D6"/>
    <w:rsid w:val="00FA3761"/>
    <w:rsid w:val="00FA378E"/>
    <w:rsid w:val="00FA38C8"/>
    <w:rsid w:val="00FA38D1"/>
    <w:rsid w:val="00FA3907"/>
    <w:rsid w:val="00FA39A9"/>
    <w:rsid w:val="00FA39C3"/>
    <w:rsid w:val="00FA3A4E"/>
    <w:rsid w:val="00FA3B9D"/>
    <w:rsid w:val="00FA3C49"/>
    <w:rsid w:val="00FA3C69"/>
    <w:rsid w:val="00FA3C73"/>
    <w:rsid w:val="00FA3D20"/>
    <w:rsid w:val="00FA3D59"/>
    <w:rsid w:val="00FA3D5A"/>
    <w:rsid w:val="00FA3F55"/>
    <w:rsid w:val="00FA40B8"/>
    <w:rsid w:val="00FA41B8"/>
    <w:rsid w:val="00FA43A2"/>
    <w:rsid w:val="00FA43B1"/>
    <w:rsid w:val="00FA4565"/>
    <w:rsid w:val="00FA46F3"/>
    <w:rsid w:val="00FA484A"/>
    <w:rsid w:val="00FA4875"/>
    <w:rsid w:val="00FA48C8"/>
    <w:rsid w:val="00FA48CB"/>
    <w:rsid w:val="00FA48CE"/>
    <w:rsid w:val="00FA49F1"/>
    <w:rsid w:val="00FA4A11"/>
    <w:rsid w:val="00FA4B79"/>
    <w:rsid w:val="00FA4D74"/>
    <w:rsid w:val="00FA4F1C"/>
    <w:rsid w:val="00FA5049"/>
    <w:rsid w:val="00FA51E9"/>
    <w:rsid w:val="00FA522D"/>
    <w:rsid w:val="00FA534D"/>
    <w:rsid w:val="00FA53DB"/>
    <w:rsid w:val="00FA552A"/>
    <w:rsid w:val="00FA55C1"/>
    <w:rsid w:val="00FA5778"/>
    <w:rsid w:val="00FA5779"/>
    <w:rsid w:val="00FA57A7"/>
    <w:rsid w:val="00FA5882"/>
    <w:rsid w:val="00FA589B"/>
    <w:rsid w:val="00FA59F5"/>
    <w:rsid w:val="00FA5B44"/>
    <w:rsid w:val="00FA5B67"/>
    <w:rsid w:val="00FA5CB9"/>
    <w:rsid w:val="00FA5D4D"/>
    <w:rsid w:val="00FA5D5A"/>
    <w:rsid w:val="00FA5E00"/>
    <w:rsid w:val="00FA5EF0"/>
    <w:rsid w:val="00FA5F96"/>
    <w:rsid w:val="00FA5FEF"/>
    <w:rsid w:val="00FA60B7"/>
    <w:rsid w:val="00FA62EA"/>
    <w:rsid w:val="00FA641D"/>
    <w:rsid w:val="00FA6453"/>
    <w:rsid w:val="00FA6543"/>
    <w:rsid w:val="00FA65C4"/>
    <w:rsid w:val="00FA65FE"/>
    <w:rsid w:val="00FA67F9"/>
    <w:rsid w:val="00FA686E"/>
    <w:rsid w:val="00FA689A"/>
    <w:rsid w:val="00FA68A3"/>
    <w:rsid w:val="00FA6989"/>
    <w:rsid w:val="00FA698A"/>
    <w:rsid w:val="00FA69E8"/>
    <w:rsid w:val="00FA6A55"/>
    <w:rsid w:val="00FA6A67"/>
    <w:rsid w:val="00FA6B9B"/>
    <w:rsid w:val="00FA6DD7"/>
    <w:rsid w:val="00FA6F1F"/>
    <w:rsid w:val="00FA6FE1"/>
    <w:rsid w:val="00FA7149"/>
    <w:rsid w:val="00FA7162"/>
    <w:rsid w:val="00FA7218"/>
    <w:rsid w:val="00FA723D"/>
    <w:rsid w:val="00FA7295"/>
    <w:rsid w:val="00FA72B7"/>
    <w:rsid w:val="00FA72EE"/>
    <w:rsid w:val="00FA73D7"/>
    <w:rsid w:val="00FA74D6"/>
    <w:rsid w:val="00FA7551"/>
    <w:rsid w:val="00FA7661"/>
    <w:rsid w:val="00FA7734"/>
    <w:rsid w:val="00FA7AE7"/>
    <w:rsid w:val="00FA7C05"/>
    <w:rsid w:val="00FA7D68"/>
    <w:rsid w:val="00FA7DB7"/>
    <w:rsid w:val="00FA7E27"/>
    <w:rsid w:val="00FA7E6E"/>
    <w:rsid w:val="00FB002A"/>
    <w:rsid w:val="00FB0250"/>
    <w:rsid w:val="00FB02BC"/>
    <w:rsid w:val="00FB0321"/>
    <w:rsid w:val="00FB03F8"/>
    <w:rsid w:val="00FB0646"/>
    <w:rsid w:val="00FB0704"/>
    <w:rsid w:val="00FB0933"/>
    <w:rsid w:val="00FB099D"/>
    <w:rsid w:val="00FB0A2B"/>
    <w:rsid w:val="00FB0B8A"/>
    <w:rsid w:val="00FB0C46"/>
    <w:rsid w:val="00FB0C70"/>
    <w:rsid w:val="00FB0D11"/>
    <w:rsid w:val="00FB0D29"/>
    <w:rsid w:val="00FB0DCE"/>
    <w:rsid w:val="00FB0DDE"/>
    <w:rsid w:val="00FB0EAE"/>
    <w:rsid w:val="00FB0F47"/>
    <w:rsid w:val="00FB0F4F"/>
    <w:rsid w:val="00FB0FC0"/>
    <w:rsid w:val="00FB0FF8"/>
    <w:rsid w:val="00FB10D3"/>
    <w:rsid w:val="00FB10EE"/>
    <w:rsid w:val="00FB1237"/>
    <w:rsid w:val="00FB1254"/>
    <w:rsid w:val="00FB12A4"/>
    <w:rsid w:val="00FB12A8"/>
    <w:rsid w:val="00FB1405"/>
    <w:rsid w:val="00FB1536"/>
    <w:rsid w:val="00FB1584"/>
    <w:rsid w:val="00FB1636"/>
    <w:rsid w:val="00FB163B"/>
    <w:rsid w:val="00FB163F"/>
    <w:rsid w:val="00FB191F"/>
    <w:rsid w:val="00FB1A1D"/>
    <w:rsid w:val="00FB1AEE"/>
    <w:rsid w:val="00FB1B54"/>
    <w:rsid w:val="00FB1C17"/>
    <w:rsid w:val="00FB1CF6"/>
    <w:rsid w:val="00FB1D3D"/>
    <w:rsid w:val="00FB1DEB"/>
    <w:rsid w:val="00FB1E4C"/>
    <w:rsid w:val="00FB1F30"/>
    <w:rsid w:val="00FB1F91"/>
    <w:rsid w:val="00FB1FAB"/>
    <w:rsid w:val="00FB1FF8"/>
    <w:rsid w:val="00FB201E"/>
    <w:rsid w:val="00FB2031"/>
    <w:rsid w:val="00FB21F8"/>
    <w:rsid w:val="00FB2286"/>
    <w:rsid w:val="00FB22C9"/>
    <w:rsid w:val="00FB2476"/>
    <w:rsid w:val="00FB24E7"/>
    <w:rsid w:val="00FB26CB"/>
    <w:rsid w:val="00FB27E4"/>
    <w:rsid w:val="00FB27F1"/>
    <w:rsid w:val="00FB2970"/>
    <w:rsid w:val="00FB29A6"/>
    <w:rsid w:val="00FB2A82"/>
    <w:rsid w:val="00FB2C30"/>
    <w:rsid w:val="00FB2C50"/>
    <w:rsid w:val="00FB2C7A"/>
    <w:rsid w:val="00FB2D57"/>
    <w:rsid w:val="00FB2EF2"/>
    <w:rsid w:val="00FB2F10"/>
    <w:rsid w:val="00FB2FF5"/>
    <w:rsid w:val="00FB30B2"/>
    <w:rsid w:val="00FB31C3"/>
    <w:rsid w:val="00FB3202"/>
    <w:rsid w:val="00FB323B"/>
    <w:rsid w:val="00FB324C"/>
    <w:rsid w:val="00FB3361"/>
    <w:rsid w:val="00FB37CE"/>
    <w:rsid w:val="00FB385D"/>
    <w:rsid w:val="00FB3861"/>
    <w:rsid w:val="00FB3C19"/>
    <w:rsid w:val="00FB3C89"/>
    <w:rsid w:val="00FB3D74"/>
    <w:rsid w:val="00FB3DD1"/>
    <w:rsid w:val="00FB3E07"/>
    <w:rsid w:val="00FB3E77"/>
    <w:rsid w:val="00FB3EA2"/>
    <w:rsid w:val="00FB3ECE"/>
    <w:rsid w:val="00FB3F04"/>
    <w:rsid w:val="00FB3FC2"/>
    <w:rsid w:val="00FB406B"/>
    <w:rsid w:val="00FB407B"/>
    <w:rsid w:val="00FB40CD"/>
    <w:rsid w:val="00FB41D9"/>
    <w:rsid w:val="00FB435D"/>
    <w:rsid w:val="00FB4402"/>
    <w:rsid w:val="00FB4537"/>
    <w:rsid w:val="00FB4553"/>
    <w:rsid w:val="00FB4567"/>
    <w:rsid w:val="00FB4600"/>
    <w:rsid w:val="00FB464D"/>
    <w:rsid w:val="00FB46C3"/>
    <w:rsid w:val="00FB46F7"/>
    <w:rsid w:val="00FB476E"/>
    <w:rsid w:val="00FB47A0"/>
    <w:rsid w:val="00FB4849"/>
    <w:rsid w:val="00FB49F9"/>
    <w:rsid w:val="00FB4AB2"/>
    <w:rsid w:val="00FB4B38"/>
    <w:rsid w:val="00FB4BF2"/>
    <w:rsid w:val="00FB4C77"/>
    <w:rsid w:val="00FB4D0B"/>
    <w:rsid w:val="00FB4D6D"/>
    <w:rsid w:val="00FB4DD7"/>
    <w:rsid w:val="00FB4F65"/>
    <w:rsid w:val="00FB4F73"/>
    <w:rsid w:val="00FB527A"/>
    <w:rsid w:val="00FB5288"/>
    <w:rsid w:val="00FB528B"/>
    <w:rsid w:val="00FB52BC"/>
    <w:rsid w:val="00FB538C"/>
    <w:rsid w:val="00FB553B"/>
    <w:rsid w:val="00FB562C"/>
    <w:rsid w:val="00FB564A"/>
    <w:rsid w:val="00FB57B8"/>
    <w:rsid w:val="00FB57C3"/>
    <w:rsid w:val="00FB587A"/>
    <w:rsid w:val="00FB5981"/>
    <w:rsid w:val="00FB5A56"/>
    <w:rsid w:val="00FB5BB0"/>
    <w:rsid w:val="00FB5C56"/>
    <w:rsid w:val="00FB5D04"/>
    <w:rsid w:val="00FB5D35"/>
    <w:rsid w:val="00FB6394"/>
    <w:rsid w:val="00FB63CC"/>
    <w:rsid w:val="00FB6445"/>
    <w:rsid w:val="00FB647C"/>
    <w:rsid w:val="00FB6516"/>
    <w:rsid w:val="00FB662F"/>
    <w:rsid w:val="00FB671C"/>
    <w:rsid w:val="00FB67D1"/>
    <w:rsid w:val="00FB684D"/>
    <w:rsid w:val="00FB68A8"/>
    <w:rsid w:val="00FB68E0"/>
    <w:rsid w:val="00FB6948"/>
    <w:rsid w:val="00FB694D"/>
    <w:rsid w:val="00FB6987"/>
    <w:rsid w:val="00FB6A1D"/>
    <w:rsid w:val="00FB6B50"/>
    <w:rsid w:val="00FB6B6B"/>
    <w:rsid w:val="00FB6C1F"/>
    <w:rsid w:val="00FB6D12"/>
    <w:rsid w:val="00FB6D1C"/>
    <w:rsid w:val="00FB6D9C"/>
    <w:rsid w:val="00FB6DB1"/>
    <w:rsid w:val="00FB6F11"/>
    <w:rsid w:val="00FB701E"/>
    <w:rsid w:val="00FB7027"/>
    <w:rsid w:val="00FB7072"/>
    <w:rsid w:val="00FB717C"/>
    <w:rsid w:val="00FB71A8"/>
    <w:rsid w:val="00FB73C5"/>
    <w:rsid w:val="00FB73F9"/>
    <w:rsid w:val="00FB73FD"/>
    <w:rsid w:val="00FB752B"/>
    <w:rsid w:val="00FB7670"/>
    <w:rsid w:val="00FB7681"/>
    <w:rsid w:val="00FB7769"/>
    <w:rsid w:val="00FB7888"/>
    <w:rsid w:val="00FB78DB"/>
    <w:rsid w:val="00FB7909"/>
    <w:rsid w:val="00FB7BCF"/>
    <w:rsid w:val="00FB7BD8"/>
    <w:rsid w:val="00FB7CD7"/>
    <w:rsid w:val="00FB7D27"/>
    <w:rsid w:val="00FB7D6B"/>
    <w:rsid w:val="00FB7DAD"/>
    <w:rsid w:val="00FB7DF1"/>
    <w:rsid w:val="00FB7F54"/>
    <w:rsid w:val="00FC028B"/>
    <w:rsid w:val="00FC028C"/>
    <w:rsid w:val="00FC02F6"/>
    <w:rsid w:val="00FC0336"/>
    <w:rsid w:val="00FC038A"/>
    <w:rsid w:val="00FC03A3"/>
    <w:rsid w:val="00FC0452"/>
    <w:rsid w:val="00FC04A8"/>
    <w:rsid w:val="00FC04DE"/>
    <w:rsid w:val="00FC0576"/>
    <w:rsid w:val="00FC0831"/>
    <w:rsid w:val="00FC0944"/>
    <w:rsid w:val="00FC0946"/>
    <w:rsid w:val="00FC0958"/>
    <w:rsid w:val="00FC099A"/>
    <w:rsid w:val="00FC0A43"/>
    <w:rsid w:val="00FC0A62"/>
    <w:rsid w:val="00FC0AF8"/>
    <w:rsid w:val="00FC0B1F"/>
    <w:rsid w:val="00FC0B5A"/>
    <w:rsid w:val="00FC0B93"/>
    <w:rsid w:val="00FC0B9D"/>
    <w:rsid w:val="00FC0CDA"/>
    <w:rsid w:val="00FC0D21"/>
    <w:rsid w:val="00FC0D2D"/>
    <w:rsid w:val="00FC0DC1"/>
    <w:rsid w:val="00FC0FC8"/>
    <w:rsid w:val="00FC10E4"/>
    <w:rsid w:val="00FC10ED"/>
    <w:rsid w:val="00FC111F"/>
    <w:rsid w:val="00FC113A"/>
    <w:rsid w:val="00FC114A"/>
    <w:rsid w:val="00FC11BE"/>
    <w:rsid w:val="00FC1236"/>
    <w:rsid w:val="00FC1286"/>
    <w:rsid w:val="00FC1389"/>
    <w:rsid w:val="00FC142E"/>
    <w:rsid w:val="00FC1480"/>
    <w:rsid w:val="00FC1642"/>
    <w:rsid w:val="00FC1645"/>
    <w:rsid w:val="00FC169A"/>
    <w:rsid w:val="00FC1837"/>
    <w:rsid w:val="00FC1993"/>
    <w:rsid w:val="00FC19D2"/>
    <w:rsid w:val="00FC19D8"/>
    <w:rsid w:val="00FC1C5A"/>
    <w:rsid w:val="00FC1CEA"/>
    <w:rsid w:val="00FC1D8A"/>
    <w:rsid w:val="00FC1D96"/>
    <w:rsid w:val="00FC1F02"/>
    <w:rsid w:val="00FC1F21"/>
    <w:rsid w:val="00FC1F46"/>
    <w:rsid w:val="00FC1FD0"/>
    <w:rsid w:val="00FC205E"/>
    <w:rsid w:val="00FC20D1"/>
    <w:rsid w:val="00FC2123"/>
    <w:rsid w:val="00FC2171"/>
    <w:rsid w:val="00FC2290"/>
    <w:rsid w:val="00FC241F"/>
    <w:rsid w:val="00FC2443"/>
    <w:rsid w:val="00FC24C1"/>
    <w:rsid w:val="00FC254C"/>
    <w:rsid w:val="00FC258E"/>
    <w:rsid w:val="00FC2594"/>
    <w:rsid w:val="00FC2639"/>
    <w:rsid w:val="00FC272B"/>
    <w:rsid w:val="00FC273A"/>
    <w:rsid w:val="00FC2741"/>
    <w:rsid w:val="00FC27C9"/>
    <w:rsid w:val="00FC28EC"/>
    <w:rsid w:val="00FC28F8"/>
    <w:rsid w:val="00FC291E"/>
    <w:rsid w:val="00FC29A6"/>
    <w:rsid w:val="00FC2A08"/>
    <w:rsid w:val="00FC2A74"/>
    <w:rsid w:val="00FC2AA2"/>
    <w:rsid w:val="00FC2B7E"/>
    <w:rsid w:val="00FC2BB0"/>
    <w:rsid w:val="00FC2BFC"/>
    <w:rsid w:val="00FC2EEF"/>
    <w:rsid w:val="00FC3139"/>
    <w:rsid w:val="00FC3186"/>
    <w:rsid w:val="00FC3208"/>
    <w:rsid w:val="00FC329A"/>
    <w:rsid w:val="00FC32C2"/>
    <w:rsid w:val="00FC3400"/>
    <w:rsid w:val="00FC3409"/>
    <w:rsid w:val="00FC3420"/>
    <w:rsid w:val="00FC375B"/>
    <w:rsid w:val="00FC376F"/>
    <w:rsid w:val="00FC37C0"/>
    <w:rsid w:val="00FC384D"/>
    <w:rsid w:val="00FC3AA6"/>
    <w:rsid w:val="00FC3BA3"/>
    <w:rsid w:val="00FC3BB0"/>
    <w:rsid w:val="00FC3C21"/>
    <w:rsid w:val="00FC3C6F"/>
    <w:rsid w:val="00FC3CC7"/>
    <w:rsid w:val="00FC3D43"/>
    <w:rsid w:val="00FC3D95"/>
    <w:rsid w:val="00FC42B8"/>
    <w:rsid w:val="00FC4321"/>
    <w:rsid w:val="00FC4396"/>
    <w:rsid w:val="00FC43C4"/>
    <w:rsid w:val="00FC46A9"/>
    <w:rsid w:val="00FC46F0"/>
    <w:rsid w:val="00FC4752"/>
    <w:rsid w:val="00FC4ACF"/>
    <w:rsid w:val="00FC4B0A"/>
    <w:rsid w:val="00FC4BC2"/>
    <w:rsid w:val="00FC4CCE"/>
    <w:rsid w:val="00FC4DA7"/>
    <w:rsid w:val="00FC4EBB"/>
    <w:rsid w:val="00FC4EFE"/>
    <w:rsid w:val="00FC5112"/>
    <w:rsid w:val="00FC515E"/>
    <w:rsid w:val="00FC521B"/>
    <w:rsid w:val="00FC532F"/>
    <w:rsid w:val="00FC5333"/>
    <w:rsid w:val="00FC53E4"/>
    <w:rsid w:val="00FC5422"/>
    <w:rsid w:val="00FC5448"/>
    <w:rsid w:val="00FC54B5"/>
    <w:rsid w:val="00FC5527"/>
    <w:rsid w:val="00FC553B"/>
    <w:rsid w:val="00FC55AD"/>
    <w:rsid w:val="00FC571A"/>
    <w:rsid w:val="00FC5780"/>
    <w:rsid w:val="00FC57DD"/>
    <w:rsid w:val="00FC597E"/>
    <w:rsid w:val="00FC5B41"/>
    <w:rsid w:val="00FC5B77"/>
    <w:rsid w:val="00FC5DCE"/>
    <w:rsid w:val="00FC5DDB"/>
    <w:rsid w:val="00FC5E53"/>
    <w:rsid w:val="00FC5E57"/>
    <w:rsid w:val="00FC5E9D"/>
    <w:rsid w:val="00FC5EBB"/>
    <w:rsid w:val="00FC5EBC"/>
    <w:rsid w:val="00FC6208"/>
    <w:rsid w:val="00FC63CE"/>
    <w:rsid w:val="00FC64B5"/>
    <w:rsid w:val="00FC663D"/>
    <w:rsid w:val="00FC6727"/>
    <w:rsid w:val="00FC679A"/>
    <w:rsid w:val="00FC67B1"/>
    <w:rsid w:val="00FC67C5"/>
    <w:rsid w:val="00FC680A"/>
    <w:rsid w:val="00FC6D95"/>
    <w:rsid w:val="00FC6ECE"/>
    <w:rsid w:val="00FC6EFC"/>
    <w:rsid w:val="00FC6F18"/>
    <w:rsid w:val="00FC6FC1"/>
    <w:rsid w:val="00FC70A0"/>
    <w:rsid w:val="00FC70E3"/>
    <w:rsid w:val="00FC7289"/>
    <w:rsid w:val="00FC72A9"/>
    <w:rsid w:val="00FC73A1"/>
    <w:rsid w:val="00FC740A"/>
    <w:rsid w:val="00FC75BD"/>
    <w:rsid w:val="00FC7ACA"/>
    <w:rsid w:val="00FC7CFE"/>
    <w:rsid w:val="00FC7DC8"/>
    <w:rsid w:val="00FC7E09"/>
    <w:rsid w:val="00FC7E91"/>
    <w:rsid w:val="00FC7EF8"/>
    <w:rsid w:val="00FC7FB3"/>
    <w:rsid w:val="00FD004A"/>
    <w:rsid w:val="00FD02B4"/>
    <w:rsid w:val="00FD0332"/>
    <w:rsid w:val="00FD03C4"/>
    <w:rsid w:val="00FD0409"/>
    <w:rsid w:val="00FD041C"/>
    <w:rsid w:val="00FD048E"/>
    <w:rsid w:val="00FD0547"/>
    <w:rsid w:val="00FD059A"/>
    <w:rsid w:val="00FD0616"/>
    <w:rsid w:val="00FD0669"/>
    <w:rsid w:val="00FD0693"/>
    <w:rsid w:val="00FD06E5"/>
    <w:rsid w:val="00FD06E8"/>
    <w:rsid w:val="00FD072F"/>
    <w:rsid w:val="00FD0748"/>
    <w:rsid w:val="00FD077A"/>
    <w:rsid w:val="00FD07F2"/>
    <w:rsid w:val="00FD0927"/>
    <w:rsid w:val="00FD094A"/>
    <w:rsid w:val="00FD0955"/>
    <w:rsid w:val="00FD0A21"/>
    <w:rsid w:val="00FD0A8E"/>
    <w:rsid w:val="00FD0AD1"/>
    <w:rsid w:val="00FD0B46"/>
    <w:rsid w:val="00FD0BDB"/>
    <w:rsid w:val="00FD0DF4"/>
    <w:rsid w:val="00FD0E09"/>
    <w:rsid w:val="00FD0EDA"/>
    <w:rsid w:val="00FD0F8B"/>
    <w:rsid w:val="00FD1262"/>
    <w:rsid w:val="00FD128A"/>
    <w:rsid w:val="00FD12F9"/>
    <w:rsid w:val="00FD148D"/>
    <w:rsid w:val="00FD14E1"/>
    <w:rsid w:val="00FD15ED"/>
    <w:rsid w:val="00FD16B3"/>
    <w:rsid w:val="00FD186D"/>
    <w:rsid w:val="00FD18A4"/>
    <w:rsid w:val="00FD1A35"/>
    <w:rsid w:val="00FD1B34"/>
    <w:rsid w:val="00FD1B9A"/>
    <w:rsid w:val="00FD1C02"/>
    <w:rsid w:val="00FD1C9F"/>
    <w:rsid w:val="00FD1D0B"/>
    <w:rsid w:val="00FD1DD4"/>
    <w:rsid w:val="00FD1EDE"/>
    <w:rsid w:val="00FD205C"/>
    <w:rsid w:val="00FD20B3"/>
    <w:rsid w:val="00FD2102"/>
    <w:rsid w:val="00FD2382"/>
    <w:rsid w:val="00FD25C7"/>
    <w:rsid w:val="00FD25E0"/>
    <w:rsid w:val="00FD26BA"/>
    <w:rsid w:val="00FD26F2"/>
    <w:rsid w:val="00FD27F5"/>
    <w:rsid w:val="00FD283C"/>
    <w:rsid w:val="00FD28BE"/>
    <w:rsid w:val="00FD29DC"/>
    <w:rsid w:val="00FD2A91"/>
    <w:rsid w:val="00FD2B87"/>
    <w:rsid w:val="00FD2BF7"/>
    <w:rsid w:val="00FD2CD2"/>
    <w:rsid w:val="00FD2D52"/>
    <w:rsid w:val="00FD2DB2"/>
    <w:rsid w:val="00FD2DBB"/>
    <w:rsid w:val="00FD2E15"/>
    <w:rsid w:val="00FD2E4A"/>
    <w:rsid w:val="00FD2E8F"/>
    <w:rsid w:val="00FD2F35"/>
    <w:rsid w:val="00FD303A"/>
    <w:rsid w:val="00FD3093"/>
    <w:rsid w:val="00FD30EC"/>
    <w:rsid w:val="00FD3204"/>
    <w:rsid w:val="00FD3431"/>
    <w:rsid w:val="00FD3587"/>
    <w:rsid w:val="00FD36BD"/>
    <w:rsid w:val="00FD382E"/>
    <w:rsid w:val="00FD3840"/>
    <w:rsid w:val="00FD3844"/>
    <w:rsid w:val="00FD3897"/>
    <w:rsid w:val="00FD3950"/>
    <w:rsid w:val="00FD3A71"/>
    <w:rsid w:val="00FD3A86"/>
    <w:rsid w:val="00FD3AA8"/>
    <w:rsid w:val="00FD3BB8"/>
    <w:rsid w:val="00FD3BE3"/>
    <w:rsid w:val="00FD3CB4"/>
    <w:rsid w:val="00FD3D03"/>
    <w:rsid w:val="00FD3DBC"/>
    <w:rsid w:val="00FD3E00"/>
    <w:rsid w:val="00FD3EDA"/>
    <w:rsid w:val="00FD3F33"/>
    <w:rsid w:val="00FD3F66"/>
    <w:rsid w:val="00FD404C"/>
    <w:rsid w:val="00FD412A"/>
    <w:rsid w:val="00FD41DD"/>
    <w:rsid w:val="00FD4253"/>
    <w:rsid w:val="00FD43E0"/>
    <w:rsid w:val="00FD449D"/>
    <w:rsid w:val="00FD471E"/>
    <w:rsid w:val="00FD49DE"/>
    <w:rsid w:val="00FD4A03"/>
    <w:rsid w:val="00FD4A23"/>
    <w:rsid w:val="00FD4BA1"/>
    <w:rsid w:val="00FD4BEB"/>
    <w:rsid w:val="00FD4C26"/>
    <w:rsid w:val="00FD4D90"/>
    <w:rsid w:val="00FD4E4E"/>
    <w:rsid w:val="00FD5046"/>
    <w:rsid w:val="00FD5088"/>
    <w:rsid w:val="00FD5292"/>
    <w:rsid w:val="00FD56B0"/>
    <w:rsid w:val="00FD57FD"/>
    <w:rsid w:val="00FD5806"/>
    <w:rsid w:val="00FD58A0"/>
    <w:rsid w:val="00FD58F7"/>
    <w:rsid w:val="00FD5926"/>
    <w:rsid w:val="00FD5933"/>
    <w:rsid w:val="00FD5A9A"/>
    <w:rsid w:val="00FD5B6A"/>
    <w:rsid w:val="00FD5B87"/>
    <w:rsid w:val="00FD5C2A"/>
    <w:rsid w:val="00FD5C47"/>
    <w:rsid w:val="00FD5C4C"/>
    <w:rsid w:val="00FD5CC9"/>
    <w:rsid w:val="00FD5CD2"/>
    <w:rsid w:val="00FD5DA4"/>
    <w:rsid w:val="00FD5DD0"/>
    <w:rsid w:val="00FD5F86"/>
    <w:rsid w:val="00FD6004"/>
    <w:rsid w:val="00FD6006"/>
    <w:rsid w:val="00FD6020"/>
    <w:rsid w:val="00FD6074"/>
    <w:rsid w:val="00FD6112"/>
    <w:rsid w:val="00FD6235"/>
    <w:rsid w:val="00FD6262"/>
    <w:rsid w:val="00FD62E3"/>
    <w:rsid w:val="00FD63C2"/>
    <w:rsid w:val="00FD647F"/>
    <w:rsid w:val="00FD64E6"/>
    <w:rsid w:val="00FD64F4"/>
    <w:rsid w:val="00FD6537"/>
    <w:rsid w:val="00FD65B3"/>
    <w:rsid w:val="00FD660C"/>
    <w:rsid w:val="00FD6663"/>
    <w:rsid w:val="00FD666E"/>
    <w:rsid w:val="00FD66D0"/>
    <w:rsid w:val="00FD67A0"/>
    <w:rsid w:val="00FD6844"/>
    <w:rsid w:val="00FD68B4"/>
    <w:rsid w:val="00FD68DA"/>
    <w:rsid w:val="00FD6A49"/>
    <w:rsid w:val="00FD6B1D"/>
    <w:rsid w:val="00FD6C4D"/>
    <w:rsid w:val="00FD6D80"/>
    <w:rsid w:val="00FD6D82"/>
    <w:rsid w:val="00FD6DCA"/>
    <w:rsid w:val="00FD6E19"/>
    <w:rsid w:val="00FD6E2D"/>
    <w:rsid w:val="00FD6E3E"/>
    <w:rsid w:val="00FD6EDE"/>
    <w:rsid w:val="00FD6F96"/>
    <w:rsid w:val="00FD747C"/>
    <w:rsid w:val="00FD7484"/>
    <w:rsid w:val="00FD74C6"/>
    <w:rsid w:val="00FD75D9"/>
    <w:rsid w:val="00FD7684"/>
    <w:rsid w:val="00FD7727"/>
    <w:rsid w:val="00FD7747"/>
    <w:rsid w:val="00FD77F5"/>
    <w:rsid w:val="00FD785F"/>
    <w:rsid w:val="00FD7923"/>
    <w:rsid w:val="00FD7955"/>
    <w:rsid w:val="00FD79CF"/>
    <w:rsid w:val="00FD7A56"/>
    <w:rsid w:val="00FD7BEF"/>
    <w:rsid w:val="00FD7CC9"/>
    <w:rsid w:val="00FD7D57"/>
    <w:rsid w:val="00FD7D98"/>
    <w:rsid w:val="00FD7F9F"/>
    <w:rsid w:val="00FD7FD8"/>
    <w:rsid w:val="00FE0092"/>
    <w:rsid w:val="00FE00C4"/>
    <w:rsid w:val="00FE01E0"/>
    <w:rsid w:val="00FE02E2"/>
    <w:rsid w:val="00FE02FC"/>
    <w:rsid w:val="00FE0408"/>
    <w:rsid w:val="00FE04B5"/>
    <w:rsid w:val="00FE0509"/>
    <w:rsid w:val="00FE058C"/>
    <w:rsid w:val="00FE06C2"/>
    <w:rsid w:val="00FE07BD"/>
    <w:rsid w:val="00FE0895"/>
    <w:rsid w:val="00FE08E7"/>
    <w:rsid w:val="00FE0A67"/>
    <w:rsid w:val="00FE0BE4"/>
    <w:rsid w:val="00FE0BFA"/>
    <w:rsid w:val="00FE0CB8"/>
    <w:rsid w:val="00FE0F8D"/>
    <w:rsid w:val="00FE1220"/>
    <w:rsid w:val="00FE123C"/>
    <w:rsid w:val="00FE12E7"/>
    <w:rsid w:val="00FE130E"/>
    <w:rsid w:val="00FE1364"/>
    <w:rsid w:val="00FE14B0"/>
    <w:rsid w:val="00FE1570"/>
    <w:rsid w:val="00FE15F1"/>
    <w:rsid w:val="00FE15F5"/>
    <w:rsid w:val="00FE16BF"/>
    <w:rsid w:val="00FE18A8"/>
    <w:rsid w:val="00FE19B8"/>
    <w:rsid w:val="00FE1AC0"/>
    <w:rsid w:val="00FE1AC2"/>
    <w:rsid w:val="00FE1AE2"/>
    <w:rsid w:val="00FE1B3C"/>
    <w:rsid w:val="00FE1C6C"/>
    <w:rsid w:val="00FE1DD9"/>
    <w:rsid w:val="00FE1EA3"/>
    <w:rsid w:val="00FE1F3B"/>
    <w:rsid w:val="00FE1FD0"/>
    <w:rsid w:val="00FE1FF9"/>
    <w:rsid w:val="00FE211B"/>
    <w:rsid w:val="00FE2178"/>
    <w:rsid w:val="00FE2222"/>
    <w:rsid w:val="00FE22E4"/>
    <w:rsid w:val="00FE2312"/>
    <w:rsid w:val="00FE23A1"/>
    <w:rsid w:val="00FE23E3"/>
    <w:rsid w:val="00FE2580"/>
    <w:rsid w:val="00FE2626"/>
    <w:rsid w:val="00FE2633"/>
    <w:rsid w:val="00FE267E"/>
    <w:rsid w:val="00FE269B"/>
    <w:rsid w:val="00FE26D7"/>
    <w:rsid w:val="00FE27F1"/>
    <w:rsid w:val="00FE2A4F"/>
    <w:rsid w:val="00FE2B7C"/>
    <w:rsid w:val="00FE2C14"/>
    <w:rsid w:val="00FE2CF8"/>
    <w:rsid w:val="00FE2DAD"/>
    <w:rsid w:val="00FE2E18"/>
    <w:rsid w:val="00FE303C"/>
    <w:rsid w:val="00FE3063"/>
    <w:rsid w:val="00FE318F"/>
    <w:rsid w:val="00FE319A"/>
    <w:rsid w:val="00FE320D"/>
    <w:rsid w:val="00FE33C8"/>
    <w:rsid w:val="00FE350A"/>
    <w:rsid w:val="00FE38F6"/>
    <w:rsid w:val="00FE38FC"/>
    <w:rsid w:val="00FE39FA"/>
    <w:rsid w:val="00FE3AE6"/>
    <w:rsid w:val="00FE3CFC"/>
    <w:rsid w:val="00FE3D26"/>
    <w:rsid w:val="00FE3DFF"/>
    <w:rsid w:val="00FE3F63"/>
    <w:rsid w:val="00FE3F89"/>
    <w:rsid w:val="00FE40ED"/>
    <w:rsid w:val="00FE41B2"/>
    <w:rsid w:val="00FE41E6"/>
    <w:rsid w:val="00FE42C7"/>
    <w:rsid w:val="00FE435C"/>
    <w:rsid w:val="00FE4395"/>
    <w:rsid w:val="00FE43D0"/>
    <w:rsid w:val="00FE445E"/>
    <w:rsid w:val="00FE44CD"/>
    <w:rsid w:val="00FE44F7"/>
    <w:rsid w:val="00FE45CC"/>
    <w:rsid w:val="00FE4684"/>
    <w:rsid w:val="00FE4742"/>
    <w:rsid w:val="00FE4A06"/>
    <w:rsid w:val="00FE4A15"/>
    <w:rsid w:val="00FE4A86"/>
    <w:rsid w:val="00FE4C7B"/>
    <w:rsid w:val="00FE4CAC"/>
    <w:rsid w:val="00FE4DF2"/>
    <w:rsid w:val="00FE4F09"/>
    <w:rsid w:val="00FE4F86"/>
    <w:rsid w:val="00FE4FD5"/>
    <w:rsid w:val="00FE511C"/>
    <w:rsid w:val="00FE51BE"/>
    <w:rsid w:val="00FE51E6"/>
    <w:rsid w:val="00FE52A1"/>
    <w:rsid w:val="00FE5345"/>
    <w:rsid w:val="00FE5359"/>
    <w:rsid w:val="00FE539E"/>
    <w:rsid w:val="00FE53C2"/>
    <w:rsid w:val="00FE53FA"/>
    <w:rsid w:val="00FE544C"/>
    <w:rsid w:val="00FE54F7"/>
    <w:rsid w:val="00FE5552"/>
    <w:rsid w:val="00FE56AA"/>
    <w:rsid w:val="00FE56DC"/>
    <w:rsid w:val="00FE57FD"/>
    <w:rsid w:val="00FE588B"/>
    <w:rsid w:val="00FE58FB"/>
    <w:rsid w:val="00FE598C"/>
    <w:rsid w:val="00FE5D44"/>
    <w:rsid w:val="00FE5E76"/>
    <w:rsid w:val="00FE5FBC"/>
    <w:rsid w:val="00FE604D"/>
    <w:rsid w:val="00FE61D8"/>
    <w:rsid w:val="00FE6379"/>
    <w:rsid w:val="00FE6461"/>
    <w:rsid w:val="00FE649F"/>
    <w:rsid w:val="00FE6538"/>
    <w:rsid w:val="00FE65B1"/>
    <w:rsid w:val="00FE65E5"/>
    <w:rsid w:val="00FE6648"/>
    <w:rsid w:val="00FE6719"/>
    <w:rsid w:val="00FE6757"/>
    <w:rsid w:val="00FE675A"/>
    <w:rsid w:val="00FE6853"/>
    <w:rsid w:val="00FE6864"/>
    <w:rsid w:val="00FE68C6"/>
    <w:rsid w:val="00FE68D9"/>
    <w:rsid w:val="00FE6928"/>
    <w:rsid w:val="00FE69BB"/>
    <w:rsid w:val="00FE6A54"/>
    <w:rsid w:val="00FE6AB1"/>
    <w:rsid w:val="00FE6B35"/>
    <w:rsid w:val="00FE6BFE"/>
    <w:rsid w:val="00FE6CF4"/>
    <w:rsid w:val="00FE6D24"/>
    <w:rsid w:val="00FE6E54"/>
    <w:rsid w:val="00FE6E7D"/>
    <w:rsid w:val="00FE6F70"/>
    <w:rsid w:val="00FE6FEA"/>
    <w:rsid w:val="00FE70DB"/>
    <w:rsid w:val="00FE7104"/>
    <w:rsid w:val="00FE7185"/>
    <w:rsid w:val="00FE718B"/>
    <w:rsid w:val="00FE7209"/>
    <w:rsid w:val="00FE72E7"/>
    <w:rsid w:val="00FE7348"/>
    <w:rsid w:val="00FE73C0"/>
    <w:rsid w:val="00FE73C8"/>
    <w:rsid w:val="00FE755D"/>
    <w:rsid w:val="00FE7677"/>
    <w:rsid w:val="00FE775A"/>
    <w:rsid w:val="00FE77AB"/>
    <w:rsid w:val="00FE77E3"/>
    <w:rsid w:val="00FE79FB"/>
    <w:rsid w:val="00FE7AE4"/>
    <w:rsid w:val="00FE7B1B"/>
    <w:rsid w:val="00FE7B2D"/>
    <w:rsid w:val="00FE7BA1"/>
    <w:rsid w:val="00FE7BCB"/>
    <w:rsid w:val="00FE7C71"/>
    <w:rsid w:val="00FE7D58"/>
    <w:rsid w:val="00FE7DA6"/>
    <w:rsid w:val="00FE7DAA"/>
    <w:rsid w:val="00FE7DD8"/>
    <w:rsid w:val="00FF0032"/>
    <w:rsid w:val="00FF007D"/>
    <w:rsid w:val="00FF008D"/>
    <w:rsid w:val="00FF0285"/>
    <w:rsid w:val="00FF046D"/>
    <w:rsid w:val="00FF05DB"/>
    <w:rsid w:val="00FF05FF"/>
    <w:rsid w:val="00FF0613"/>
    <w:rsid w:val="00FF0640"/>
    <w:rsid w:val="00FF0692"/>
    <w:rsid w:val="00FF0756"/>
    <w:rsid w:val="00FF0775"/>
    <w:rsid w:val="00FF094A"/>
    <w:rsid w:val="00FF0A02"/>
    <w:rsid w:val="00FF0A3B"/>
    <w:rsid w:val="00FF0B86"/>
    <w:rsid w:val="00FF0C49"/>
    <w:rsid w:val="00FF0D9D"/>
    <w:rsid w:val="00FF0DCE"/>
    <w:rsid w:val="00FF0F04"/>
    <w:rsid w:val="00FF0F30"/>
    <w:rsid w:val="00FF1145"/>
    <w:rsid w:val="00FF1193"/>
    <w:rsid w:val="00FF12D0"/>
    <w:rsid w:val="00FF135C"/>
    <w:rsid w:val="00FF13C9"/>
    <w:rsid w:val="00FF1410"/>
    <w:rsid w:val="00FF1471"/>
    <w:rsid w:val="00FF1649"/>
    <w:rsid w:val="00FF1652"/>
    <w:rsid w:val="00FF1740"/>
    <w:rsid w:val="00FF18EB"/>
    <w:rsid w:val="00FF19DD"/>
    <w:rsid w:val="00FF19E9"/>
    <w:rsid w:val="00FF1AC8"/>
    <w:rsid w:val="00FF1AD4"/>
    <w:rsid w:val="00FF1B44"/>
    <w:rsid w:val="00FF1D8A"/>
    <w:rsid w:val="00FF1ED8"/>
    <w:rsid w:val="00FF1F3D"/>
    <w:rsid w:val="00FF21AB"/>
    <w:rsid w:val="00FF2254"/>
    <w:rsid w:val="00FF24DA"/>
    <w:rsid w:val="00FF24F5"/>
    <w:rsid w:val="00FF24F7"/>
    <w:rsid w:val="00FF2520"/>
    <w:rsid w:val="00FF2546"/>
    <w:rsid w:val="00FF25A6"/>
    <w:rsid w:val="00FF2723"/>
    <w:rsid w:val="00FF283D"/>
    <w:rsid w:val="00FF2881"/>
    <w:rsid w:val="00FF2932"/>
    <w:rsid w:val="00FF2BBA"/>
    <w:rsid w:val="00FF2C45"/>
    <w:rsid w:val="00FF2D20"/>
    <w:rsid w:val="00FF2DA7"/>
    <w:rsid w:val="00FF2DFC"/>
    <w:rsid w:val="00FF2F91"/>
    <w:rsid w:val="00FF3039"/>
    <w:rsid w:val="00FF3088"/>
    <w:rsid w:val="00FF310F"/>
    <w:rsid w:val="00FF3190"/>
    <w:rsid w:val="00FF31D6"/>
    <w:rsid w:val="00FF31FE"/>
    <w:rsid w:val="00FF3232"/>
    <w:rsid w:val="00FF3292"/>
    <w:rsid w:val="00FF340A"/>
    <w:rsid w:val="00FF3419"/>
    <w:rsid w:val="00FF341B"/>
    <w:rsid w:val="00FF3481"/>
    <w:rsid w:val="00FF35C6"/>
    <w:rsid w:val="00FF36C1"/>
    <w:rsid w:val="00FF371C"/>
    <w:rsid w:val="00FF3775"/>
    <w:rsid w:val="00FF390E"/>
    <w:rsid w:val="00FF3933"/>
    <w:rsid w:val="00FF3949"/>
    <w:rsid w:val="00FF3AF4"/>
    <w:rsid w:val="00FF3B94"/>
    <w:rsid w:val="00FF3C54"/>
    <w:rsid w:val="00FF3CB6"/>
    <w:rsid w:val="00FF3D53"/>
    <w:rsid w:val="00FF3DA3"/>
    <w:rsid w:val="00FF3E0E"/>
    <w:rsid w:val="00FF3E24"/>
    <w:rsid w:val="00FF3F37"/>
    <w:rsid w:val="00FF3F3B"/>
    <w:rsid w:val="00FF4072"/>
    <w:rsid w:val="00FF40D2"/>
    <w:rsid w:val="00FF4237"/>
    <w:rsid w:val="00FF4243"/>
    <w:rsid w:val="00FF42FC"/>
    <w:rsid w:val="00FF4380"/>
    <w:rsid w:val="00FF448B"/>
    <w:rsid w:val="00FF450E"/>
    <w:rsid w:val="00FF45B5"/>
    <w:rsid w:val="00FF4877"/>
    <w:rsid w:val="00FF48C1"/>
    <w:rsid w:val="00FF499B"/>
    <w:rsid w:val="00FF49C8"/>
    <w:rsid w:val="00FF49EB"/>
    <w:rsid w:val="00FF4AD5"/>
    <w:rsid w:val="00FF4BF8"/>
    <w:rsid w:val="00FF4E45"/>
    <w:rsid w:val="00FF4E4A"/>
    <w:rsid w:val="00FF4EBD"/>
    <w:rsid w:val="00FF4FA3"/>
    <w:rsid w:val="00FF5089"/>
    <w:rsid w:val="00FF518B"/>
    <w:rsid w:val="00FF51EA"/>
    <w:rsid w:val="00FF52A3"/>
    <w:rsid w:val="00FF53F6"/>
    <w:rsid w:val="00FF54B7"/>
    <w:rsid w:val="00FF54BF"/>
    <w:rsid w:val="00FF5527"/>
    <w:rsid w:val="00FF56C3"/>
    <w:rsid w:val="00FF56FD"/>
    <w:rsid w:val="00FF578F"/>
    <w:rsid w:val="00FF57A6"/>
    <w:rsid w:val="00FF57A8"/>
    <w:rsid w:val="00FF5894"/>
    <w:rsid w:val="00FF58E4"/>
    <w:rsid w:val="00FF5999"/>
    <w:rsid w:val="00FF5ACA"/>
    <w:rsid w:val="00FF5AFB"/>
    <w:rsid w:val="00FF5B7C"/>
    <w:rsid w:val="00FF5C13"/>
    <w:rsid w:val="00FF5C31"/>
    <w:rsid w:val="00FF5C37"/>
    <w:rsid w:val="00FF5CD3"/>
    <w:rsid w:val="00FF5DEC"/>
    <w:rsid w:val="00FF5E45"/>
    <w:rsid w:val="00FF623F"/>
    <w:rsid w:val="00FF627B"/>
    <w:rsid w:val="00FF62D5"/>
    <w:rsid w:val="00FF6346"/>
    <w:rsid w:val="00FF642A"/>
    <w:rsid w:val="00FF67B3"/>
    <w:rsid w:val="00FF68EC"/>
    <w:rsid w:val="00FF69C0"/>
    <w:rsid w:val="00FF69FA"/>
    <w:rsid w:val="00FF6A73"/>
    <w:rsid w:val="00FF6A9E"/>
    <w:rsid w:val="00FF6AAE"/>
    <w:rsid w:val="00FF6B24"/>
    <w:rsid w:val="00FF6BC0"/>
    <w:rsid w:val="00FF6BCA"/>
    <w:rsid w:val="00FF6D11"/>
    <w:rsid w:val="00FF6D82"/>
    <w:rsid w:val="00FF6DFF"/>
    <w:rsid w:val="00FF6F25"/>
    <w:rsid w:val="00FF6F48"/>
    <w:rsid w:val="00FF6FA1"/>
    <w:rsid w:val="00FF7067"/>
    <w:rsid w:val="00FF70A1"/>
    <w:rsid w:val="00FF70B5"/>
    <w:rsid w:val="00FF733C"/>
    <w:rsid w:val="00FF753C"/>
    <w:rsid w:val="00FF7609"/>
    <w:rsid w:val="00FF764D"/>
    <w:rsid w:val="00FF7782"/>
    <w:rsid w:val="00FF7830"/>
    <w:rsid w:val="00FF7956"/>
    <w:rsid w:val="00FF7961"/>
    <w:rsid w:val="00FF7ADD"/>
    <w:rsid w:val="00FF7B37"/>
    <w:rsid w:val="00FF7C0A"/>
    <w:rsid w:val="00FF7C61"/>
    <w:rsid w:val="00FF7D55"/>
    <w:rsid w:val="00FF7D67"/>
    <w:rsid w:val="00FF7D6B"/>
    <w:rsid w:val="00FF7DBE"/>
    <w:rsid w:val="00FF7E32"/>
    <w:rsid w:val="00FF7E35"/>
    <w:rsid w:val="00FF7EB6"/>
    <w:rsid w:val="00FF7F14"/>
    <w:rsid w:val="0101A516"/>
    <w:rsid w:val="010C0AEF"/>
    <w:rsid w:val="010EAA52"/>
    <w:rsid w:val="0113878E"/>
    <w:rsid w:val="0114B814"/>
    <w:rsid w:val="011BC79F"/>
    <w:rsid w:val="011D8384"/>
    <w:rsid w:val="01211690"/>
    <w:rsid w:val="0122B62B"/>
    <w:rsid w:val="012A54ED"/>
    <w:rsid w:val="012D52EE"/>
    <w:rsid w:val="012ED5CC"/>
    <w:rsid w:val="012EDE83"/>
    <w:rsid w:val="0135D74E"/>
    <w:rsid w:val="0139C49A"/>
    <w:rsid w:val="01434CA5"/>
    <w:rsid w:val="01449AF9"/>
    <w:rsid w:val="014EDBC8"/>
    <w:rsid w:val="0156833F"/>
    <w:rsid w:val="0156847C"/>
    <w:rsid w:val="015B4E51"/>
    <w:rsid w:val="01659092"/>
    <w:rsid w:val="0166FAE3"/>
    <w:rsid w:val="016BFA76"/>
    <w:rsid w:val="016E9486"/>
    <w:rsid w:val="0170F782"/>
    <w:rsid w:val="017BB67B"/>
    <w:rsid w:val="0181FCF6"/>
    <w:rsid w:val="0192FDF3"/>
    <w:rsid w:val="019925DD"/>
    <w:rsid w:val="019FEA0A"/>
    <w:rsid w:val="01A28326"/>
    <w:rsid w:val="01ACEEEC"/>
    <w:rsid w:val="01B3A4A6"/>
    <w:rsid w:val="01C031B4"/>
    <w:rsid w:val="01C91DF6"/>
    <w:rsid w:val="01D22881"/>
    <w:rsid w:val="01D4940D"/>
    <w:rsid w:val="01D7D93B"/>
    <w:rsid w:val="01E46F46"/>
    <w:rsid w:val="01EA9F69"/>
    <w:rsid w:val="01EE4E5D"/>
    <w:rsid w:val="0208FED3"/>
    <w:rsid w:val="020A189C"/>
    <w:rsid w:val="021BE31C"/>
    <w:rsid w:val="021DFA96"/>
    <w:rsid w:val="0220955F"/>
    <w:rsid w:val="02223856"/>
    <w:rsid w:val="0234566C"/>
    <w:rsid w:val="02494ED4"/>
    <w:rsid w:val="0252DC78"/>
    <w:rsid w:val="02534503"/>
    <w:rsid w:val="025B9DBD"/>
    <w:rsid w:val="02637FB9"/>
    <w:rsid w:val="0263E2C0"/>
    <w:rsid w:val="0265573F"/>
    <w:rsid w:val="0267A445"/>
    <w:rsid w:val="026DA036"/>
    <w:rsid w:val="0274896B"/>
    <w:rsid w:val="027DFC41"/>
    <w:rsid w:val="027F8835"/>
    <w:rsid w:val="02866B3E"/>
    <w:rsid w:val="02894D2B"/>
    <w:rsid w:val="02901EC1"/>
    <w:rsid w:val="0294C4F5"/>
    <w:rsid w:val="02BC73C1"/>
    <w:rsid w:val="02BE993E"/>
    <w:rsid w:val="02C106BD"/>
    <w:rsid w:val="02C6466D"/>
    <w:rsid w:val="02D2E14C"/>
    <w:rsid w:val="02D63845"/>
    <w:rsid w:val="02D7C3BF"/>
    <w:rsid w:val="02DD93C3"/>
    <w:rsid w:val="02DF35F5"/>
    <w:rsid w:val="02F2399B"/>
    <w:rsid w:val="02F5A716"/>
    <w:rsid w:val="02F5F965"/>
    <w:rsid w:val="02F9A2D3"/>
    <w:rsid w:val="02FB57E0"/>
    <w:rsid w:val="02FE107E"/>
    <w:rsid w:val="0302B595"/>
    <w:rsid w:val="0308E657"/>
    <w:rsid w:val="03099C01"/>
    <w:rsid w:val="031DBBD1"/>
    <w:rsid w:val="032D0F87"/>
    <w:rsid w:val="03306492"/>
    <w:rsid w:val="03380705"/>
    <w:rsid w:val="034567ED"/>
    <w:rsid w:val="03493EDE"/>
    <w:rsid w:val="03548C96"/>
    <w:rsid w:val="035C6DDD"/>
    <w:rsid w:val="036B1113"/>
    <w:rsid w:val="037666A5"/>
    <w:rsid w:val="037B6637"/>
    <w:rsid w:val="037B831B"/>
    <w:rsid w:val="03801281"/>
    <w:rsid w:val="0386AEF9"/>
    <w:rsid w:val="039280ED"/>
    <w:rsid w:val="0398ECB3"/>
    <w:rsid w:val="0399E683"/>
    <w:rsid w:val="03A46086"/>
    <w:rsid w:val="03A86A1F"/>
    <w:rsid w:val="03BAC04B"/>
    <w:rsid w:val="03C52E87"/>
    <w:rsid w:val="03CA3251"/>
    <w:rsid w:val="03D56CEA"/>
    <w:rsid w:val="03DE1EB3"/>
    <w:rsid w:val="03E23B75"/>
    <w:rsid w:val="03EF22E1"/>
    <w:rsid w:val="03F29AA5"/>
    <w:rsid w:val="03F5101B"/>
    <w:rsid w:val="0400999D"/>
    <w:rsid w:val="04037B36"/>
    <w:rsid w:val="040424DF"/>
    <w:rsid w:val="04081B94"/>
    <w:rsid w:val="040E606B"/>
    <w:rsid w:val="04197CE7"/>
    <w:rsid w:val="041D9234"/>
    <w:rsid w:val="041D939C"/>
    <w:rsid w:val="041D9A44"/>
    <w:rsid w:val="04273017"/>
    <w:rsid w:val="042B360D"/>
    <w:rsid w:val="042DFAB6"/>
    <w:rsid w:val="042ED404"/>
    <w:rsid w:val="0433158E"/>
    <w:rsid w:val="04351AA6"/>
    <w:rsid w:val="0435F61C"/>
    <w:rsid w:val="0436DF98"/>
    <w:rsid w:val="04379C71"/>
    <w:rsid w:val="043FC8E7"/>
    <w:rsid w:val="0441D355"/>
    <w:rsid w:val="04482119"/>
    <w:rsid w:val="0448C4A9"/>
    <w:rsid w:val="044AFBD4"/>
    <w:rsid w:val="044D9E1A"/>
    <w:rsid w:val="044F2C74"/>
    <w:rsid w:val="0459ED90"/>
    <w:rsid w:val="045FBFF3"/>
    <w:rsid w:val="0464BFBF"/>
    <w:rsid w:val="04658830"/>
    <w:rsid w:val="046B37F3"/>
    <w:rsid w:val="04720AB9"/>
    <w:rsid w:val="0473A076"/>
    <w:rsid w:val="0477E45D"/>
    <w:rsid w:val="04781403"/>
    <w:rsid w:val="047ACEAC"/>
    <w:rsid w:val="047B24A3"/>
    <w:rsid w:val="047F63AD"/>
    <w:rsid w:val="047F930B"/>
    <w:rsid w:val="048AF392"/>
    <w:rsid w:val="048E0742"/>
    <w:rsid w:val="0494F58F"/>
    <w:rsid w:val="049572D2"/>
    <w:rsid w:val="04A3122F"/>
    <w:rsid w:val="04A51EDD"/>
    <w:rsid w:val="04A8A8A5"/>
    <w:rsid w:val="04A91F82"/>
    <w:rsid w:val="04A99B71"/>
    <w:rsid w:val="04AD3B1B"/>
    <w:rsid w:val="04AE2323"/>
    <w:rsid w:val="04AFBD5E"/>
    <w:rsid w:val="04B2545F"/>
    <w:rsid w:val="04BE0198"/>
    <w:rsid w:val="04CCDF0F"/>
    <w:rsid w:val="04D3CE86"/>
    <w:rsid w:val="04D4CF9E"/>
    <w:rsid w:val="04D558CA"/>
    <w:rsid w:val="04D6167B"/>
    <w:rsid w:val="04DC9447"/>
    <w:rsid w:val="04EA3E23"/>
    <w:rsid w:val="04EFEC97"/>
    <w:rsid w:val="05025B84"/>
    <w:rsid w:val="05057A6E"/>
    <w:rsid w:val="050A8F6F"/>
    <w:rsid w:val="050C3FAE"/>
    <w:rsid w:val="0510C514"/>
    <w:rsid w:val="051954E7"/>
    <w:rsid w:val="0527C228"/>
    <w:rsid w:val="052EC97C"/>
    <w:rsid w:val="054587CE"/>
    <w:rsid w:val="0547BFC7"/>
    <w:rsid w:val="0549F170"/>
    <w:rsid w:val="05508FC1"/>
    <w:rsid w:val="055A917C"/>
    <w:rsid w:val="0562E93F"/>
    <w:rsid w:val="056544DE"/>
    <w:rsid w:val="0574B73D"/>
    <w:rsid w:val="0576AAED"/>
    <w:rsid w:val="057FD8D2"/>
    <w:rsid w:val="058337B3"/>
    <w:rsid w:val="05888AA4"/>
    <w:rsid w:val="058B3382"/>
    <w:rsid w:val="059043E7"/>
    <w:rsid w:val="05956F2C"/>
    <w:rsid w:val="05985A64"/>
    <w:rsid w:val="059B02F4"/>
    <w:rsid w:val="05A008FE"/>
    <w:rsid w:val="05A111D1"/>
    <w:rsid w:val="05A8D5E6"/>
    <w:rsid w:val="05AB3E6C"/>
    <w:rsid w:val="05B4AB7C"/>
    <w:rsid w:val="05B5327F"/>
    <w:rsid w:val="05BF0799"/>
    <w:rsid w:val="05BFDE2A"/>
    <w:rsid w:val="05C2E865"/>
    <w:rsid w:val="05D41E44"/>
    <w:rsid w:val="05D5A482"/>
    <w:rsid w:val="05E6AFDD"/>
    <w:rsid w:val="05E9E033"/>
    <w:rsid w:val="05EF220E"/>
    <w:rsid w:val="05F1B32B"/>
    <w:rsid w:val="05FDCF7F"/>
    <w:rsid w:val="06071E3D"/>
    <w:rsid w:val="062C7DDF"/>
    <w:rsid w:val="062EF718"/>
    <w:rsid w:val="063213DB"/>
    <w:rsid w:val="06351932"/>
    <w:rsid w:val="06368072"/>
    <w:rsid w:val="063F08B2"/>
    <w:rsid w:val="0642B75A"/>
    <w:rsid w:val="0642DFC0"/>
    <w:rsid w:val="064F4BE8"/>
    <w:rsid w:val="06586540"/>
    <w:rsid w:val="06594FB8"/>
    <w:rsid w:val="065A2D51"/>
    <w:rsid w:val="065B5B5B"/>
    <w:rsid w:val="065BF197"/>
    <w:rsid w:val="065C41BD"/>
    <w:rsid w:val="066526F9"/>
    <w:rsid w:val="0671C638"/>
    <w:rsid w:val="068C045D"/>
    <w:rsid w:val="06907895"/>
    <w:rsid w:val="0691AC57"/>
    <w:rsid w:val="06A6E6C9"/>
    <w:rsid w:val="06AF1830"/>
    <w:rsid w:val="06B5A3D3"/>
    <w:rsid w:val="06BAB37D"/>
    <w:rsid w:val="06C2AF90"/>
    <w:rsid w:val="06C8C43B"/>
    <w:rsid w:val="06C98E22"/>
    <w:rsid w:val="06CA12D6"/>
    <w:rsid w:val="06CD60A5"/>
    <w:rsid w:val="06D18DF0"/>
    <w:rsid w:val="06DC7961"/>
    <w:rsid w:val="06DD8304"/>
    <w:rsid w:val="06E3B45D"/>
    <w:rsid w:val="06ECA430"/>
    <w:rsid w:val="06F05ECE"/>
    <w:rsid w:val="06F27F8A"/>
    <w:rsid w:val="06F7DBF6"/>
    <w:rsid w:val="06FB212E"/>
    <w:rsid w:val="0701D2AB"/>
    <w:rsid w:val="070C18BA"/>
    <w:rsid w:val="071DA9F9"/>
    <w:rsid w:val="0726DC6F"/>
    <w:rsid w:val="072DC465"/>
    <w:rsid w:val="073880D6"/>
    <w:rsid w:val="073B907E"/>
    <w:rsid w:val="073F8A49"/>
    <w:rsid w:val="0759D34B"/>
    <w:rsid w:val="075A16E7"/>
    <w:rsid w:val="075BDCBE"/>
    <w:rsid w:val="076CFF10"/>
    <w:rsid w:val="076E49D6"/>
    <w:rsid w:val="0772EAA0"/>
    <w:rsid w:val="0777C838"/>
    <w:rsid w:val="07796EB5"/>
    <w:rsid w:val="077AC45F"/>
    <w:rsid w:val="077B69CF"/>
    <w:rsid w:val="07829226"/>
    <w:rsid w:val="0782925A"/>
    <w:rsid w:val="078B0519"/>
    <w:rsid w:val="078B0FC1"/>
    <w:rsid w:val="078D120F"/>
    <w:rsid w:val="07913EF5"/>
    <w:rsid w:val="0792B158"/>
    <w:rsid w:val="0794D4FB"/>
    <w:rsid w:val="0798381C"/>
    <w:rsid w:val="079CA0D6"/>
    <w:rsid w:val="07A039D4"/>
    <w:rsid w:val="07A58006"/>
    <w:rsid w:val="07A5B9EB"/>
    <w:rsid w:val="07A6BA1A"/>
    <w:rsid w:val="07B1BF5F"/>
    <w:rsid w:val="07B77219"/>
    <w:rsid w:val="07B9F287"/>
    <w:rsid w:val="07C3A0B0"/>
    <w:rsid w:val="07CA80E3"/>
    <w:rsid w:val="07D0DE84"/>
    <w:rsid w:val="07D208B8"/>
    <w:rsid w:val="07D2B147"/>
    <w:rsid w:val="07D93065"/>
    <w:rsid w:val="07DCC0E4"/>
    <w:rsid w:val="07DEA595"/>
    <w:rsid w:val="07DF16C6"/>
    <w:rsid w:val="07E15A6E"/>
    <w:rsid w:val="07E9C11E"/>
    <w:rsid w:val="07EE04C2"/>
    <w:rsid w:val="08043241"/>
    <w:rsid w:val="0804E7D2"/>
    <w:rsid w:val="080743E9"/>
    <w:rsid w:val="080C6B49"/>
    <w:rsid w:val="080CB5DC"/>
    <w:rsid w:val="08116FDF"/>
    <w:rsid w:val="0811FCD5"/>
    <w:rsid w:val="081508EE"/>
    <w:rsid w:val="081A32A9"/>
    <w:rsid w:val="082063FF"/>
    <w:rsid w:val="0820EC37"/>
    <w:rsid w:val="0822BF32"/>
    <w:rsid w:val="08230E0B"/>
    <w:rsid w:val="0823D5C1"/>
    <w:rsid w:val="0829F4FE"/>
    <w:rsid w:val="082E3810"/>
    <w:rsid w:val="082FE7D0"/>
    <w:rsid w:val="0832DACC"/>
    <w:rsid w:val="08354CEF"/>
    <w:rsid w:val="083625ED"/>
    <w:rsid w:val="08426544"/>
    <w:rsid w:val="0845154E"/>
    <w:rsid w:val="0850B5B8"/>
    <w:rsid w:val="08540FCA"/>
    <w:rsid w:val="0855C4BC"/>
    <w:rsid w:val="0857DD3B"/>
    <w:rsid w:val="086873B6"/>
    <w:rsid w:val="0883FA9B"/>
    <w:rsid w:val="08851B3C"/>
    <w:rsid w:val="088CA33D"/>
    <w:rsid w:val="088DCF43"/>
    <w:rsid w:val="08938088"/>
    <w:rsid w:val="089D8A32"/>
    <w:rsid w:val="089EC6B1"/>
    <w:rsid w:val="08B1BB91"/>
    <w:rsid w:val="08B1DD6E"/>
    <w:rsid w:val="08B9C61D"/>
    <w:rsid w:val="08CA5AA4"/>
    <w:rsid w:val="08CC205E"/>
    <w:rsid w:val="08E2ECB1"/>
    <w:rsid w:val="08E33E56"/>
    <w:rsid w:val="08E9B653"/>
    <w:rsid w:val="08EA74AA"/>
    <w:rsid w:val="08EA8DF3"/>
    <w:rsid w:val="08EBB4EE"/>
    <w:rsid w:val="08EC18F9"/>
    <w:rsid w:val="08EE1165"/>
    <w:rsid w:val="08EED8D9"/>
    <w:rsid w:val="08F340C4"/>
    <w:rsid w:val="08F43C7E"/>
    <w:rsid w:val="08F4E86A"/>
    <w:rsid w:val="08F50086"/>
    <w:rsid w:val="08F81E7D"/>
    <w:rsid w:val="0900792A"/>
    <w:rsid w:val="090123CD"/>
    <w:rsid w:val="0901328D"/>
    <w:rsid w:val="09058EF1"/>
    <w:rsid w:val="090595E7"/>
    <w:rsid w:val="090607B9"/>
    <w:rsid w:val="091833A1"/>
    <w:rsid w:val="091E33C7"/>
    <w:rsid w:val="09220BA1"/>
    <w:rsid w:val="09281827"/>
    <w:rsid w:val="093D9226"/>
    <w:rsid w:val="094196EA"/>
    <w:rsid w:val="0943509E"/>
    <w:rsid w:val="094738D1"/>
    <w:rsid w:val="09477436"/>
    <w:rsid w:val="094B2F09"/>
    <w:rsid w:val="094EAF2A"/>
    <w:rsid w:val="09500CE6"/>
    <w:rsid w:val="0956A7A3"/>
    <w:rsid w:val="096989E5"/>
    <w:rsid w:val="0970C02F"/>
    <w:rsid w:val="09716DCB"/>
    <w:rsid w:val="097182EC"/>
    <w:rsid w:val="09762CE6"/>
    <w:rsid w:val="097C85C1"/>
    <w:rsid w:val="097ED7D8"/>
    <w:rsid w:val="0980BC9B"/>
    <w:rsid w:val="0981E8AF"/>
    <w:rsid w:val="098865D3"/>
    <w:rsid w:val="098B53CE"/>
    <w:rsid w:val="098F2CE6"/>
    <w:rsid w:val="0994FF27"/>
    <w:rsid w:val="099A7D04"/>
    <w:rsid w:val="09A63AE8"/>
    <w:rsid w:val="09C0608D"/>
    <w:rsid w:val="09C4714C"/>
    <w:rsid w:val="09CFDC88"/>
    <w:rsid w:val="09DCA899"/>
    <w:rsid w:val="09DDC1AC"/>
    <w:rsid w:val="09DDC85E"/>
    <w:rsid w:val="09E6EF36"/>
    <w:rsid w:val="09F72741"/>
    <w:rsid w:val="09FFCDA8"/>
    <w:rsid w:val="0A015974"/>
    <w:rsid w:val="0A0689D2"/>
    <w:rsid w:val="0A083E4D"/>
    <w:rsid w:val="0A0D995A"/>
    <w:rsid w:val="0A18D1D4"/>
    <w:rsid w:val="0A23994C"/>
    <w:rsid w:val="0A24F777"/>
    <w:rsid w:val="0A2C95E5"/>
    <w:rsid w:val="0A354EA7"/>
    <w:rsid w:val="0A41103B"/>
    <w:rsid w:val="0A43910F"/>
    <w:rsid w:val="0A43E9C0"/>
    <w:rsid w:val="0A472060"/>
    <w:rsid w:val="0A4D8E0A"/>
    <w:rsid w:val="0A4F34A3"/>
    <w:rsid w:val="0A568993"/>
    <w:rsid w:val="0A5932AF"/>
    <w:rsid w:val="0A5D7E29"/>
    <w:rsid w:val="0A5F3994"/>
    <w:rsid w:val="0A6D2357"/>
    <w:rsid w:val="0A6DBEBD"/>
    <w:rsid w:val="0A6F1F10"/>
    <w:rsid w:val="0A86E9FE"/>
    <w:rsid w:val="0A97605E"/>
    <w:rsid w:val="0A9A628E"/>
    <w:rsid w:val="0AA09B5B"/>
    <w:rsid w:val="0AA39865"/>
    <w:rsid w:val="0AA995E2"/>
    <w:rsid w:val="0AAECDA4"/>
    <w:rsid w:val="0ABFD30E"/>
    <w:rsid w:val="0AC4109A"/>
    <w:rsid w:val="0AC999AA"/>
    <w:rsid w:val="0AD35147"/>
    <w:rsid w:val="0AD4798F"/>
    <w:rsid w:val="0AD8402B"/>
    <w:rsid w:val="0AE31D56"/>
    <w:rsid w:val="0AEAE66B"/>
    <w:rsid w:val="0AEE6429"/>
    <w:rsid w:val="0AF3DB8A"/>
    <w:rsid w:val="0AFAC16E"/>
    <w:rsid w:val="0AFB4891"/>
    <w:rsid w:val="0B02C728"/>
    <w:rsid w:val="0B098CD3"/>
    <w:rsid w:val="0B0AEC5B"/>
    <w:rsid w:val="0B0C6E39"/>
    <w:rsid w:val="0B1DE836"/>
    <w:rsid w:val="0B26B7E0"/>
    <w:rsid w:val="0B27EB36"/>
    <w:rsid w:val="0B28EF3A"/>
    <w:rsid w:val="0B2B0978"/>
    <w:rsid w:val="0B37D533"/>
    <w:rsid w:val="0B471666"/>
    <w:rsid w:val="0B4DB963"/>
    <w:rsid w:val="0B4F782B"/>
    <w:rsid w:val="0B50B258"/>
    <w:rsid w:val="0B53DB36"/>
    <w:rsid w:val="0B54D08D"/>
    <w:rsid w:val="0B5ABD30"/>
    <w:rsid w:val="0B5BB421"/>
    <w:rsid w:val="0B5D61D5"/>
    <w:rsid w:val="0B5ED9E5"/>
    <w:rsid w:val="0B63DF98"/>
    <w:rsid w:val="0B662E00"/>
    <w:rsid w:val="0B692F28"/>
    <w:rsid w:val="0B6C8948"/>
    <w:rsid w:val="0B761B48"/>
    <w:rsid w:val="0B7F88E4"/>
    <w:rsid w:val="0B84CE31"/>
    <w:rsid w:val="0B8B4DF7"/>
    <w:rsid w:val="0B9FA267"/>
    <w:rsid w:val="0BA1D273"/>
    <w:rsid w:val="0BAC40E0"/>
    <w:rsid w:val="0BB29FAC"/>
    <w:rsid w:val="0BB47212"/>
    <w:rsid w:val="0BB82C38"/>
    <w:rsid w:val="0BBB0979"/>
    <w:rsid w:val="0BBC8E46"/>
    <w:rsid w:val="0BC11318"/>
    <w:rsid w:val="0BC88DB2"/>
    <w:rsid w:val="0BCA35ED"/>
    <w:rsid w:val="0BCA4CE1"/>
    <w:rsid w:val="0BCA5DCA"/>
    <w:rsid w:val="0BCFD5D8"/>
    <w:rsid w:val="0BD52DFA"/>
    <w:rsid w:val="0BD8E990"/>
    <w:rsid w:val="0BE25930"/>
    <w:rsid w:val="0BED169A"/>
    <w:rsid w:val="0BEE3F14"/>
    <w:rsid w:val="0BF5E6B1"/>
    <w:rsid w:val="0BFB4E35"/>
    <w:rsid w:val="0BFE3891"/>
    <w:rsid w:val="0C00BDE5"/>
    <w:rsid w:val="0C03DB40"/>
    <w:rsid w:val="0C05ECDE"/>
    <w:rsid w:val="0C0629E7"/>
    <w:rsid w:val="0C1A947D"/>
    <w:rsid w:val="0C1F7C79"/>
    <w:rsid w:val="0C209185"/>
    <w:rsid w:val="0C2093B4"/>
    <w:rsid w:val="0C21371C"/>
    <w:rsid w:val="0C21DCA3"/>
    <w:rsid w:val="0C27B69C"/>
    <w:rsid w:val="0C39AA2F"/>
    <w:rsid w:val="0C39E103"/>
    <w:rsid w:val="0C3BC797"/>
    <w:rsid w:val="0C4BA903"/>
    <w:rsid w:val="0C4E0DEF"/>
    <w:rsid w:val="0C502C81"/>
    <w:rsid w:val="0C589D9C"/>
    <w:rsid w:val="0C5D494B"/>
    <w:rsid w:val="0C618AE4"/>
    <w:rsid w:val="0C6EA30E"/>
    <w:rsid w:val="0C70FEEE"/>
    <w:rsid w:val="0C75D25D"/>
    <w:rsid w:val="0C7F80BB"/>
    <w:rsid w:val="0C808A82"/>
    <w:rsid w:val="0C82015C"/>
    <w:rsid w:val="0C93E0BB"/>
    <w:rsid w:val="0C943288"/>
    <w:rsid w:val="0C9B05CC"/>
    <w:rsid w:val="0C9C36D1"/>
    <w:rsid w:val="0CA02390"/>
    <w:rsid w:val="0CA29A33"/>
    <w:rsid w:val="0CAE3EFB"/>
    <w:rsid w:val="0CB0FCAD"/>
    <w:rsid w:val="0CB4FE7C"/>
    <w:rsid w:val="0CB58A87"/>
    <w:rsid w:val="0CBFE0E2"/>
    <w:rsid w:val="0CC46FDD"/>
    <w:rsid w:val="0CC4C56C"/>
    <w:rsid w:val="0CC7F260"/>
    <w:rsid w:val="0CD1A9D8"/>
    <w:rsid w:val="0CD2BC03"/>
    <w:rsid w:val="0CD3DB90"/>
    <w:rsid w:val="0CDB3F5A"/>
    <w:rsid w:val="0CDD7C50"/>
    <w:rsid w:val="0CE11063"/>
    <w:rsid w:val="0CE6FB16"/>
    <w:rsid w:val="0CEFC27A"/>
    <w:rsid w:val="0CF37AD6"/>
    <w:rsid w:val="0CF4EFBF"/>
    <w:rsid w:val="0CFAF86F"/>
    <w:rsid w:val="0CFD0FB5"/>
    <w:rsid w:val="0CFDC6BD"/>
    <w:rsid w:val="0D0C65FD"/>
    <w:rsid w:val="0D126373"/>
    <w:rsid w:val="0D265C9A"/>
    <w:rsid w:val="0D29330C"/>
    <w:rsid w:val="0D298217"/>
    <w:rsid w:val="0D2E46D2"/>
    <w:rsid w:val="0D3B1DD7"/>
    <w:rsid w:val="0D4138C0"/>
    <w:rsid w:val="0D42EADE"/>
    <w:rsid w:val="0D5150FD"/>
    <w:rsid w:val="0D535814"/>
    <w:rsid w:val="0D586FD9"/>
    <w:rsid w:val="0D69B4D3"/>
    <w:rsid w:val="0D6D4607"/>
    <w:rsid w:val="0D7C7474"/>
    <w:rsid w:val="0D861268"/>
    <w:rsid w:val="0D92BC9D"/>
    <w:rsid w:val="0DA69975"/>
    <w:rsid w:val="0DA77929"/>
    <w:rsid w:val="0DAC9A42"/>
    <w:rsid w:val="0DBCA47E"/>
    <w:rsid w:val="0DC15356"/>
    <w:rsid w:val="0DC3D430"/>
    <w:rsid w:val="0DCDDC56"/>
    <w:rsid w:val="0DD357F8"/>
    <w:rsid w:val="0DD7A9BC"/>
    <w:rsid w:val="0DDD6FE2"/>
    <w:rsid w:val="0DDF9C3A"/>
    <w:rsid w:val="0DE205D4"/>
    <w:rsid w:val="0DE2DAD1"/>
    <w:rsid w:val="0DE6C591"/>
    <w:rsid w:val="0DEE5B42"/>
    <w:rsid w:val="0DF103C0"/>
    <w:rsid w:val="0DF183F9"/>
    <w:rsid w:val="0DF61D92"/>
    <w:rsid w:val="0DF7D9A6"/>
    <w:rsid w:val="0DFA6D79"/>
    <w:rsid w:val="0E07C356"/>
    <w:rsid w:val="0E08ED60"/>
    <w:rsid w:val="0E15D8C2"/>
    <w:rsid w:val="0E19F01E"/>
    <w:rsid w:val="0E1ADC29"/>
    <w:rsid w:val="0E1FC889"/>
    <w:rsid w:val="0E2D0E30"/>
    <w:rsid w:val="0E2DB20E"/>
    <w:rsid w:val="0E328CBF"/>
    <w:rsid w:val="0E370CC5"/>
    <w:rsid w:val="0E3D83F3"/>
    <w:rsid w:val="0E44DE16"/>
    <w:rsid w:val="0E4C8DED"/>
    <w:rsid w:val="0E536CFE"/>
    <w:rsid w:val="0E6C48F5"/>
    <w:rsid w:val="0E6C9078"/>
    <w:rsid w:val="0E70A78C"/>
    <w:rsid w:val="0E7A50F2"/>
    <w:rsid w:val="0E875607"/>
    <w:rsid w:val="0E8BCAE4"/>
    <w:rsid w:val="0E9B1035"/>
    <w:rsid w:val="0EA3E9B0"/>
    <w:rsid w:val="0EA8EEFC"/>
    <w:rsid w:val="0EAB2086"/>
    <w:rsid w:val="0EAD6679"/>
    <w:rsid w:val="0EB039AF"/>
    <w:rsid w:val="0EB32118"/>
    <w:rsid w:val="0EB869E9"/>
    <w:rsid w:val="0EC16E3A"/>
    <w:rsid w:val="0EC2B706"/>
    <w:rsid w:val="0EC6E417"/>
    <w:rsid w:val="0EC814BD"/>
    <w:rsid w:val="0ED1DF16"/>
    <w:rsid w:val="0ED24412"/>
    <w:rsid w:val="0EDCFFBB"/>
    <w:rsid w:val="0EDFCE96"/>
    <w:rsid w:val="0EEABEF4"/>
    <w:rsid w:val="0EF0BCFE"/>
    <w:rsid w:val="0EF6804C"/>
    <w:rsid w:val="0EF99342"/>
    <w:rsid w:val="0F076BCE"/>
    <w:rsid w:val="0F0A5050"/>
    <w:rsid w:val="0F0C54A1"/>
    <w:rsid w:val="0F0CE634"/>
    <w:rsid w:val="0F138398"/>
    <w:rsid w:val="0F169814"/>
    <w:rsid w:val="0F16A654"/>
    <w:rsid w:val="0F1765FA"/>
    <w:rsid w:val="0F198A09"/>
    <w:rsid w:val="0F1B9A5A"/>
    <w:rsid w:val="0F203D30"/>
    <w:rsid w:val="0F3AF376"/>
    <w:rsid w:val="0F43624B"/>
    <w:rsid w:val="0F4C45EA"/>
    <w:rsid w:val="0F4CDB84"/>
    <w:rsid w:val="0F53AFEC"/>
    <w:rsid w:val="0F57E483"/>
    <w:rsid w:val="0F68C1ED"/>
    <w:rsid w:val="0F69372B"/>
    <w:rsid w:val="0F6FCD93"/>
    <w:rsid w:val="0F77E7EC"/>
    <w:rsid w:val="0F818397"/>
    <w:rsid w:val="0F8B465A"/>
    <w:rsid w:val="0F94BE23"/>
    <w:rsid w:val="0F952E80"/>
    <w:rsid w:val="0F968F2C"/>
    <w:rsid w:val="0F983192"/>
    <w:rsid w:val="0F9C9263"/>
    <w:rsid w:val="0F9C9E9E"/>
    <w:rsid w:val="0F9ECCDB"/>
    <w:rsid w:val="0F9EE4CA"/>
    <w:rsid w:val="0FA3AACD"/>
    <w:rsid w:val="0FB23F5E"/>
    <w:rsid w:val="0FB834DA"/>
    <w:rsid w:val="0FBA9E9B"/>
    <w:rsid w:val="0FC5C507"/>
    <w:rsid w:val="0FCAAF4C"/>
    <w:rsid w:val="0FCE35C8"/>
    <w:rsid w:val="0FCFC907"/>
    <w:rsid w:val="0FD31FBF"/>
    <w:rsid w:val="0FD52B0D"/>
    <w:rsid w:val="0FD8AEA5"/>
    <w:rsid w:val="0FDA3A01"/>
    <w:rsid w:val="0FDCD7F6"/>
    <w:rsid w:val="0FE5B63A"/>
    <w:rsid w:val="0FEA3A4C"/>
    <w:rsid w:val="0FEDA021"/>
    <w:rsid w:val="0FF090B7"/>
    <w:rsid w:val="0FFB8F35"/>
    <w:rsid w:val="10039EE8"/>
    <w:rsid w:val="10068107"/>
    <w:rsid w:val="1007AFF5"/>
    <w:rsid w:val="100AD6FB"/>
    <w:rsid w:val="100B0446"/>
    <w:rsid w:val="101348E2"/>
    <w:rsid w:val="1016D34E"/>
    <w:rsid w:val="10171AF0"/>
    <w:rsid w:val="101B6EEE"/>
    <w:rsid w:val="10310599"/>
    <w:rsid w:val="103289D9"/>
    <w:rsid w:val="1034ACDD"/>
    <w:rsid w:val="10357A79"/>
    <w:rsid w:val="103C2CC6"/>
    <w:rsid w:val="103C9919"/>
    <w:rsid w:val="10424634"/>
    <w:rsid w:val="10553475"/>
    <w:rsid w:val="10614F79"/>
    <w:rsid w:val="1062D300"/>
    <w:rsid w:val="1062FDC3"/>
    <w:rsid w:val="106444A9"/>
    <w:rsid w:val="106950E4"/>
    <w:rsid w:val="10695255"/>
    <w:rsid w:val="1073E6F4"/>
    <w:rsid w:val="1074269A"/>
    <w:rsid w:val="107B709F"/>
    <w:rsid w:val="10896937"/>
    <w:rsid w:val="1089E2EB"/>
    <w:rsid w:val="1094C832"/>
    <w:rsid w:val="10A2DA6D"/>
    <w:rsid w:val="10A51ED3"/>
    <w:rsid w:val="10A5352F"/>
    <w:rsid w:val="10A7B13E"/>
    <w:rsid w:val="10AC2DCC"/>
    <w:rsid w:val="10AC8456"/>
    <w:rsid w:val="10ACB619"/>
    <w:rsid w:val="10AE12F4"/>
    <w:rsid w:val="10B536E5"/>
    <w:rsid w:val="10B79AF6"/>
    <w:rsid w:val="10B9652D"/>
    <w:rsid w:val="10C011A3"/>
    <w:rsid w:val="10CEF721"/>
    <w:rsid w:val="10D33F1A"/>
    <w:rsid w:val="10DF9817"/>
    <w:rsid w:val="10E269AC"/>
    <w:rsid w:val="10EB6944"/>
    <w:rsid w:val="10FB6184"/>
    <w:rsid w:val="10FCBE68"/>
    <w:rsid w:val="10FE92E2"/>
    <w:rsid w:val="110216C2"/>
    <w:rsid w:val="1104066E"/>
    <w:rsid w:val="1108EF4D"/>
    <w:rsid w:val="110E4DC8"/>
    <w:rsid w:val="11161A3A"/>
    <w:rsid w:val="1118F02B"/>
    <w:rsid w:val="1118FED1"/>
    <w:rsid w:val="111CDCAE"/>
    <w:rsid w:val="111D6876"/>
    <w:rsid w:val="111F4EDD"/>
    <w:rsid w:val="11247885"/>
    <w:rsid w:val="11264C7E"/>
    <w:rsid w:val="112A4DC2"/>
    <w:rsid w:val="112A8730"/>
    <w:rsid w:val="112B4631"/>
    <w:rsid w:val="11326DAB"/>
    <w:rsid w:val="113E8CC0"/>
    <w:rsid w:val="11430E10"/>
    <w:rsid w:val="114580D6"/>
    <w:rsid w:val="114855E7"/>
    <w:rsid w:val="114DB559"/>
    <w:rsid w:val="11544CC4"/>
    <w:rsid w:val="1154794A"/>
    <w:rsid w:val="1157C0EF"/>
    <w:rsid w:val="1168E2A7"/>
    <w:rsid w:val="11716D00"/>
    <w:rsid w:val="117523FE"/>
    <w:rsid w:val="117C37DA"/>
    <w:rsid w:val="11839791"/>
    <w:rsid w:val="11841D69"/>
    <w:rsid w:val="1188597E"/>
    <w:rsid w:val="1189109E"/>
    <w:rsid w:val="118C38C8"/>
    <w:rsid w:val="1192E2F6"/>
    <w:rsid w:val="119F4B30"/>
    <w:rsid w:val="11A0434E"/>
    <w:rsid w:val="11A1F289"/>
    <w:rsid w:val="11A40BDF"/>
    <w:rsid w:val="11A4E662"/>
    <w:rsid w:val="11A73307"/>
    <w:rsid w:val="11A7C7DD"/>
    <w:rsid w:val="11ABD9CC"/>
    <w:rsid w:val="11B36E18"/>
    <w:rsid w:val="11BC5F6C"/>
    <w:rsid w:val="11C9FE47"/>
    <w:rsid w:val="11D55A42"/>
    <w:rsid w:val="11E207C4"/>
    <w:rsid w:val="11E3B292"/>
    <w:rsid w:val="11ED4258"/>
    <w:rsid w:val="11F108F2"/>
    <w:rsid w:val="11F6B4E8"/>
    <w:rsid w:val="11FD2A6F"/>
    <w:rsid w:val="11FDBEDB"/>
    <w:rsid w:val="11FDEF21"/>
    <w:rsid w:val="11FFBD29"/>
    <w:rsid w:val="11FFBD7A"/>
    <w:rsid w:val="1209C01A"/>
    <w:rsid w:val="120A2BCB"/>
    <w:rsid w:val="120ECE50"/>
    <w:rsid w:val="1210A11A"/>
    <w:rsid w:val="12114A1C"/>
    <w:rsid w:val="1214252D"/>
    <w:rsid w:val="12146720"/>
    <w:rsid w:val="121F37E5"/>
    <w:rsid w:val="12231146"/>
    <w:rsid w:val="122D112B"/>
    <w:rsid w:val="122F89D9"/>
    <w:rsid w:val="12364FEE"/>
    <w:rsid w:val="123C2E5D"/>
    <w:rsid w:val="12421349"/>
    <w:rsid w:val="1245F5FD"/>
    <w:rsid w:val="1253B2CD"/>
    <w:rsid w:val="125A82B5"/>
    <w:rsid w:val="125F2CF3"/>
    <w:rsid w:val="12603EA8"/>
    <w:rsid w:val="1262F83B"/>
    <w:rsid w:val="1263CFEB"/>
    <w:rsid w:val="12776526"/>
    <w:rsid w:val="128341D0"/>
    <w:rsid w:val="128630E1"/>
    <w:rsid w:val="12865A3D"/>
    <w:rsid w:val="128E539F"/>
    <w:rsid w:val="128EC6FB"/>
    <w:rsid w:val="1295C305"/>
    <w:rsid w:val="1296F8E8"/>
    <w:rsid w:val="129B7370"/>
    <w:rsid w:val="12A14705"/>
    <w:rsid w:val="12A20430"/>
    <w:rsid w:val="12A86F7A"/>
    <w:rsid w:val="12AE280A"/>
    <w:rsid w:val="12BCE7E6"/>
    <w:rsid w:val="12BF3F95"/>
    <w:rsid w:val="12C0156B"/>
    <w:rsid w:val="12C27563"/>
    <w:rsid w:val="12C3E0EB"/>
    <w:rsid w:val="12C713B5"/>
    <w:rsid w:val="12D06224"/>
    <w:rsid w:val="12D5F74F"/>
    <w:rsid w:val="12E0971D"/>
    <w:rsid w:val="12EC91F8"/>
    <w:rsid w:val="12ECE65A"/>
    <w:rsid w:val="12EDAEF8"/>
    <w:rsid w:val="12EE992C"/>
    <w:rsid w:val="12F45459"/>
    <w:rsid w:val="12F54B35"/>
    <w:rsid w:val="13003F2A"/>
    <w:rsid w:val="1301D800"/>
    <w:rsid w:val="130C154B"/>
    <w:rsid w:val="131BB91B"/>
    <w:rsid w:val="131FB84A"/>
    <w:rsid w:val="132BB1A2"/>
    <w:rsid w:val="132BD9CF"/>
    <w:rsid w:val="1333C672"/>
    <w:rsid w:val="13396CC7"/>
    <w:rsid w:val="133DDD2F"/>
    <w:rsid w:val="1341D24D"/>
    <w:rsid w:val="134EAE75"/>
    <w:rsid w:val="135B5171"/>
    <w:rsid w:val="135C4F32"/>
    <w:rsid w:val="136A7D2C"/>
    <w:rsid w:val="136C2931"/>
    <w:rsid w:val="136F58D9"/>
    <w:rsid w:val="1376C8BD"/>
    <w:rsid w:val="138347E6"/>
    <w:rsid w:val="1388A0B5"/>
    <w:rsid w:val="139216C9"/>
    <w:rsid w:val="1396EFFF"/>
    <w:rsid w:val="139C3477"/>
    <w:rsid w:val="139FB097"/>
    <w:rsid w:val="13A399CA"/>
    <w:rsid w:val="13B55FBD"/>
    <w:rsid w:val="13C1BFA8"/>
    <w:rsid w:val="13C24738"/>
    <w:rsid w:val="13C29970"/>
    <w:rsid w:val="13C5DC52"/>
    <w:rsid w:val="13C7796A"/>
    <w:rsid w:val="13D12C95"/>
    <w:rsid w:val="13D963DE"/>
    <w:rsid w:val="13DFA9DF"/>
    <w:rsid w:val="13E2F558"/>
    <w:rsid w:val="13E3B3CF"/>
    <w:rsid w:val="13E7F50F"/>
    <w:rsid w:val="13E98EC4"/>
    <w:rsid w:val="13EDBCD4"/>
    <w:rsid w:val="13FB72B8"/>
    <w:rsid w:val="13FF3F54"/>
    <w:rsid w:val="140C7488"/>
    <w:rsid w:val="140E49A7"/>
    <w:rsid w:val="140EF26B"/>
    <w:rsid w:val="14191AC5"/>
    <w:rsid w:val="14255344"/>
    <w:rsid w:val="1428437E"/>
    <w:rsid w:val="142F7B83"/>
    <w:rsid w:val="143B0D86"/>
    <w:rsid w:val="143B1B16"/>
    <w:rsid w:val="1448543F"/>
    <w:rsid w:val="1448629A"/>
    <w:rsid w:val="1448A1A7"/>
    <w:rsid w:val="144B4EAE"/>
    <w:rsid w:val="144B6233"/>
    <w:rsid w:val="144BC537"/>
    <w:rsid w:val="144CA4F3"/>
    <w:rsid w:val="144CB1A2"/>
    <w:rsid w:val="144EE9A4"/>
    <w:rsid w:val="146F4E2C"/>
    <w:rsid w:val="14711101"/>
    <w:rsid w:val="14715F38"/>
    <w:rsid w:val="1473E66A"/>
    <w:rsid w:val="1474F1C6"/>
    <w:rsid w:val="1477AB11"/>
    <w:rsid w:val="147AC8F3"/>
    <w:rsid w:val="147BE8B8"/>
    <w:rsid w:val="147C4C4E"/>
    <w:rsid w:val="148F01C4"/>
    <w:rsid w:val="1490FC14"/>
    <w:rsid w:val="14989E6B"/>
    <w:rsid w:val="1498E12F"/>
    <w:rsid w:val="14A03908"/>
    <w:rsid w:val="14A0E8CD"/>
    <w:rsid w:val="14B0F845"/>
    <w:rsid w:val="14B5664D"/>
    <w:rsid w:val="14B8B9AD"/>
    <w:rsid w:val="14BB6BF3"/>
    <w:rsid w:val="14BB74F6"/>
    <w:rsid w:val="14BC6F18"/>
    <w:rsid w:val="14C58313"/>
    <w:rsid w:val="14C74C15"/>
    <w:rsid w:val="14D8AE11"/>
    <w:rsid w:val="14E01610"/>
    <w:rsid w:val="14E18F24"/>
    <w:rsid w:val="14E1D544"/>
    <w:rsid w:val="14E9C365"/>
    <w:rsid w:val="14E9C9C4"/>
    <w:rsid w:val="14EB279E"/>
    <w:rsid w:val="14EBF3B1"/>
    <w:rsid w:val="14EDAD18"/>
    <w:rsid w:val="14F4A6F3"/>
    <w:rsid w:val="14FBC080"/>
    <w:rsid w:val="15028987"/>
    <w:rsid w:val="150B71C0"/>
    <w:rsid w:val="151528DB"/>
    <w:rsid w:val="15156723"/>
    <w:rsid w:val="1515ADFF"/>
    <w:rsid w:val="151F4CEB"/>
    <w:rsid w:val="152A3BA4"/>
    <w:rsid w:val="153B300C"/>
    <w:rsid w:val="153CFFA3"/>
    <w:rsid w:val="1549FB60"/>
    <w:rsid w:val="1551C7D1"/>
    <w:rsid w:val="15595FEB"/>
    <w:rsid w:val="156EB5DE"/>
    <w:rsid w:val="156F1031"/>
    <w:rsid w:val="157065D1"/>
    <w:rsid w:val="15728FC8"/>
    <w:rsid w:val="15760038"/>
    <w:rsid w:val="157778B5"/>
    <w:rsid w:val="157C9434"/>
    <w:rsid w:val="158087CF"/>
    <w:rsid w:val="1581B9F9"/>
    <w:rsid w:val="15839A85"/>
    <w:rsid w:val="158720C0"/>
    <w:rsid w:val="158C0E53"/>
    <w:rsid w:val="1591FA22"/>
    <w:rsid w:val="15928E8D"/>
    <w:rsid w:val="15939CB4"/>
    <w:rsid w:val="159EA0C7"/>
    <w:rsid w:val="15A8AD42"/>
    <w:rsid w:val="15A8FEAC"/>
    <w:rsid w:val="15B131D5"/>
    <w:rsid w:val="15B50C47"/>
    <w:rsid w:val="15B57050"/>
    <w:rsid w:val="15B89E37"/>
    <w:rsid w:val="15BB5016"/>
    <w:rsid w:val="15CC86ED"/>
    <w:rsid w:val="15CD24AA"/>
    <w:rsid w:val="15CDEAE4"/>
    <w:rsid w:val="15D318F4"/>
    <w:rsid w:val="15D3B98B"/>
    <w:rsid w:val="15D7A6DA"/>
    <w:rsid w:val="15DDD1C5"/>
    <w:rsid w:val="15EC7FC6"/>
    <w:rsid w:val="15ED4A5A"/>
    <w:rsid w:val="15F26F4F"/>
    <w:rsid w:val="15FE7016"/>
    <w:rsid w:val="160122AC"/>
    <w:rsid w:val="16046E52"/>
    <w:rsid w:val="16057261"/>
    <w:rsid w:val="160AA56C"/>
    <w:rsid w:val="161833C4"/>
    <w:rsid w:val="161BBD14"/>
    <w:rsid w:val="161F5397"/>
    <w:rsid w:val="1620E03D"/>
    <w:rsid w:val="1622E05C"/>
    <w:rsid w:val="1622EE1C"/>
    <w:rsid w:val="1625356D"/>
    <w:rsid w:val="162C0F52"/>
    <w:rsid w:val="16322B20"/>
    <w:rsid w:val="1637B6CF"/>
    <w:rsid w:val="163FBACC"/>
    <w:rsid w:val="16496CBF"/>
    <w:rsid w:val="164CD8D7"/>
    <w:rsid w:val="16560C24"/>
    <w:rsid w:val="1658847B"/>
    <w:rsid w:val="16672DD3"/>
    <w:rsid w:val="1668B72E"/>
    <w:rsid w:val="1669596D"/>
    <w:rsid w:val="1671A292"/>
    <w:rsid w:val="1675A26D"/>
    <w:rsid w:val="1678C276"/>
    <w:rsid w:val="16898B4C"/>
    <w:rsid w:val="1693DF0F"/>
    <w:rsid w:val="16960509"/>
    <w:rsid w:val="16990AF1"/>
    <w:rsid w:val="169ACF39"/>
    <w:rsid w:val="169B824D"/>
    <w:rsid w:val="169BD830"/>
    <w:rsid w:val="16A486F5"/>
    <w:rsid w:val="16A8CC73"/>
    <w:rsid w:val="16A9438E"/>
    <w:rsid w:val="16AC8B18"/>
    <w:rsid w:val="16B68A97"/>
    <w:rsid w:val="16BBE6D5"/>
    <w:rsid w:val="16C13D76"/>
    <w:rsid w:val="16C14112"/>
    <w:rsid w:val="16C5620F"/>
    <w:rsid w:val="16C6A7B9"/>
    <w:rsid w:val="16D4750E"/>
    <w:rsid w:val="16D50E80"/>
    <w:rsid w:val="16E640A0"/>
    <w:rsid w:val="16E66C97"/>
    <w:rsid w:val="16E71AF4"/>
    <w:rsid w:val="16E95BA8"/>
    <w:rsid w:val="16E9775A"/>
    <w:rsid w:val="16EC487C"/>
    <w:rsid w:val="16F1BD60"/>
    <w:rsid w:val="16F327FE"/>
    <w:rsid w:val="16F36B1A"/>
    <w:rsid w:val="16FAB60C"/>
    <w:rsid w:val="16FD997C"/>
    <w:rsid w:val="17049475"/>
    <w:rsid w:val="171B5216"/>
    <w:rsid w:val="171C605F"/>
    <w:rsid w:val="17240788"/>
    <w:rsid w:val="1727A365"/>
    <w:rsid w:val="17294366"/>
    <w:rsid w:val="172D640A"/>
    <w:rsid w:val="17373F86"/>
    <w:rsid w:val="1737FE2F"/>
    <w:rsid w:val="173BC0B6"/>
    <w:rsid w:val="173BD28C"/>
    <w:rsid w:val="173D17EA"/>
    <w:rsid w:val="173F504A"/>
    <w:rsid w:val="173FCD86"/>
    <w:rsid w:val="174107BB"/>
    <w:rsid w:val="17477B6C"/>
    <w:rsid w:val="1748C42C"/>
    <w:rsid w:val="174ABFFB"/>
    <w:rsid w:val="1750ADFB"/>
    <w:rsid w:val="17528CA6"/>
    <w:rsid w:val="175F9C8E"/>
    <w:rsid w:val="1760C0F2"/>
    <w:rsid w:val="1767A422"/>
    <w:rsid w:val="177B0D39"/>
    <w:rsid w:val="177D2C14"/>
    <w:rsid w:val="17828175"/>
    <w:rsid w:val="17877878"/>
    <w:rsid w:val="17886317"/>
    <w:rsid w:val="178A5D8A"/>
    <w:rsid w:val="178F8A98"/>
    <w:rsid w:val="179199B2"/>
    <w:rsid w:val="179435EB"/>
    <w:rsid w:val="17970AFD"/>
    <w:rsid w:val="17A31D4A"/>
    <w:rsid w:val="17A38536"/>
    <w:rsid w:val="17BA3069"/>
    <w:rsid w:val="17C7FA9E"/>
    <w:rsid w:val="17C8936F"/>
    <w:rsid w:val="17CD50B4"/>
    <w:rsid w:val="17D57DE6"/>
    <w:rsid w:val="17D5FC47"/>
    <w:rsid w:val="17D8067F"/>
    <w:rsid w:val="17D85CCB"/>
    <w:rsid w:val="17DA3A14"/>
    <w:rsid w:val="17E5A3C6"/>
    <w:rsid w:val="17E8668B"/>
    <w:rsid w:val="17EE70CD"/>
    <w:rsid w:val="17F0EC09"/>
    <w:rsid w:val="17F634D6"/>
    <w:rsid w:val="17F97013"/>
    <w:rsid w:val="17FA216F"/>
    <w:rsid w:val="1800071C"/>
    <w:rsid w:val="1807FD68"/>
    <w:rsid w:val="180ADDD3"/>
    <w:rsid w:val="182074D6"/>
    <w:rsid w:val="18249BCF"/>
    <w:rsid w:val="1825AB80"/>
    <w:rsid w:val="182748E9"/>
    <w:rsid w:val="1829B114"/>
    <w:rsid w:val="183C5B70"/>
    <w:rsid w:val="183E895E"/>
    <w:rsid w:val="1840776A"/>
    <w:rsid w:val="1842D750"/>
    <w:rsid w:val="18513E46"/>
    <w:rsid w:val="185AABA5"/>
    <w:rsid w:val="1862B61E"/>
    <w:rsid w:val="18664369"/>
    <w:rsid w:val="1873DF3E"/>
    <w:rsid w:val="1879DA30"/>
    <w:rsid w:val="188C1969"/>
    <w:rsid w:val="18994619"/>
    <w:rsid w:val="189E220F"/>
    <w:rsid w:val="18A1C3A6"/>
    <w:rsid w:val="18BAB7DF"/>
    <w:rsid w:val="18BC5192"/>
    <w:rsid w:val="18C03E1E"/>
    <w:rsid w:val="18C521C0"/>
    <w:rsid w:val="18C63587"/>
    <w:rsid w:val="18C881B1"/>
    <w:rsid w:val="18CDFB05"/>
    <w:rsid w:val="18CE8770"/>
    <w:rsid w:val="18D184B5"/>
    <w:rsid w:val="18D51EA1"/>
    <w:rsid w:val="18D5D67A"/>
    <w:rsid w:val="18D6DB21"/>
    <w:rsid w:val="18E98442"/>
    <w:rsid w:val="18F9243B"/>
    <w:rsid w:val="1900F9D0"/>
    <w:rsid w:val="19033A52"/>
    <w:rsid w:val="1903D6A5"/>
    <w:rsid w:val="19068CCA"/>
    <w:rsid w:val="191542D7"/>
    <w:rsid w:val="19175E35"/>
    <w:rsid w:val="1920D7C1"/>
    <w:rsid w:val="19250577"/>
    <w:rsid w:val="1926FFB4"/>
    <w:rsid w:val="192B3021"/>
    <w:rsid w:val="192BE1F5"/>
    <w:rsid w:val="19323A9B"/>
    <w:rsid w:val="1935C55D"/>
    <w:rsid w:val="1935CD07"/>
    <w:rsid w:val="193A0E7A"/>
    <w:rsid w:val="194344CD"/>
    <w:rsid w:val="1944C7D6"/>
    <w:rsid w:val="194C7E6E"/>
    <w:rsid w:val="195D8D2F"/>
    <w:rsid w:val="195D9491"/>
    <w:rsid w:val="19674516"/>
    <w:rsid w:val="19818213"/>
    <w:rsid w:val="1982A59D"/>
    <w:rsid w:val="198FADBC"/>
    <w:rsid w:val="1996B8BD"/>
    <w:rsid w:val="19A2AF2C"/>
    <w:rsid w:val="19A546A1"/>
    <w:rsid w:val="19A57CC1"/>
    <w:rsid w:val="19A958A3"/>
    <w:rsid w:val="19AD2EAE"/>
    <w:rsid w:val="19AF8E03"/>
    <w:rsid w:val="19B0C4DA"/>
    <w:rsid w:val="19B55F5C"/>
    <w:rsid w:val="19BE195C"/>
    <w:rsid w:val="19C0DE46"/>
    <w:rsid w:val="19C4037B"/>
    <w:rsid w:val="19CD47FC"/>
    <w:rsid w:val="19D00B33"/>
    <w:rsid w:val="19D03EFF"/>
    <w:rsid w:val="19D3D66E"/>
    <w:rsid w:val="19D42F72"/>
    <w:rsid w:val="19E86EA8"/>
    <w:rsid w:val="19E89673"/>
    <w:rsid w:val="19EA42E6"/>
    <w:rsid w:val="19EC73F8"/>
    <w:rsid w:val="1A019DC9"/>
    <w:rsid w:val="1A12159E"/>
    <w:rsid w:val="1A20E34A"/>
    <w:rsid w:val="1A28A854"/>
    <w:rsid w:val="1A29CFC9"/>
    <w:rsid w:val="1A2C2A4C"/>
    <w:rsid w:val="1A2FCDB8"/>
    <w:rsid w:val="1A3A243F"/>
    <w:rsid w:val="1A42104E"/>
    <w:rsid w:val="1A43C038"/>
    <w:rsid w:val="1A43EB4C"/>
    <w:rsid w:val="1A49056C"/>
    <w:rsid w:val="1A56530B"/>
    <w:rsid w:val="1A5AE08F"/>
    <w:rsid w:val="1A5CA1F8"/>
    <w:rsid w:val="1A5E7CE4"/>
    <w:rsid w:val="1A6110A0"/>
    <w:rsid w:val="1A6835B1"/>
    <w:rsid w:val="1A73200A"/>
    <w:rsid w:val="1A73D3E0"/>
    <w:rsid w:val="1A79053D"/>
    <w:rsid w:val="1A79E48A"/>
    <w:rsid w:val="1A7A5F18"/>
    <w:rsid w:val="1A7BC25C"/>
    <w:rsid w:val="1A83977C"/>
    <w:rsid w:val="1A8E279A"/>
    <w:rsid w:val="1A91495A"/>
    <w:rsid w:val="1A935915"/>
    <w:rsid w:val="1A9B00E3"/>
    <w:rsid w:val="1A9F726E"/>
    <w:rsid w:val="1AA2E3F9"/>
    <w:rsid w:val="1AA36D2F"/>
    <w:rsid w:val="1AC41610"/>
    <w:rsid w:val="1AC6F2D3"/>
    <w:rsid w:val="1ACA6F80"/>
    <w:rsid w:val="1ADA8976"/>
    <w:rsid w:val="1AE066A4"/>
    <w:rsid w:val="1AE53164"/>
    <w:rsid w:val="1AEC3C05"/>
    <w:rsid w:val="1AF99FEE"/>
    <w:rsid w:val="1AFB4DFD"/>
    <w:rsid w:val="1AFDBD98"/>
    <w:rsid w:val="1B015A2F"/>
    <w:rsid w:val="1B01A603"/>
    <w:rsid w:val="1B083A42"/>
    <w:rsid w:val="1B0E4C9D"/>
    <w:rsid w:val="1B0E5C32"/>
    <w:rsid w:val="1B0EA09C"/>
    <w:rsid w:val="1B1A10DB"/>
    <w:rsid w:val="1B2A12C7"/>
    <w:rsid w:val="1B2BC05C"/>
    <w:rsid w:val="1B2D26F6"/>
    <w:rsid w:val="1B35D584"/>
    <w:rsid w:val="1B37EC66"/>
    <w:rsid w:val="1B3A60F1"/>
    <w:rsid w:val="1B4A4D06"/>
    <w:rsid w:val="1B50D693"/>
    <w:rsid w:val="1B562F76"/>
    <w:rsid w:val="1B57B08E"/>
    <w:rsid w:val="1B5C9FF3"/>
    <w:rsid w:val="1B620409"/>
    <w:rsid w:val="1B695631"/>
    <w:rsid w:val="1B6CC91E"/>
    <w:rsid w:val="1B6DA942"/>
    <w:rsid w:val="1B7066BE"/>
    <w:rsid w:val="1B714958"/>
    <w:rsid w:val="1B78ED33"/>
    <w:rsid w:val="1B7D8FFB"/>
    <w:rsid w:val="1B7F2F57"/>
    <w:rsid w:val="1B852D76"/>
    <w:rsid w:val="1B88A622"/>
    <w:rsid w:val="1B8B6125"/>
    <w:rsid w:val="1B94A992"/>
    <w:rsid w:val="1B9B8B3D"/>
    <w:rsid w:val="1BA5B4A2"/>
    <w:rsid w:val="1BA994DF"/>
    <w:rsid w:val="1BAB97A9"/>
    <w:rsid w:val="1BB09861"/>
    <w:rsid w:val="1BB9CBE1"/>
    <w:rsid w:val="1BBA5DAA"/>
    <w:rsid w:val="1BBB2E61"/>
    <w:rsid w:val="1BBBEE30"/>
    <w:rsid w:val="1BC29F8F"/>
    <w:rsid w:val="1BD27BA9"/>
    <w:rsid w:val="1BD2AFCE"/>
    <w:rsid w:val="1BD8D6E4"/>
    <w:rsid w:val="1BE785A3"/>
    <w:rsid w:val="1BEE8565"/>
    <w:rsid w:val="1BF017BC"/>
    <w:rsid w:val="1BFFB1D1"/>
    <w:rsid w:val="1C03A139"/>
    <w:rsid w:val="1C08A405"/>
    <w:rsid w:val="1C0BCCC6"/>
    <w:rsid w:val="1C141DAB"/>
    <w:rsid w:val="1C1F2EEF"/>
    <w:rsid w:val="1C1F8F65"/>
    <w:rsid w:val="1C255BC8"/>
    <w:rsid w:val="1C269A68"/>
    <w:rsid w:val="1C277DFF"/>
    <w:rsid w:val="1C2960A5"/>
    <w:rsid w:val="1C2D3AB8"/>
    <w:rsid w:val="1C2DA848"/>
    <w:rsid w:val="1C301A66"/>
    <w:rsid w:val="1C367A12"/>
    <w:rsid w:val="1C378928"/>
    <w:rsid w:val="1C3BF3C6"/>
    <w:rsid w:val="1C41836D"/>
    <w:rsid w:val="1C41AA54"/>
    <w:rsid w:val="1C49B569"/>
    <w:rsid w:val="1C4BE49A"/>
    <w:rsid w:val="1C4DDA2A"/>
    <w:rsid w:val="1C4FAB5F"/>
    <w:rsid w:val="1C543F27"/>
    <w:rsid w:val="1C58F1CD"/>
    <w:rsid w:val="1C59285F"/>
    <w:rsid w:val="1C5A9088"/>
    <w:rsid w:val="1C5B6046"/>
    <w:rsid w:val="1C72D2C9"/>
    <w:rsid w:val="1C77A15A"/>
    <w:rsid w:val="1C7C9498"/>
    <w:rsid w:val="1C7EA47A"/>
    <w:rsid w:val="1C7F5A64"/>
    <w:rsid w:val="1C838A9E"/>
    <w:rsid w:val="1C84BAC8"/>
    <w:rsid w:val="1C8A05DB"/>
    <w:rsid w:val="1C8DF8CC"/>
    <w:rsid w:val="1C9169E4"/>
    <w:rsid w:val="1C97044E"/>
    <w:rsid w:val="1C9DCCB4"/>
    <w:rsid w:val="1CA33CBC"/>
    <w:rsid w:val="1CA3FD2F"/>
    <w:rsid w:val="1CA7D560"/>
    <w:rsid w:val="1CA9592F"/>
    <w:rsid w:val="1CAA3AA3"/>
    <w:rsid w:val="1CAAF55B"/>
    <w:rsid w:val="1CB1766D"/>
    <w:rsid w:val="1CB20CDF"/>
    <w:rsid w:val="1CB3F6AF"/>
    <w:rsid w:val="1CBC0DF3"/>
    <w:rsid w:val="1CBDEA61"/>
    <w:rsid w:val="1CC52F08"/>
    <w:rsid w:val="1CCB669E"/>
    <w:rsid w:val="1CCD264B"/>
    <w:rsid w:val="1CCF3A23"/>
    <w:rsid w:val="1CD27EE0"/>
    <w:rsid w:val="1CD2FEFE"/>
    <w:rsid w:val="1CD303DF"/>
    <w:rsid w:val="1CD96694"/>
    <w:rsid w:val="1CE4AAC8"/>
    <w:rsid w:val="1CE4DD65"/>
    <w:rsid w:val="1CE866EC"/>
    <w:rsid w:val="1CEABADA"/>
    <w:rsid w:val="1CFBF65E"/>
    <w:rsid w:val="1D03ADF1"/>
    <w:rsid w:val="1D0BFBF4"/>
    <w:rsid w:val="1D0C43A5"/>
    <w:rsid w:val="1D1536E1"/>
    <w:rsid w:val="1D1B050D"/>
    <w:rsid w:val="1D210DF2"/>
    <w:rsid w:val="1D21FB7A"/>
    <w:rsid w:val="1D2341D7"/>
    <w:rsid w:val="1D238253"/>
    <w:rsid w:val="1D23DE73"/>
    <w:rsid w:val="1D2ACE2F"/>
    <w:rsid w:val="1D2ED7A4"/>
    <w:rsid w:val="1D3054A5"/>
    <w:rsid w:val="1D32B2A2"/>
    <w:rsid w:val="1D386BB7"/>
    <w:rsid w:val="1D3D9ED6"/>
    <w:rsid w:val="1D45A313"/>
    <w:rsid w:val="1D4DFC36"/>
    <w:rsid w:val="1D608C56"/>
    <w:rsid w:val="1D62C2B1"/>
    <w:rsid w:val="1D647391"/>
    <w:rsid w:val="1D7647C3"/>
    <w:rsid w:val="1D784A0A"/>
    <w:rsid w:val="1D85F014"/>
    <w:rsid w:val="1D8900B3"/>
    <w:rsid w:val="1D90BBCF"/>
    <w:rsid w:val="1D97BA6D"/>
    <w:rsid w:val="1D9BB1C7"/>
    <w:rsid w:val="1D9FD470"/>
    <w:rsid w:val="1DB2D25E"/>
    <w:rsid w:val="1DBCB57B"/>
    <w:rsid w:val="1DBE4780"/>
    <w:rsid w:val="1DC20E84"/>
    <w:rsid w:val="1DC4F4F1"/>
    <w:rsid w:val="1DC78B00"/>
    <w:rsid w:val="1DCA852C"/>
    <w:rsid w:val="1DDCF762"/>
    <w:rsid w:val="1DE88B01"/>
    <w:rsid w:val="1DE904F5"/>
    <w:rsid w:val="1DEE3291"/>
    <w:rsid w:val="1DF7F594"/>
    <w:rsid w:val="1E069C9D"/>
    <w:rsid w:val="1E08B876"/>
    <w:rsid w:val="1E1C1C07"/>
    <w:rsid w:val="1E1F2A36"/>
    <w:rsid w:val="1E2631DA"/>
    <w:rsid w:val="1E274C0B"/>
    <w:rsid w:val="1E291786"/>
    <w:rsid w:val="1E30B7B7"/>
    <w:rsid w:val="1E37DB0B"/>
    <w:rsid w:val="1E439012"/>
    <w:rsid w:val="1E59B5CD"/>
    <w:rsid w:val="1E5E8539"/>
    <w:rsid w:val="1E627E8F"/>
    <w:rsid w:val="1E63D885"/>
    <w:rsid w:val="1E65396F"/>
    <w:rsid w:val="1E785BFF"/>
    <w:rsid w:val="1E87A4FE"/>
    <w:rsid w:val="1E8AEE19"/>
    <w:rsid w:val="1E8B88E8"/>
    <w:rsid w:val="1E8C31FA"/>
    <w:rsid w:val="1EA424F9"/>
    <w:rsid w:val="1EA820CE"/>
    <w:rsid w:val="1EA84197"/>
    <w:rsid w:val="1EAA02A9"/>
    <w:rsid w:val="1EAE77C8"/>
    <w:rsid w:val="1EAED4A9"/>
    <w:rsid w:val="1EB12A66"/>
    <w:rsid w:val="1EB2787A"/>
    <w:rsid w:val="1EB3F22E"/>
    <w:rsid w:val="1EB86260"/>
    <w:rsid w:val="1EBAFAF7"/>
    <w:rsid w:val="1EBF9277"/>
    <w:rsid w:val="1EC04E8C"/>
    <w:rsid w:val="1EC1D2AB"/>
    <w:rsid w:val="1EC3686B"/>
    <w:rsid w:val="1ECC4F64"/>
    <w:rsid w:val="1ECF5C4F"/>
    <w:rsid w:val="1ECFC788"/>
    <w:rsid w:val="1ED0FB57"/>
    <w:rsid w:val="1EDC00BC"/>
    <w:rsid w:val="1EE2228A"/>
    <w:rsid w:val="1EE24282"/>
    <w:rsid w:val="1EF65EDE"/>
    <w:rsid w:val="1EFB7849"/>
    <w:rsid w:val="1F02C68C"/>
    <w:rsid w:val="1F249307"/>
    <w:rsid w:val="1F2CFA4C"/>
    <w:rsid w:val="1F4E490D"/>
    <w:rsid w:val="1F4E91F2"/>
    <w:rsid w:val="1F4F018C"/>
    <w:rsid w:val="1F4FCA15"/>
    <w:rsid w:val="1F6E1B78"/>
    <w:rsid w:val="1F749579"/>
    <w:rsid w:val="1F76042F"/>
    <w:rsid w:val="1F91694B"/>
    <w:rsid w:val="1F92F186"/>
    <w:rsid w:val="1F95A98E"/>
    <w:rsid w:val="1F96BA83"/>
    <w:rsid w:val="1F974AD1"/>
    <w:rsid w:val="1F99A908"/>
    <w:rsid w:val="1F9C67B5"/>
    <w:rsid w:val="1F9FCAC8"/>
    <w:rsid w:val="1FA4D1FC"/>
    <w:rsid w:val="1FB35A5D"/>
    <w:rsid w:val="1FB61DFC"/>
    <w:rsid w:val="1FBA96ED"/>
    <w:rsid w:val="1FBB8342"/>
    <w:rsid w:val="1FBE9CA4"/>
    <w:rsid w:val="1FBF334F"/>
    <w:rsid w:val="1FC25C75"/>
    <w:rsid w:val="1FD0A3D7"/>
    <w:rsid w:val="1FD20A29"/>
    <w:rsid w:val="1FD4C36D"/>
    <w:rsid w:val="1FD76025"/>
    <w:rsid w:val="1FDB084E"/>
    <w:rsid w:val="1FE41C9A"/>
    <w:rsid w:val="1FE9D61F"/>
    <w:rsid w:val="1FED4A7D"/>
    <w:rsid w:val="1FEDA57C"/>
    <w:rsid w:val="1FF2A584"/>
    <w:rsid w:val="1FF37F07"/>
    <w:rsid w:val="1FF85C7C"/>
    <w:rsid w:val="1FFE3C63"/>
    <w:rsid w:val="2009009F"/>
    <w:rsid w:val="200C179B"/>
    <w:rsid w:val="20105717"/>
    <w:rsid w:val="2015A9E0"/>
    <w:rsid w:val="2017ADEE"/>
    <w:rsid w:val="202280D9"/>
    <w:rsid w:val="2029FBA0"/>
    <w:rsid w:val="202D192B"/>
    <w:rsid w:val="202F5B19"/>
    <w:rsid w:val="202FEA24"/>
    <w:rsid w:val="203098B8"/>
    <w:rsid w:val="20319C52"/>
    <w:rsid w:val="20418030"/>
    <w:rsid w:val="204E1D9B"/>
    <w:rsid w:val="204E552D"/>
    <w:rsid w:val="2054AB9F"/>
    <w:rsid w:val="20582CBF"/>
    <w:rsid w:val="205C3C91"/>
    <w:rsid w:val="205F8B96"/>
    <w:rsid w:val="206168D6"/>
    <w:rsid w:val="20751545"/>
    <w:rsid w:val="207594EB"/>
    <w:rsid w:val="2075D85B"/>
    <w:rsid w:val="2079E9CF"/>
    <w:rsid w:val="207B6ACA"/>
    <w:rsid w:val="207EED4F"/>
    <w:rsid w:val="2088E0B8"/>
    <w:rsid w:val="20899E49"/>
    <w:rsid w:val="208F7AC2"/>
    <w:rsid w:val="20943D46"/>
    <w:rsid w:val="2098D35A"/>
    <w:rsid w:val="2098F420"/>
    <w:rsid w:val="209C3122"/>
    <w:rsid w:val="209D52D3"/>
    <w:rsid w:val="20A5A37B"/>
    <w:rsid w:val="20AD621B"/>
    <w:rsid w:val="20B32303"/>
    <w:rsid w:val="20B9ED7F"/>
    <w:rsid w:val="20BD67B9"/>
    <w:rsid w:val="20C58FC9"/>
    <w:rsid w:val="20CD2BBF"/>
    <w:rsid w:val="20D0D8A4"/>
    <w:rsid w:val="20D8CC4D"/>
    <w:rsid w:val="20DB81EA"/>
    <w:rsid w:val="20DBEE0B"/>
    <w:rsid w:val="20DE80D1"/>
    <w:rsid w:val="20F4BDB8"/>
    <w:rsid w:val="20F87524"/>
    <w:rsid w:val="20FA7E97"/>
    <w:rsid w:val="210022A0"/>
    <w:rsid w:val="21040D6B"/>
    <w:rsid w:val="21066050"/>
    <w:rsid w:val="2118A4CB"/>
    <w:rsid w:val="21209419"/>
    <w:rsid w:val="212650BE"/>
    <w:rsid w:val="212F3173"/>
    <w:rsid w:val="212F55B1"/>
    <w:rsid w:val="21300BF4"/>
    <w:rsid w:val="21316DD6"/>
    <w:rsid w:val="2133CC76"/>
    <w:rsid w:val="2134369F"/>
    <w:rsid w:val="213BBE57"/>
    <w:rsid w:val="213E22FB"/>
    <w:rsid w:val="2153438E"/>
    <w:rsid w:val="21535788"/>
    <w:rsid w:val="2154E116"/>
    <w:rsid w:val="2155A7FC"/>
    <w:rsid w:val="21662B00"/>
    <w:rsid w:val="216BD58B"/>
    <w:rsid w:val="216CEA6A"/>
    <w:rsid w:val="217BE97B"/>
    <w:rsid w:val="21823DD5"/>
    <w:rsid w:val="218A55A8"/>
    <w:rsid w:val="218C2739"/>
    <w:rsid w:val="218DDEE0"/>
    <w:rsid w:val="21916507"/>
    <w:rsid w:val="21986E83"/>
    <w:rsid w:val="21A91F34"/>
    <w:rsid w:val="21AB1F8F"/>
    <w:rsid w:val="21ADFD7E"/>
    <w:rsid w:val="21B6368E"/>
    <w:rsid w:val="21BDBC2A"/>
    <w:rsid w:val="21CB9CE6"/>
    <w:rsid w:val="21CC775F"/>
    <w:rsid w:val="21CDD9B7"/>
    <w:rsid w:val="21CE8287"/>
    <w:rsid w:val="21D8DA20"/>
    <w:rsid w:val="21E4EE51"/>
    <w:rsid w:val="21E60FAD"/>
    <w:rsid w:val="21EDC7CA"/>
    <w:rsid w:val="21EEA5F1"/>
    <w:rsid w:val="21FAE542"/>
    <w:rsid w:val="2214697A"/>
    <w:rsid w:val="222100A2"/>
    <w:rsid w:val="2222E865"/>
    <w:rsid w:val="22278134"/>
    <w:rsid w:val="222E2622"/>
    <w:rsid w:val="222F0FC6"/>
    <w:rsid w:val="223144A7"/>
    <w:rsid w:val="2231CD46"/>
    <w:rsid w:val="223B6137"/>
    <w:rsid w:val="22484464"/>
    <w:rsid w:val="2248534A"/>
    <w:rsid w:val="22571DAE"/>
    <w:rsid w:val="22592BA3"/>
    <w:rsid w:val="22655BBE"/>
    <w:rsid w:val="226F44C3"/>
    <w:rsid w:val="22706322"/>
    <w:rsid w:val="227AC57A"/>
    <w:rsid w:val="227C2354"/>
    <w:rsid w:val="227F6CAD"/>
    <w:rsid w:val="22851179"/>
    <w:rsid w:val="228694C5"/>
    <w:rsid w:val="228696B2"/>
    <w:rsid w:val="228B1EA1"/>
    <w:rsid w:val="228D15CB"/>
    <w:rsid w:val="229DD2A3"/>
    <w:rsid w:val="22A02B05"/>
    <w:rsid w:val="22A207EC"/>
    <w:rsid w:val="22A22A20"/>
    <w:rsid w:val="22A2AB1B"/>
    <w:rsid w:val="22A3E026"/>
    <w:rsid w:val="22A7AE7B"/>
    <w:rsid w:val="22B3CC27"/>
    <w:rsid w:val="22D03AEC"/>
    <w:rsid w:val="22DB5FA6"/>
    <w:rsid w:val="22DC4C8D"/>
    <w:rsid w:val="22DC742D"/>
    <w:rsid w:val="22E72BDD"/>
    <w:rsid w:val="22EB725A"/>
    <w:rsid w:val="22F61EC5"/>
    <w:rsid w:val="2314FBB1"/>
    <w:rsid w:val="232068D5"/>
    <w:rsid w:val="23227CE1"/>
    <w:rsid w:val="23279BA4"/>
    <w:rsid w:val="2329C629"/>
    <w:rsid w:val="232EC097"/>
    <w:rsid w:val="2334CFA6"/>
    <w:rsid w:val="233685AA"/>
    <w:rsid w:val="2339D4C6"/>
    <w:rsid w:val="2344CFA5"/>
    <w:rsid w:val="2345FDE5"/>
    <w:rsid w:val="23525000"/>
    <w:rsid w:val="236089AF"/>
    <w:rsid w:val="23620B30"/>
    <w:rsid w:val="23623509"/>
    <w:rsid w:val="236468C5"/>
    <w:rsid w:val="2365AC7B"/>
    <w:rsid w:val="2370362C"/>
    <w:rsid w:val="237CEDD2"/>
    <w:rsid w:val="238C477E"/>
    <w:rsid w:val="238DEB94"/>
    <w:rsid w:val="239DD2A5"/>
    <w:rsid w:val="23A321CE"/>
    <w:rsid w:val="23AC3D7C"/>
    <w:rsid w:val="23AF29D5"/>
    <w:rsid w:val="23C3BB1E"/>
    <w:rsid w:val="23C52312"/>
    <w:rsid w:val="23C6558A"/>
    <w:rsid w:val="23D2C943"/>
    <w:rsid w:val="23F60F1B"/>
    <w:rsid w:val="23F67741"/>
    <w:rsid w:val="2400A5F5"/>
    <w:rsid w:val="2400DF69"/>
    <w:rsid w:val="240C7841"/>
    <w:rsid w:val="2414D85D"/>
    <w:rsid w:val="2415C862"/>
    <w:rsid w:val="241F8D59"/>
    <w:rsid w:val="242371E4"/>
    <w:rsid w:val="242A5A2F"/>
    <w:rsid w:val="243260C9"/>
    <w:rsid w:val="2432E7FB"/>
    <w:rsid w:val="2437096B"/>
    <w:rsid w:val="2437493D"/>
    <w:rsid w:val="24386B8E"/>
    <w:rsid w:val="243A1C7B"/>
    <w:rsid w:val="2446A5AA"/>
    <w:rsid w:val="244E22F9"/>
    <w:rsid w:val="245AE050"/>
    <w:rsid w:val="2471249D"/>
    <w:rsid w:val="2475EB71"/>
    <w:rsid w:val="247B4B77"/>
    <w:rsid w:val="2480B7F4"/>
    <w:rsid w:val="2480F4E4"/>
    <w:rsid w:val="24818F58"/>
    <w:rsid w:val="2488030D"/>
    <w:rsid w:val="2489CC04"/>
    <w:rsid w:val="248AFFA7"/>
    <w:rsid w:val="248C81F3"/>
    <w:rsid w:val="24956712"/>
    <w:rsid w:val="24A8CC3F"/>
    <w:rsid w:val="24B6317B"/>
    <w:rsid w:val="24BA9205"/>
    <w:rsid w:val="24C7B713"/>
    <w:rsid w:val="24CED2FE"/>
    <w:rsid w:val="24D09280"/>
    <w:rsid w:val="24E60DE8"/>
    <w:rsid w:val="24E75598"/>
    <w:rsid w:val="24ECDC3C"/>
    <w:rsid w:val="24F81975"/>
    <w:rsid w:val="24FE9FAE"/>
    <w:rsid w:val="250393D7"/>
    <w:rsid w:val="250EC34A"/>
    <w:rsid w:val="25107CF7"/>
    <w:rsid w:val="251D224E"/>
    <w:rsid w:val="25215643"/>
    <w:rsid w:val="252A5A90"/>
    <w:rsid w:val="252EBE53"/>
    <w:rsid w:val="253542BC"/>
    <w:rsid w:val="253AB3DA"/>
    <w:rsid w:val="25447018"/>
    <w:rsid w:val="2548742C"/>
    <w:rsid w:val="254ACD14"/>
    <w:rsid w:val="25564D0D"/>
    <w:rsid w:val="255AD6FC"/>
    <w:rsid w:val="255D08A8"/>
    <w:rsid w:val="255FD9DC"/>
    <w:rsid w:val="25617974"/>
    <w:rsid w:val="25619A5B"/>
    <w:rsid w:val="2569630D"/>
    <w:rsid w:val="25696A7D"/>
    <w:rsid w:val="2569FE3B"/>
    <w:rsid w:val="256C8112"/>
    <w:rsid w:val="2570D237"/>
    <w:rsid w:val="2573A683"/>
    <w:rsid w:val="2576F9B6"/>
    <w:rsid w:val="25849649"/>
    <w:rsid w:val="258529CA"/>
    <w:rsid w:val="258B6F08"/>
    <w:rsid w:val="258F0E37"/>
    <w:rsid w:val="25904428"/>
    <w:rsid w:val="25906998"/>
    <w:rsid w:val="2598EF13"/>
    <w:rsid w:val="25A60123"/>
    <w:rsid w:val="25A879F3"/>
    <w:rsid w:val="25A91ABB"/>
    <w:rsid w:val="25ABE0E5"/>
    <w:rsid w:val="25ACF07F"/>
    <w:rsid w:val="25AE387E"/>
    <w:rsid w:val="25BFCC07"/>
    <w:rsid w:val="25C1DB22"/>
    <w:rsid w:val="25C91CE7"/>
    <w:rsid w:val="25D8DF3F"/>
    <w:rsid w:val="25D918BD"/>
    <w:rsid w:val="25DD7D62"/>
    <w:rsid w:val="25E0117F"/>
    <w:rsid w:val="25E378FE"/>
    <w:rsid w:val="25EF48DE"/>
    <w:rsid w:val="25F3114B"/>
    <w:rsid w:val="25F3FE54"/>
    <w:rsid w:val="25F8BEDA"/>
    <w:rsid w:val="25FCE61E"/>
    <w:rsid w:val="260050FD"/>
    <w:rsid w:val="260A9CEB"/>
    <w:rsid w:val="260C9E32"/>
    <w:rsid w:val="2613A974"/>
    <w:rsid w:val="2614D692"/>
    <w:rsid w:val="26195BF3"/>
    <w:rsid w:val="261AA2D4"/>
    <w:rsid w:val="261B5F40"/>
    <w:rsid w:val="261DAAFA"/>
    <w:rsid w:val="26213898"/>
    <w:rsid w:val="26258C89"/>
    <w:rsid w:val="26297528"/>
    <w:rsid w:val="26337163"/>
    <w:rsid w:val="263409E7"/>
    <w:rsid w:val="2634619A"/>
    <w:rsid w:val="263EA52B"/>
    <w:rsid w:val="2642C739"/>
    <w:rsid w:val="26451B3E"/>
    <w:rsid w:val="26487B77"/>
    <w:rsid w:val="264E661B"/>
    <w:rsid w:val="2655C734"/>
    <w:rsid w:val="2656AEB1"/>
    <w:rsid w:val="2656B6E3"/>
    <w:rsid w:val="266D7D75"/>
    <w:rsid w:val="2677CA55"/>
    <w:rsid w:val="268B5AB9"/>
    <w:rsid w:val="268EE563"/>
    <w:rsid w:val="2696B5AA"/>
    <w:rsid w:val="26A503E6"/>
    <w:rsid w:val="26A63695"/>
    <w:rsid w:val="26A773BF"/>
    <w:rsid w:val="26AAAB45"/>
    <w:rsid w:val="26C26033"/>
    <w:rsid w:val="26C517B0"/>
    <w:rsid w:val="26C64B1E"/>
    <w:rsid w:val="26CC3500"/>
    <w:rsid w:val="26CCBF10"/>
    <w:rsid w:val="26D28BEA"/>
    <w:rsid w:val="26D2EF1E"/>
    <w:rsid w:val="26D44C1C"/>
    <w:rsid w:val="26D69290"/>
    <w:rsid w:val="26E04AF6"/>
    <w:rsid w:val="26EC360D"/>
    <w:rsid w:val="26EC9B80"/>
    <w:rsid w:val="26EDE3C1"/>
    <w:rsid w:val="26F1B209"/>
    <w:rsid w:val="26F993E0"/>
    <w:rsid w:val="26FDCD40"/>
    <w:rsid w:val="26FF574E"/>
    <w:rsid w:val="27011C47"/>
    <w:rsid w:val="2704C6E3"/>
    <w:rsid w:val="27107ED2"/>
    <w:rsid w:val="27166947"/>
    <w:rsid w:val="27176BB6"/>
    <w:rsid w:val="271AC975"/>
    <w:rsid w:val="272071B5"/>
    <w:rsid w:val="2720769A"/>
    <w:rsid w:val="27213B1C"/>
    <w:rsid w:val="273019CB"/>
    <w:rsid w:val="2735534E"/>
    <w:rsid w:val="2736274E"/>
    <w:rsid w:val="273AAE93"/>
    <w:rsid w:val="274147D5"/>
    <w:rsid w:val="274C1036"/>
    <w:rsid w:val="27511146"/>
    <w:rsid w:val="275342FD"/>
    <w:rsid w:val="275CF499"/>
    <w:rsid w:val="2769AE3F"/>
    <w:rsid w:val="276DB61C"/>
    <w:rsid w:val="276F34E1"/>
    <w:rsid w:val="27827080"/>
    <w:rsid w:val="278F4FFA"/>
    <w:rsid w:val="2791BCDA"/>
    <w:rsid w:val="279C0CFC"/>
    <w:rsid w:val="279C8246"/>
    <w:rsid w:val="279FFBB1"/>
    <w:rsid w:val="27AC6F3E"/>
    <w:rsid w:val="27B7DDC1"/>
    <w:rsid w:val="27BC32E4"/>
    <w:rsid w:val="27C0A3AC"/>
    <w:rsid w:val="27D1B346"/>
    <w:rsid w:val="27D43BFB"/>
    <w:rsid w:val="27D54635"/>
    <w:rsid w:val="27E81DA7"/>
    <w:rsid w:val="27E86859"/>
    <w:rsid w:val="27EAF651"/>
    <w:rsid w:val="27EE449D"/>
    <w:rsid w:val="27F4F410"/>
    <w:rsid w:val="27F8ED8B"/>
    <w:rsid w:val="27FA579B"/>
    <w:rsid w:val="27FDC2C3"/>
    <w:rsid w:val="2807F944"/>
    <w:rsid w:val="280C48EA"/>
    <w:rsid w:val="280D10B1"/>
    <w:rsid w:val="281F8531"/>
    <w:rsid w:val="28291AE2"/>
    <w:rsid w:val="282A0266"/>
    <w:rsid w:val="282CB2B1"/>
    <w:rsid w:val="282D5B0E"/>
    <w:rsid w:val="28346A5A"/>
    <w:rsid w:val="2834BD2E"/>
    <w:rsid w:val="28379F32"/>
    <w:rsid w:val="28390815"/>
    <w:rsid w:val="283B9190"/>
    <w:rsid w:val="283DB259"/>
    <w:rsid w:val="284029FA"/>
    <w:rsid w:val="284060A5"/>
    <w:rsid w:val="2841C30D"/>
    <w:rsid w:val="2846EB3D"/>
    <w:rsid w:val="284E4CF1"/>
    <w:rsid w:val="28516EA5"/>
    <w:rsid w:val="2854A66F"/>
    <w:rsid w:val="28674320"/>
    <w:rsid w:val="2867BD96"/>
    <w:rsid w:val="286CE687"/>
    <w:rsid w:val="287389BE"/>
    <w:rsid w:val="28781A33"/>
    <w:rsid w:val="287A7D18"/>
    <w:rsid w:val="287E6AF0"/>
    <w:rsid w:val="288BE394"/>
    <w:rsid w:val="28969E6D"/>
    <w:rsid w:val="289726A3"/>
    <w:rsid w:val="28A2104D"/>
    <w:rsid w:val="28A6FFB0"/>
    <w:rsid w:val="28A8FB29"/>
    <w:rsid w:val="28AC4284"/>
    <w:rsid w:val="28AE5BEA"/>
    <w:rsid w:val="28BCCE4A"/>
    <w:rsid w:val="28C6F528"/>
    <w:rsid w:val="28D42614"/>
    <w:rsid w:val="28D95832"/>
    <w:rsid w:val="28DB6513"/>
    <w:rsid w:val="28E5A093"/>
    <w:rsid w:val="28E7B7FE"/>
    <w:rsid w:val="28F020E8"/>
    <w:rsid w:val="28FB58FF"/>
    <w:rsid w:val="29052BC6"/>
    <w:rsid w:val="290684E0"/>
    <w:rsid w:val="290E52BE"/>
    <w:rsid w:val="29108D72"/>
    <w:rsid w:val="2917DD1A"/>
    <w:rsid w:val="292424D3"/>
    <w:rsid w:val="2927E558"/>
    <w:rsid w:val="293016F8"/>
    <w:rsid w:val="293229A5"/>
    <w:rsid w:val="29331867"/>
    <w:rsid w:val="2934F1E3"/>
    <w:rsid w:val="293BEF58"/>
    <w:rsid w:val="293C81A5"/>
    <w:rsid w:val="2945E2F7"/>
    <w:rsid w:val="294AEFF0"/>
    <w:rsid w:val="2956DB86"/>
    <w:rsid w:val="295735A1"/>
    <w:rsid w:val="295E87D9"/>
    <w:rsid w:val="29600D45"/>
    <w:rsid w:val="2966DDCF"/>
    <w:rsid w:val="296BCF72"/>
    <w:rsid w:val="2973338F"/>
    <w:rsid w:val="297FF7D1"/>
    <w:rsid w:val="2980B9BA"/>
    <w:rsid w:val="29889873"/>
    <w:rsid w:val="29A4FCD7"/>
    <w:rsid w:val="29B3DCD1"/>
    <w:rsid w:val="29B69CC9"/>
    <w:rsid w:val="29B82A63"/>
    <w:rsid w:val="29BE490A"/>
    <w:rsid w:val="29CCC1F5"/>
    <w:rsid w:val="29CCFA9F"/>
    <w:rsid w:val="29CF0C75"/>
    <w:rsid w:val="29D40E2E"/>
    <w:rsid w:val="29DB4B21"/>
    <w:rsid w:val="29DD8C04"/>
    <w:rsid w:val="29DE2375"/>
    <w:rsid w:val="29E0BB6F"/>
    <w:rsid w:val="29E72A26"/>
    <w:rsid w:val="29E8F597"/>
    <w:rsid w:val="29E97C7E"/>
    <w:rsid w:val="29ED1797"/>
    <w:rsid w:val="29EF0DCA"/>
    <w:rsid w:val="29FA688B"/>
    <w:rsid w:val="2A017BE7"/>
    <w:rsid w:val="2A028742"/>
    <w:rsid w:val="2A133F0F"/>
    <w:rsid w:val="2A192214"/>
    <w:rsid w:val="2A1E2CA8"/>
    <w:rsid w:val="2A21D887"/>
    <w:rsid w:val="2A225B33"/>
    <w:rsid w:val="2A232B19"/>
    <w:rsid w:val="2A2BA429"/>
    <w:rsid w:val="2A2FE35A"/>
    <w:rsid w:val="2A312608"/>
    <w:rsid w:val="2A38555B"/>
    <w:rsid w:val="2A39559A"/>
    <w:rsid w:val="2A3A478B"/>
    <w:rsid w:val="2A3AF2A8"/>
    <w:rsid w:val="2A3C37A6"/>
    <w:rsid w:val="2A3F0BD9"/>
    <w:rsid w:val="2A41F069"/>
    <w:rsid w:val="2A46BC87"/>
    <w:rsid w:val="2A471362"/>
    <w:rsid w:val="2A4A0C5A"/>
    <w:rsid w:val="2A4A37CE"/>
    <w:rsid w:val="2A4FFE01"/>
    <w:rsid w:val="2A5F8C76"/>
    <w:rsid w:val="2A615244"/>
    <w:rsid w:val="2A67CAF0"/>
    <w:rsid w:val="2A6F66A2"/>
    <w:rsid w:val="2A773057"/>
    <w:rsid w:val="2A7A02AF"/>
    <w:rsid w:val="2A7D91FD"/>
    <w:rsid w:val="2A7F9757"/>
    <w:rsid w:val="2A8640D1"/>
    <w:rsid w:val="2A871A10"/>
    <w:rsid w:val="2A8D91F2"/>
    <w:rsid w:val="2A99891A"/>
    <w:rsid w:val="2AA0FA98"/>
    <w:rsid w:val="2AA677F9"/>
    <w:rsid w:val="2AAD17CE"/>
    <w:rsid w:val="2AB624BD"/>
    <w:rsid w:val="2AC529C2"/>
    <w:rsid w:val="2AC7E8C5"/>
    <w:rsid w:val="2ACA9658"/>
    <w:rsid w:val="2ACC9873"/>
    <w:rsid w:val="2AD20818"/>
    <w:rsid w:val="2AD2455D"/>
    <w:rsid w:val="2AD3446F"/>
    <w:rsid w:val="2ADABE35"/>
    <w:rsid w:val="2AEFACF1"/>
    <w:rsid w:val="2AFB3372"/>
    <w:rsid w:val="2B012182"/>
    <w:rsid w:val="2B01DDE5"/>
    <w:rsid w:val="2B039A6A"/>
    <w:rsid w:val="2B09AB7F"/>
    <w:rsid w:val="2B0ACE93"/>
    <w:rsid w:val="2B0E2AEC"/>
    <w:rsid w:val="2B10850A"/>
    <w:rsid w:val="2B164233"/>
    <w:rsid w:val="2B23D641"/>
    <w:rsid w:val="2B251856"/>
    <w:rsid w:val="2B2AE0E7"/>
    <w:rsid w:val="2B2DD4B8"/>
    <w:rsid w:val="2B352C82"/>
    <w:rsid w:val="2B3941E9"/>
    <w:rsid w:val="2B399C9F"/>
    <w:rsid w:val="2B3BDFE4"/>
    <w:rsid w:val="2B3D8F19"/>
    <w:rsid w:val="2B3F3FF2"/>
    <w:rsid w:val="2B464CBE"/>
    <w:rsid w:val="2B4FB5E1"/>
    <w:rsid w:val="2B50D8B0"/>
    <w:rsid w:val="2B5D0F2A"/>
    <w:rsid w:val="2B5E1650"/>
    <w:rsid w:val="2B637130"/>
    <w:rsid w:val="2B68E18B"/>
    <w:rsid w:val="2B70F76E"/>
    <w:rsid w:val="2B753560"/>
    <w:rsid w:val="2B77D365"/>
    <w:rsid w:val="2B79EEC2"/>
    <w:rsid w:val="2B7E0F6A"/>
    <w:rsid w:val="2B817E42"/>
    <w:rsid w:val="2B8D55B8"/>
    <w:rsid w:val="2B8F8839"/>
    <w:rsid w:val="2B90F49E"/>
    <w:rsid w:val="2B985EF6"/>
    <w:rsid w:val="2B9C50AF"/>
    <w:rsid w:val="2BA5178A"/>
    <w:rsid w:val="2BA8959F"/>
    <w:rsid w:val="2BADD1C7"/>
    <w:rsid w:val="2BBC76AA"/>
    <w:rsid w:val="2BC938B5"/>
    <w:rsid w:val="2BD5C296"/>
    <w:rsid w:val="2BD7BE8C"/>
    <w:rsid w:val="2BD8E80A"/>
    <w:rsid w:val="2BDC115E"/>
    <w:rsid w:val="2BDEA155"/>
    <w:rsid w:val="2BE14158"/>
    <w:rsid w:val="2BE4B07A"/>
    <w:rsid w:val="2BE9180A"/>
    <w:rsid w:val="2BEEF2C9"/>
    <w:rsid w:val="2BEF2953"/>
    <w:rsid w:val="2BFA6A7C"/>
    <w:rsid w:val="2C075D17"/>
    <w:rsid w:val="2C094CED"/>
    <w:rsid w:val="2C0F8198"/>
    <w:rsid w:val="2C1E7305"/>
    <w:rsid w:val="2C21D385"/>
    <w:rsid w:val="2C2741A0"/>
    <w:rsid w:val="2C28C822"/>
    <w:rsid w:val="2C2A44BB"/>
    <w:rsid w:val="2C2ACE7F"/>
    <w:rsid w:val="2C2F87DD"/>
    <w:rsid w:val="2C3E5D6E"/>
    <w:rsid w:val="2C473A1D"/>
    <w:rsid w:val="2C486E3B"/>
    <w:rsid w:val="2C4DA4C8"/>
    <w:rsid w:val="2C500582"/>
    <w:rsid w:val="2C58CCB4"/>
    <w:rsid w:val="2C6863A7"/>
    <w:rsid w:val="2C78C29C"/>
    <w:rsid w:val="2C790954"/>
    <w:rsid w:val="2C818962"/>
    <w:rsid w:val="2C81956C"/>
    <w:rsid w:val="2C8D1A98"/>
    <w:rsid w:val="2C8F9B35"/>
    <w:rsid w:val="2C906CEB"/>
    <w:rsid w:val="2C949CE0"/>
    <w:rsid w:val="2C95FFE9"/>
    <w:rsid w:val="2C969104"/>
    <w:rsid w:val="2CA2F83C"/>
    <w:rsid w:val="2CA37E43"/>
    <w:rsid w:val="2CBA3A3F"/>
    <w:rsid w:val="2CC52562"/>
    <w:rsid w:val="2CCDF1CF"/>
    <w:rsid w:val="2CD2BB42"/>
    <w:rsid w:val="2CD37E7B"/>
    <w:rsid w:val="2CD5B16D"/>
    <w:rsid w:val="2CD7A732"/>
    <w:rsid w:val="2CD9641B"/>
    <w:rsid w:val="2CE001A2"/>
    <w:rsid w:val="2CE9411F"/>
    <w:rsid w:val="2CEF41D0"/>
    <w:rsid w:val="2CF1A4C0"/>
    <w:rsid w:val="2CF79AAA"/>
    <w:rsid w:val="2D0162F1"/>
    <w:rsid w:val="2D0C61A0"/>
    <w:rsid w:val="2D126EF0"/>
    <w:rsid w:val="2D1FF2FF"/>
    <w:rsid w:val="2D254B2B"/>
    <w:rsid w:val="2D25ADE0"/>
    <w:rsid w:val="2D280390"/>
    <w:rsid w:val="2D28BE83"/>
    <w:rsid w:val="2D41307B"/>
    <w:rsid w:val="2D435A67"/>
    <w:rsid w:val="2D454C8A"/>
    <w:rsid w:val="2D4A895D"/>
    <w:rsid w:val="2D4DDE7B"/>
    <w:rsid w:val="2D4E8EC2"/>
    <w:rsid w:val="2D51AE20"/>
    <w:rsid w:val="2D53F738"/>
    <w:rsid w:val="2D5B88C2"/>
    <w:rsid w:val="2D61EBE7"/>
    <w:rsid w:val="2D65C3DD"/>
    <w:rsid w:val="2D67E662"/>
    <w:rsid w:val="2D6DF91A"/>
    <w:rsid w:val="2D6E414D"/>
    <w:rsid w:val="2D6EAAFE"/>
    <w:rsid w:val="2D73463C"/>
    <w:rsid w:val="2D7370EE"/>
    <w:rsid w:val="2D74F09B"/>
    <w:rsid w:val="2D77B7C0"/>
    <w:rsid w:val="2D78C0F7"/>
    <w:rsid w:val="2D815C5B"/>
    <w:rsid w:val="2D82B5F7"/>
    <w:rsid w:val="2D8402C7"/>
    <w:rsid w:val="2D937D4E"/>
    <w:rsid w:val="2D9927E3"/>
    <w:rsid w:val="2D995504"/>
    <w:rsid w:val="2D9D342A"/>
    <w:rsid w:val="2DAF7FF4"/>
    <w:rsid w:val="2DAFABA0"/>
    <w:rsid w:val="2DB5F001"/>
    <w:rsid w:val="2DB69133"/>
    <w:rsid w:val="2DC1A916"/>
    <w:rsid w:val="2DC2EA32"/>
    <w:rsid w:val="2DC9FE3E"/>
    <w:rsid w:val="2DD1127E"/>
    <w:rsid w:val="2DD12133"/>
    <w:rsid w:val="2DDF968A"/>
    <w:rsid w:val="2DE0CAEE"/>
    <w:rsid w:val="2DE143B3"/>
    <w:rsid w:val="2DE51250"/>
    <w:rsid w:val="2DE71178"/>
    <w:rsid w:val="2DE9BEC2"/>
    <w:rsid w:val="2E0A567E"/>
    <w:rsid w:val="2E0E2659"/>
    <w:rsid w:val="2E0EE5D0"/>
    <w:rsid w:val="2E145CCE"/>
    <w:rsid w:val="2E156220"/>
    <w:rsid w:val="2E1A918D"/>
    <w:rsid w:val="2E2883E7"/>
    <w:rsid w:val="2E30410D"/>
    <w:rsid w:val="2E33EEA4"/>
    <w:rsid w:val="2E365895"/>
    <w:rsid w:val="2E3C87EB"/>
    <w:rsid w:val="2E433AFA"/>
    <w:rsid w:val="2E45C98B"/>
    <w:rsid w:val="2E4EC641"/>
    <w:rsid w:val="2E5404E6"/>
    <w:rsid w:val="2E5CC622"/>
    <w:rsid w:val="2E5D8AC3"/>
    <w:rsid w:val="2E601321"/>
    <w:rsid w:val="2E720FB8"/>
    <w:rsid w:val="2E743FF0"/>
    <w:rsid w:val="2E7D32EC"/>
    <w:rsid w:val="2E819621"/>
    <w:rsid w:val="2E8411F7"/>
    <w:rsid w:val="2E8433BF"/>
    <w:rsid w:val="2E848E50"/>
    <w:rsid w:val="2E953990"/>
    <w:rsid w:val="2E95E3F2"/>
    <w:rsid w:val="2E9613A8"/>
    <w:rsid w:val="2E97C837"/>
    <w:rsid w:val="2E9C53DE"/>
    <w:rsid w:val="2EA7D4E0"/>
    <w:rsid w:val="2EB23208"/>
    <w:rsid w:val="2EB769D5"/>
    <w:rsid w:val="2EB9AA03"/>
    <w:rsid w:val="2EBB8AFD"/>
    <w:rsid w:val="2EBFE869"/>
    <w:rsid w:val="2EC45B88"/>
    <w:rsid w:val="2EC59BA9"/>
    <w:rsid w:val="2ED068C6"/>
    <w:rsid w:val="2ED4D59E"/>
    <w:rsid w:val="2ED69888"/>
    <w:rsid w:val="2EDDEB6C"/>
    <w:rsid w:val="2EDF05B9"/>
    <w:rsid w:val="2EDF4779"/>
    <w:rsid w:val="2EE02601"/>
    <w:rsid w:val="2EE5122E"/>
    <w:rsid w:val="2EE79651"/>
    <w:rsid w:val="2EF708FD"/>
    <w:rsid w:val="2EFF306A"/>
    <w:rsid w:val="2F05A65C"/>
    <w:rsid w:val="2F0A9B0E"/>
    <w:rsid w:val="2F0DB9D8"/>
    <w:rsid w:val="2F16E1F0"/>
    <w:rsid w:val="2F1D4CA6"/>
    <w:rsid w:val="2F1D96A6"/>
    <w:rsid w:val="2F225087"/>
    <w:rsid w:val="2F2DAE23"/>
    <w:rsid w:val="2F2FE5F8"/>
    <w:rsid w:val="2F3632BC"/>
    <w:rsid w:val="2F3977C7"/>
    <w:rsid w:val="2F3A59D6"/>
    <w:rsid w:val="2F3B51F1"/>
    <w:rsid w:val="2F3E995A"/>
    <w:rsid w:val="2F42F6A7"/>
    <w:rsid w:val="2F457739"/>
    <w:rsid w:val="2F457EB8"/>
    <w:rsid w:val="2F46DFA8"/>
    <w:rsid w:val="2F4E0E55"/>
    <w:rsid w:val="2F54D22D"/>
    <w:rsid w:val="2F59E496"/>
    <w:rsid w:val="2F5B8CC1"/>
    <w:rsid w:val="2F625B7B"/>
    <w:rsid w:val="2F6AFBA2"/>
    <w:rsid w:val="2F6E7DE5"/>
    <w:rsid w:val="2F7487AB"/>
    <w:rsid w:val="2F7AAA1C"/>
    <w:rsid w:val="2F7FF669"/>
    <w:rsid w:val="2F864BC6"/>
    <w:rsid w:val="2F89A5CF"/>
    <w:rsid w:val="2F8EB553"/>
    <w:rsid w:val="2F8F22CD"/>
    <w:rsid w:val="2F936704"/>
    <w:rsid w:val="2FA39B6A"/>
    <w:rsid w:val="2FAE2510"/>
    <w:rsid w:val="2FB76B90"/>
    <w:rsid w:val="2FBA301E"/>
    <w:rsid w:val="2FC472E2"/>
    <w:rsid w:val="2FC8E420"/>
    <w:rsid w:val="2FC8ED18"/>
    <w:rsid w:val="2FCD60AE"/>
    <w:rsid w:val="2FD59FBC"/>
    <w:rsid w:val="2FD5A1BF"/>
    <w:rsid w:val="2FD5B23D"/>
    <w:rsid w:val="2FDCA5A3"/>
    <w:rsid w:val="2FE68FD5"/>
    <w:rsid w:val="2FECA937"/>
    <w:rsid w:val="2FEE7169"/>
    <w:rsid w:val="2FF6FEB8"/>
    <w:rsid w:val="30049C7D"/>
    <w:rsid w:val="300F4F9E"/>
    <w:rsid w:val="3018EE26"/>
    <w:rsid w:val="301C9F1A"/>
    <w:rsid w:val="3026E64D"/>
    <w:rsid w:val="30305C63"/>
    <w:rsid w:val="303317FC"/>
    <w:rsid w:val="30375825"/>
    <w:rsid w:val="3037B3C6"/>
    <w:rsid w:val="3037CCC8"/>
    <w:rsid w:val="303F59FF"/>
    <w:rsid w:val="30471CFC"/>
    <w:rsid w:val="304A3ABF"/>
    <w:rsid w:val="304CBC1D"/>
    <w:rsid w:val="304D3D9B"/>
    <w:rsid w:val="304F42F0"/>
    <w:rsid w:val="304F79FC"/>
    <w:rsid w:val="30502690"/>
    <w:rsid w:val="30581402"/>
    <w:rsid w:val="305BEBEA"/>
    <w:rsid w:val="30612F4F"/>
    <w:rsid w:val="30669C0E"/>
    <w:rsid w:val="306DEF2B"/>
    <w:rsid w:val="3075EC6E"/>
    <w:rsid w:val="3076984B"/>
    <w:rsid w:val="30810A5E"/>
    <w:rsid w:val="3083B914"/>
    <w:rsid w:val="308AAD02"/>
    <w:rsid w:val="30911F5E"/>
    <w:rsid w:val="3092DD09"/>
    <w:rsid w:val="3096590D"/>
    <w:rsid w:val="309BE215"/>
    <w:rsid w:val="309CBD7E"/>
    <w:rsid w:val="30A4CAFF"/>
    <w:rsid w:val="30AC7D94"/>
    <w:rsid w:val="30ADA536"/>
    <w:rsid w:val="30B4D88C"/>
    <w:rsid w:val="30B96E79"/>
    <w:rsid w:val="30B98CEF"/>
    <w:rsid w:val="30C83533"/>
    <w:rsid w:val="30C84F40"/>
    <w:rsid w:val="30C8CD8A"/>
    <w:rsid w:val="30D2A32A"/>
    <w:rsid w:val="30D4C38B"/>
    <w:rsid w:val="30D8A572"/>
    <w:rsid w:val="30E24182"/>
    <w:rsid w:val="30E3E1D5"/>
    <w:rsid w:val="30E49520"/>
    <w:rsid w:val="30E5AC40"/>
    <w:rsid w:val="30E661FE"/>
    <w:rsid w:val="30E78534"/>
    <w:rsid w:val="30EA68C1"/>
    <w:rsid w:val="30FC01FE"/>
    <w:rsid w:val="30FE980A"/>
    <w:rsid w:val="310EBF38"/>
    <w:rsid w:val="311608D6"/>
    <w:rsid w:val="3118F247"/>
    <w:rsid w:val="311E5994"/>
    <w:rsid w:val="311FE724"/>
    <w:rsid w:val="31229F9D"/>
    <w:rsid w:val="31246CB7"/>
    <w:rsid w:val="313713E0"/>
    <w:rsid w:val="313802D5"/>
    <w:rsid w:val="3138321C"/>
    <w:rsid w:val="3145D447"/>
    <w:rsid w:val="315D1342"/>
    <w:rsid w:val="3161B3F5"/>
    <w:rsid w:val="3161B867"/>
    <w:rsid w:val="3165E7C8"/>
    <w:rsid w:val="31660572"/>
    <w:rsid w:val="316A18CE"/>
    <w:rsid w:val="316B352A"/>
    <w:rsid w:val="316BD21F"/>
    <w:rsid w:val="31728908"/>
    <w:rsid w:val="3176225C"/>
    <w:rsid w:val="3184BCA0"/>
    <w:rsid w:val="31921FF5"/>
    <w:rsid w:val="31939E97"/>
    <w:rsid w:val="31950B7A"/>
    <w:rsid w:val="319EADE9"/>
    <w:rsid w:val="31A025CA"/>
    <w:rsid w:val="31A0D24F"/>
    <w:rsid w:val="31A428EF"/>
    <w:rsid w:val="31BACBF1"/>
    <w:rsid w:val="31BAD667"/>
    <w:rsid w:val="31BFF441"/>
    <w:rsid w:val="31C56DFB"/>
    <w:rsid w:val="31CECAC0"/>
    <w:rsid w:val="31D5E622"/>
    <w:rsid w:val="31D7F3C5"/>
    <w:rsid w:val="31D9A56E"/>
    <w:rsid w:val="31DA754D"/>
    <w:rsid w:val="31DC5072"/>
    <w:rsid w:val="31E1FE90"/>
    <w:rsid w:val="31E357BC"/>
    <w:rsid w:val="31F82F8F"/>
    <w:rsid w:val="31F967E0"/>
    <w:rsid w:val="31FAA148"/>
    <w:rsid w:val="31FB03A5"/>
    <w:rsid w:val="31FEE94D"/>
    <w:rsid w:val="32068C00"/>
    <w:rsid w:val="32071B8B"/>
    <w:rsid w:val="3208E9DB"/>
    <w:rsid w:val="320BAB45"/>
    <w:rsid w:val="320DE27C"/>
    <w:rsid w:val="3211D6C5"/>
    <w:rsid w:val="321CF557"/>
    <w:rsid w:val="321E05BC"/>
    <w:rsid w:val="322959F2"/>
    <w:rsid w:val="322C5923"/>
    <w:rsid w:val="322CA99D"/>
    <w:rsid w:val="3234B163"/>
    <w:rsid w:val="324159CB"/>
    <w:rsid w:val="32476C18"/>
    <w:rsid w:val="324D3DF7"/>
    <w:rsid w:val="32511B38"/>
    <w:rsid w:val="325683A4"/>
    <w:rsid w:val="325984C7"/>
    <w:rsid w:val="325DA46F"/>
    <w:rsid w:val="325FA758"/>
    <w:rsid w:val="32614445"/>
    <w:rsid w:val="326D9091"/>
    <w:rsid w:val="3270C253"/>
    <w:rsid w:val="3272710D"/>
    <w:rsid w:val="3275E835"/>
    <w:rsid w:val="327BBD75"/>
    <w:rsid w:val="327DE129"/>
    <w:rsid w:val="327DE88D"/>
    <w:rsid w:val="3284A320"/>
    <w:rsid w:val="328A1917"/>
    <w:rsid w:val="32A4448C"/>
    <w:rsid w:val="32A5DAAD"/>
    <w:rsid w:val="32AF384A"/>
    <w:rsid w:val="32B11487"/>
    <w:rsid w:val="32B3E40A"/>
    <w:rsid w:val="32B75A29"/>
    <w:rsid w:val="32BCD728"/>
    <w:rsid w:val="32BEBF85"/>
    <w:rsid w:val="32C2FCE3"/>
    <w:rsid w:val="32C713D9"/>
    <w:rsid w:val="32C8D308"/>
    <w:rsid w:val="32CEFEEC"/>
    <w:rsid w:val="32D1E932"/>
    <w:rsid w:val="32D702A2"/>
    <w:rsid w:val="32D9BA15"/>
    <w:rsid w:val="32DD995B"/>
    <w:rsid w:val="32DDBD44"/>
    <w:rsid w:val="32EC31D4"/>
    <w:rsid w:val="32EFBF30"/>
    <w:rsid w:val="32F24963"/>
    <w:rsid w:val="32F6D835"/>
    <w:rsid w:val="330024AD"/>
    <w:rsid w:val="330B67B9"/>
    <w:rsid w:val="330E277F"/>
    <w:rsid w:val="330EB8D2"/>
    <w:rsid w:val="3310A733"/>
    <w:rsid w:val="33182ABC"/>
    <w:rsid w:val="33198DCE"/>
    <w:rsid w:val="331C82A0"/>
    <w:rsid w:val="331C8DD9"/>
    <w:rsid w:val="332128CC"/>
    <w:rsid w:val="3332C7C6"/>
    <w:rsid w:val="33344B0C"/>
    <w:rsid w:val="3335E940"/>
    <w:rsid w:val="333B17C2"/>
    <w:rsid w:val="3348BD7F"/>
    <w:rsid w:val="334EC17D"/>
    <w:rsid w:val="33582F51"/>
    <w:rsid w:val="335A9C2B"/>
    <w:rsid w:val="335C2B87"/>
    <w:rsid w:val="335FF445"/>
    <w:rsid w:val="336BAF6A"/>
    <w:rsid w:val="336C8AE4"/>
    <w:rsid w:val="336D5E86"/>
    <w:rsid w:val="336DA9E6"/>
    <w:rsid w:val="337677B1"/>
    <w:rsid w:val="339C06D4"/>
    <w:rsid w:val="339D3B63"/>
    <w:rsid w:val="33BE6231"/>
    <w:rsid w:val="33C07850"/>
    <w:rsid w:val="33C8AFE4"/>
    <w:rsid w:val="33CA182B"/>
    <w:rsid w:val="33E4CE63"/>
    <w:rsid w:val="33E791FF"/>
    <w:rsid w:val="33EA98D2"/>
    <w:rsid w:val="33F1BC8E"/>
    <w:rsid w:val="3404173E"/>
    <w:rsid w:val="34099809"/>
    <w:rsid w:val="340E0FCE"/>
    <w:rsid w:val="341660E7"/>
    <w:rsid w:val="341E3A0B"/>
    <w:rsid w:val="342E7A03"/>
    <w:rsid w:val="3433BDDE"/>
    <w:rsid w:val="343A4B52"/>
    <w:rsid w:val="344E67A5"/>
    <w:rsid w:val="34526D05"/>
    <w:rsid w:val="345D5188"/>
    <w:rsid w:val="345E0898"/>
    <w:rsid w:val="345F3813"/>
    <w:rsid w:val="346101FF"/>
    <w:rsid w:val="3461A7CF"/>
    <w:rsid w:val="3461C25F"/>
    <w:rsid w:val="3462AD25"/>
    <w:rsid w:val="346620EA"/>
    <w:rsid w:val="3470ECA7"/>
    <w:rsid w:val="347C47C6"/>
    <w:rsid w:val="3491BEEB"/>
    <w:rsid w:val="3493B288"/>
    <w:rsid w:val="34A7D686"/>
    <w:rsid w:val="34AA09CE"/>
    <w:rsid w:val="34ABBCAB"/>
    <w:rsid w:val="34B03E98"/>
    <w:rsid w:val="34B083B1"/>
    <w:rsid w:val="34B46325"/>
    <w:rsid w:val="34BA802D"/>
    <w:rsid w:val="34BE5CE7"/>
    <w:rsid w:val="34BEB687"/>
    <w:rsid w:val="34C2B3ED"/>
    <w:rsid w:val="34CD5107"/>
    <w:rsid w:val="34D25E2F"/>
    <w:rsid w:val="34D56703"/>
    <w:rsid w:val="34D7B355"/>
    <w:rsid w:val="34DEC364"/>
    <w:rsid w:val="34E69B8E"/>
    <w:rsid w:val="34EBA738"/>
    <w:rsid w:val="34F7F05A"/>
    <w:rsid w:val="34F8768E"/>
    <w:rsid w:val="34F87C96"/>
    <w:rsid w:val="34FB6C48"/>
    <w:rsid w:val="3500A991"/>
    <w:rsid w:val="35010396"/>
    <w:rsid w:val="350A9A9B"/>
    <w:rsid w:val="350D46A0"/>
    <w:rsid w:val="35153FE6"/>
    <w:rsid w:val="351D18F8"/>
    <w:rsid w:val="351E57DD"/>
    <w:rsid w:val="352682D9"/>
    <w:rsid w:val="35269FA6"/>
    <w:rsid w:val="352E5182"/>
    <w:rsid w:val="35329EAC"/>
    <w:rsid w:val="353A18FF"/>
    <w:rsid w:val="3546393A"/>
    <w:rsid w:val="35485D01"/>
    <w:rsid w:val="35494CB7"/>
    <w:rsid w:val="354ACC1F"/>
    <w:rsid w:val="354AE2CE"/>
    <w:rsid w:val="355746FF"/>
    <w:rsid w:val="355B4EB6"/>
    <w:rsid w:val="355DAB1C"/>
    <w:rsid w:val="35618F08"/>
    <w:rsid w:val="3563B4FE"/>
    <w:rsid w:val="35657E7D"/>
    <w:rsid w:val="35733CB9"/>
    <w:rsid w:val="35836DC5"/>
    <w:rsid w:val="358B08E0"/>
    <w:rsid w:val="358E93D1"/>
    <w:rsid w:val="35919D70"/>
    <w:rsid w:val="359C4FE3"/>
    <w:rsid w:val="359E44AC"/>
    <w:rsid w:val="35A08815"/>
    <w:rsid w:val="35A26639"/>
    <w:rsid w:val="35A5F3F8"/>
    <w:rsid w:val="35A964A7"/>
    <w:rsid w:val="35B076A7"/>
    <w:rsid w:val="35B22FD9"/>
    <w:rsid w:val="35B75638"/>
    <w:rsid w:val="35B86460"/>
    <w:rsid w:val="35BC0E49"/>
    <w:rsid w:val="35CB282B"/>
    <w:rsid w:val="35CE8995"/>
    <w:rsid w:val="35D41B0B"/>
    <w:rsid w:val="35D4A960"/>
    <w:rsid w:val="35E6FA6F"/>
    <w:rsid w:val="35F54E07"/>
    <w:rsid w:val="35F6EA2A"/>
    <w:rsid w:val="35F98F67"/>
    <w:rsid w:val="35FEE806"/>
    <w:rsid w:val="36099972"/>
    <w:rsid w:val="360E7418"/>
    <w:rsid w:val="3610231F"/>
    <w:rsid w:val="361661EF"/>
    <w:rsid w:val="36216861"/>
    <w:rsid w:val="36295A68"/>
    <w:rsid w:val="362B0F62"/>
    <w:rsid w:val="3631443B"/>
    <w:rsid w:val="36345EB2"/>
    <w:rsid w:val="363E318C"/>
    <w:rsid w:val="3644821B"/>
    <w:rsid w:val="364E12E2"/>
    <w:rsid w:val="3650F02C"/>
    <w:rsid w:val="36559CEB"/>
    <w:rsid w:val="365AD78C"/>
    <w:rsid w:val="365E4473"/>
    <w:rsid w:val="36610CDB"/>
    <w:rsid w:val="36768257"/>
    <w:rsid w:val="368F42F9"/>
    <w:rsid w:val="3694F220"/>
    <w:rsid w:val="3699DB14"/>
    <w:rsid w:val="36A17E02"/>
    <w:rsid w:val="36BA5FB8"/>
    <w:rsid w:val="36BC6535"/>
    <w:rsid w:val="36BEA6C3"/>
    <w:rsid w:val="36C2B65C"/>
    <w:rsid w:val="36C3CA30"/>
    <w:rsid w:val="36C42877"/>
    <w:rsid w:val="36C57C20"/>
    <w:rsid w:val="36D4C417"/>
    <w:rsid w:val="36D5691E"/>
    <w:rsid w:val="36D62CCF"/>
    <w:rsid w:val="36D69A21"/>
    <w:rsid w:val="36D83C70"/>
    <w:rsid w:val="36E0E17F"/>
    <w:rsid w:val="36E463E3"/>
    <w:rsid w:val="36EE09B5"/>
    <w:rsid w:val="36F2238B"/>
    <w:rsid w:val="36FBDED5"/>
    <w:rsid w:val="36FD8A69"/>
    <w:rsid w:val="36FDB849"/>
    <w:rsid w:val="36FEF3E9"/>
    <w:rsid w:val="3703FCFA"/>
    <w:rsid w:val="370936E3"/>
    <w:rsid w:val="370B2CDD"/>
    <w:rsid w:val="370D786B"/>
    <w:rsid w:val="370FFCE0"/>
    <w:rsid w:val="3712E73F"/>
    <w:rsid w:val="37199E20"/>
    <w:rsid w:val="3720428A"/>
    <w:rsid w:val="372476A8"/>
    <w:rsid w:val="3728237D"/>
    <w:rsid w:val="372A0687"/>
    <w:rsid w:val="372A0C9E"/>
    <w:rsid w:val="37313218"/>
    <w:rsid w:val="37405C7E"/>
    <w:rsid w:val="37419129"/>
    <w:rsid w:val="374859C2"/>
    <w:rsid w:val="374FC8A8"/>
    <w:rsid w:val="3751E100"/>
    <w:rsid w:val="3753A141"/>
    <w:rsid w:val="3753B6C7"/>
    <w:rsid w:val="375627EF"/>
    <w:rsid w:val="375EFCFF"/>
    <w:rsid w:val="375FB4C7"/>
    <w:rsid w:val="376416D1"/>
    <w:rsid w:val="3764DCB5"/>
    <w:rsid w:val="376ADAC2"/>
    <w:rsid w:val="376FC571"/>
    <w:rsid w:val="3771041B"/>
    <w:rsid w:val="3772A3ED"/>
    <w:rsid w:val="377304E8"/>
    <w:rsid w:val="377BFB2F"/>
    <w:rsid w:val="3781E4A0"/>
    <w:rsid w:val="37862A77"/>
    <w:rsid w:val="378C04D3"/>
    <w:rsid w:val="378E0BC8"/>
    <w:rsid w:val="3791F42A"/>
    <w:rsid w:val="37A08127"/>
    <w:rsid w:val="37A085B0"/>
    <w:rsid w:val="37A40B4E"/>
    <w:rsid w:val="37A8AA2B"/>
    <w:rsid w:val="37AA4698"/>
    <w:rsid w:val="37AE4CB1"/>
    <w:rsid w:val="37AE99E5"/>
    <w:rsid w:val="37AFDFE1"/>
    <w:rsid w:val="37B1EC01"/>
    <w:rsid w:val="37B1EFEB"/>
    <w:rsid w:val="37B6AC83"/>
    <w:rsid w:val="37B7AD9F"/>
    <w:rsid w:val="37DC108B"/>
    <w:rsid w:val="37DCA865"/>
    <w:rsid w:val="37DF3AB1"/>
    <w:rsid w:val="37E464FA"/>
    <w:rsid w:val="37E4E8E9"/>
    <w:rsid w:val="37E7ACEB"/>
    <w:rsid w:val="37E9CD1D"/>
    <w:rsid w:val="37EBE50A"/>
    <w:rsid w:val="37EF1299"/>
    <w:rsid w:val="37EFC794"/>
    <w:rsid w:val="37F15C75"/>
    <w:rsid w:val="37F50976"/>
    <w:rsid w:val="38096403"/>
    <w:rsid w:val="3809D272"/>
    <w:rsid w:val="380A2797"/>
    <w:rsid w:val="381384F6"/>
    <w:rsid w:val="38141798"/>
    <w:rsid w:val="381E026D"/>
    <w:rsid w:val="382057B5"/>
    <w:rsid w:val="383195F1"/>
    <w:rsid w:val="383309E5"/>
    <w:rsid w:val="3834969F"/>
    <w:rsid w:val="38432AC5"/>
    <w:rsid w:val="3843F336"/>
    <w:rsid w:val="384A43CC"/>
    <w:rsid w:val="384BC9E3"/>
    <w:rsid w:val="384BF236"/>
    <w:rsid w:val="38529887"/>
    <w:rsid w:val="38586EC1"/>
    <w:rsid w:val="385A44EF"/>
    <w:rsid w:val="385C53F4"/>
    <w:rsid w:val="38635475"/>
    <w:rsid w:val="386E0404"/>
    <w:rsid w:val="38731E76"/>
    <w:rsid w:val="3879CF03"/>
    <w:rsid w:val="3883E3CA"/>
    <w:rsid w:val="3886EC02"/>
    <w:rsid w:val="388D7C18"/>
    <w:rsid w:val="3893B124"/>
    <w:rsid w:val="3896AD73"/>
    <w:rsid w:val="389A3341"/>
    <w:rsid w:val="389E3363"/>
    <w:rsid w:val="389F9168"/>
    <w:rsid w:val="38A2D089"/>
    <w:rsid w:val="38A38C1D"/>
    <w:rsid w:val="38B52157"/>
    <w:rsid w:val="38BC9923"/>
    <w:rsid w:val="38C7D12D"/>
    <w:rsid w:val="38C9042F"/>
    <w:rsid w:val="38D5F23F"/>
    <w:rsid w:val="38D86E82"/>
    <w:rsid w:val="38EBAA2A"/>
    <w:rsid w:val="38F437F5"/>
    <w:rsid w:val="38F5AC1D"/>
    <w:rsid w:val="38F9D04C"/>
    <w:rsid w:val="391143B4"/>
    <w:rsid w:val="3913D8DB"/>
    <w:rsid w:val="391F197F"/>
    <w:rsid w:val="391F419B"/>
    <w:rsid w:val="3922CD25"/>
    <w:rsid w:val="392CDEA7"/>
    <w:rsid w:val="3930B02E"/>
    <w:rsid w:val="3933B45E"/>
    <w:rsid w:val="3946F8CB"/>
    <w:rsid w:val="39522019"/>
    <w:rsid w:val="3958F0CF"/>
    <w:rsid w:val="395B3ACF"/>
    <w:rsid w:val="395BB94F"/>
    <w:rsid w:val="395E31A0"/>
    <w:rsid w:val="395FB5AF"/>
    <w:rsid w:val="39696FA2"/>
    <w:rsid w:val="396A66CD"/>
    <w:rsid w:val="39721B54"/>
    <w:rsid w:val="39755F0F"/>
    <w:rsid w:val="397D1AF1"/>
    <w:rsid w:val="39847292"/>
    <w:rsid w:val="39863E04"/>
    <w:rsid w:val="39889252"/>
    <w:rsid w:val="398977E6"/>
    <w:rsid w:val="39911CE4"/>
    <w:rsid w:val="39921369"/>
    <w:rsid w:val="39927126"/>
    <w:rsid w:val="39999E55"/>
    <w:rsid w:val="39A2F352"/>
    <w:rsid w:val="39A384BE"/>
    <w:rsid w:val="39A7A05E"/>
    <w:rsid w:val="39B1CFD7"/>
    <w:rsid w:val="39B266A6"/>
    <w:rsid w:val="39BB46DC"/>
    <w:rsid w:val="39BF9108"/>
    <w:rsid w:val="39C3B204"/>
    <w:rsid w:val="39C53EB3"/>
    <w:rsid w:val="39C8EC56"/>
    <w:rsid w:val="39D01162"/>
    <w:rsid w:val="39D79E1B"/>
    <w:rsid w:val="39E0701B"/>
    <w:rsid w:val="39F41BD8"/>
    <w:rsid w:val="39F4D09F"/>
    <w:rsid w:val="39F54C40"/>
    <w:rsid w:val="3A01FF1E"/>
    <w:rsid w:val="3A034656"/>
    <w:rsid w:val="3A053DBE"/>
    <w:rsid w:val="3A08C74E"/>
    <w:rsid w:val="3A192BF7"/>
    <w:rsid w:val="3A25738E"/>
    <w:rsid w:val="3A26B832"/>
    <w:rsid w:val="3A2987C0"/>
    <w:rsid w:val="3A3042A9"/>
    <w:rsid w:val="3A314B70"/>
    <w:rsid w:val="3A32B118"/>
    <w:rsid w:val="3A372D85"/>
    <w:rsid w:val="3A3947F2"/>
    <w:rsid w:val="3A397FEC"/>
    <w:rsid w:val="3A3CFE50"/>
    <w:rsid w:val="3A46BBA9"/>
    <w:rsid w:val="3A479624"/>
    <w:rsid w:val="3A482D74"/>
    <w:rsid w:val="3A4E87EB"/>
    <w:rsid w:val="3A4F2379"/>
    <w:rsid w:val="3A5AAC0A"/>
    <w:rsid w:val="3A5AB5B0"/>
    <w:rsid w:val="3A5BA623"/>
    <w:rsid w:val="3A64834E"/>
    <w:rsid w:val="3A714CFF"/>
    <w:rsid w:val="3A8919C3"/>
    <w:rsid w:val="3A89D2B2"/>
    <w:rsid w:val="3A8B4133"/>
    <w:rsid w:val="3A8D4217"/>
    <w:rsid w:val="3A939E65"/>
    <w:rsid w:val="3A988749"/>
    <w:rsid w:val="3A9C5192"/>
    <w:rsid w:val="3AAD7D8D"/>
    <w:rsid w:val="3AB363B9"/>
    <w:rsid w:val="3AB7A89B"/>
    <w:rsid w:val="3AB95443"/>
    <w:rsid w:val="3ABF1164"/>
    <w:rsid w:val="3ABFB154"/>
    <w:rsid w:val="3AC41655"/>
    <w:rsid w:val="3AC9BF5B"/>
    <w:rsid w:val="3AD0FB34"/>
    <w:rsid w:val="3AD6124C"/>
    <w:rsid w:val="3AE23766"/>
    <w:rsid w:val="3AE395C2"/>
    <w:rsid w:val="3AF8D96E"/>
    <w:rsid w:val="3B0470EB"/>
    <w:rsid w:val="3B057DA6"/>
    <w:rsid w:val="3B088C90"/>
    <w:rsid w:val="3B08944D"/>
    <w:rsid w:val="3B12B314"/>
    <w:rsid w:val="3B1F88C1"/>
    <w:rsid w:val="3B26144F"/>
    <w:rsid w:val="3B2B8D52"/>
    <w:rsid w:val="3B2F7C55"/>
    <w:rsid w:val="3B33DB31"/>
    <w:rsid w:val="3B3411BD"/>
    <w:rsid w:val="3B38DC7F"/>
    <w:rsid w:val="3B407671"/>
    <w:rsid w:val="3B467726"/>
    <w:rsid w:val="3B47BB66"/>
    <w:rsid w:val="3B48B0FE"/>
    <w:rsid w:val="3B57A2A4"/>
    <w:rsid w:val="3B5C0B46"/>
    <w:rsid w:val="3B5CA20D"/>
    <w:rsid w:val="3B5E3486"/>
    <w:rsid w:val="3B5E365B"/>
    <w:rsid w:val="3B5F6660"/>
    <w:rsid w:val="3B6D709A"/>
    <w:rsid w:val="3B7CAB09"/>
    <w:rsid w:val="3B7CFA3E"/>
    <w:rsid w:val="3B7DCEBC"/>
    <w:rsid w:val="3B81BED8"/>
    <w:rsid w:val="3B88E3A5"/>
    <w:rsid w:val="3B925A22"/>
    <w:rsid w:val="3B9535C9"/>
    <w:rsid w:val="3B9A25FB"/>
    <w:rsid w:val="3B9DA98D"/>
    <w:rsid w:val="3BACE9E6"/>
    <w:rsid w:val="3BAE65B3"/>
    <w:rsid w:val="3BB3A4AF"/>
    <w:rsid w:val="3BB70CBE"/>
    <w:rsid w:val="3BB8729C"/>
    <w:rsid w:val="3BB9602A"/>
    <w:rsid w:val="3BBB7DB7"/>
    <w:rsid w:val="3BBE90C5"/>
    <w:rsid w:val="3BC17DAE"/>
    <w:rsid w:val="3BD91921"/>
    <w:rsid w:val="3BE626A4"/>
    <w:rsid w:val="3BFE824F"/>
    <w:rsid w:val="3C05D939"/>
    <w:rsid w:val="3C07A893"/>
    <w:rsid w:val="3C08D071"/>
    <w:rsid w:val="3C0E0848"/>
    <w:rsid w:val="3C12F85A"/>
    <w:rsid w:val="3C15BE1B"/>
    <w:rsid w:val="3C15D23C"/>
    <w:rsid w:val="3C2229D4"/>
    <w:rsid w:val="3C2D51B8"/>
    <w:rsid w:val="3C2D9F77"/>
    <w:rsid w:val="3C358374"/>
    <w:rsid w:val="3C384CD6"/>
    <w:rsid w:val="3C393BE8"/>
    <w:rsid w:val="3C394604"/>
    <w:rsid w:val="3C3C44F1"/>
    <w:rsid w:val="3C3FEEF5"/>
    <w:rsid w:val="3C490082"/>
    <w:rsid w:val="3C4C56A8"/>
    <w:rsid w:val="3C515FB5"/>
    <w:rsid w:val="3C56907F"/>
    <w:rsid w:val="3C59ECE0"/>
    <w:rsid w:val="3C5C0DB6"/>
    <w:rsid w:val="3C5C556B"/>
    <w:rsid w:val="3C5D4221"/>
    <w:rsid w:val="3C600EA3"/>
    <w:rsid w:val="3C6085A0"/>
    <w:rsid w:val="3C60DA00"/>
    <w:rsid w:val="3C624DC8"/>
    <w:rsid w:val="3C62F465"/>
    <w:rsid w:val="3C703AA9"/>
    <w:rsid w:val="3C72A10C"/>
    <w:rsid w:val="3C744189"/>
    <w:rsid w:val="3C7610B2"/>
    <w:rsid w:val="3C76C16C"/>
    <w:rsid w:val="3C7B000F"/>
    <w:rsid w:val="3C7E4A57"/>
    <w:rsid w:val="3C7E9450"/>
    <w:rsid w:val="3C835574"/>
    <w:rsid w:val="3C85DD46"/>
    <w:rsid w:val="3C980D1F"/>
    <w:rsid w:val="3CA36439"/>
    <w:rsid w:val="3CA6F263"/>
    <w:rsid w:val="3CAE6D47"/>
    <w:rsid w:val="3CAFBAB8"/>
    <w:rsid w:val="3CB71783"/>
    <w:rsid w:val="3CBC461A"/>
    <w:rsid w:val="3CBE895E"/>
    <w:rsid w:val="3CCA054B"/>
    <w:rsid w:val="3CCCC8E6"/>
    <w:rsid w:val="3CD06900"/>
    <w:rsid w:val="3CD135F0"/>
    <w:rsid w:val="3CD23234"/>
    <w:rsid w:val="3CDAE784"/>
    <w:rsid w:val="3CDBCD39"/>
    <w:rsid w:val="3CE09843"/>
    <w:rsid w:val="3CE8EBBA"/>
    <w:rsid w:val="3CEE56AF"/>
    <w:rsid w:val="3CEFBD27"/>
    <w:rsid w:val="3CF1A715"/>
    <w:rsid w:val="3CF935B7"/>
    <w:rsid w:val="3D0A211C"/>
    <w:rsid w:val="3D1368F8"/>
    <w:rsid w:val="3D182007"/>
    <w:rsid w:val="3D191365"/>
    <w:rsid w:val="3D25EB3D"/>
    <w:rsid w:val="3D2A5E3F"/>
    <w:rsid w:val="3D30E953"/>
    <w:rsid w:val="3D33ED5C"/>
    <w:rsid w:val="3D375E54"/>
    <w:rsid w:val="3D3919F9"/>
    <w:rsid w:val="3D3A3EE0"/>
    <w:rsid w:val="3D3F6330"/>
    <w:rsid w:val="3D408C1C"/>
    <w:rsid w:val="3D576480"/>
    <w:rsid w:val="3D606EE4"/>
    <w:rsid w:val="3D66804D"/>
    <w:rsid w:val="3D6ABBCC"/>
    <w:rsid w:val="3D703E4A"/>
    <w:rsid w:val="3D723A9A"/>
    <w:rsid w:val="3D753DBD"/>
    <w:rsid w:val="3D7B7B06"/>
    <w:rsid w:val="3D8DF964"/>
    <w:rsid w:val="3D8F830F"/>
    <w:rsid w:val="3D91E05E"/>
    <w:rsid w:val="3D9A6EF9"/>
    <w:rsid w:val="3DA216C5"/>
    <w:rsid w:val="3DA56BEC"/>
    <w:rsid w:val="3DA5E805"/>
    <w:rsid w:val="3DA96962"/>
    <w:rsid w:val="3DAD6722"/>
    <w:rsid w:val="3DAD7CEF"/>
    <w:rsid w:val="3DB128C1"/>
    <w:rsid w:val="3DB2FE81"/>
    <w:rsid w:val="3DBE8410"/>
    <w:rsid w:val="3DBEBF88"/>
    <w:rsid w:val="3DBF2EDD"/>
    <w:rsid w:val="3DC06B05"/>
    <w:rsid w:val="3DC33200"/>
    <w:rsid w:val="3DD403EA"/>
    <w:rsid w:val="3DE1E822"/>
    <w:rsid w:val="3DEA424C"/>
    <w:rsid w:val="3DFA6295"/>
    <w:rsid w:val="3DFE34FE"/>
    <w:rsid w:val="3E077328"/>
    <w:rsid w:val="3E0E4113"/>
    <w:rsid w:val="3E1BD799"/>
    <w:rsid w:val="3E2BC685"/>
    <w:rsid w:val="3E2BEDC9"/>
    <w:rsid w:val="3E34D15D"/>
    <w:rsid w:val="3E350AAE"/>
    <w:rsid w:val="3E3A9D27"/>
    <w:rsid w:val="3E3F0E14"/>
    <w:rsid w:val="3E40BE9A"/>
    <w:rsid w:val="3E40D883"/>
    <w:rsid w:val="3E47FB36"/>
    <w:rsid w:val="3E4991A9"/>
    <w:rsid w:val="3E4AC36A"/>
    <w:rsid w:val="3E512D4F"/>
    <w:rsid w:val="3E52DBC4"/>
    <w:rsid w:val="3E55626D"/>
    <w:rsid w:val="3E573DBA"/>
    <w:rsid w:val="3E581A18"/>
    <w:rsid w:val="3E591E5E"/>
    <w:rsid w:val="3E5C117F"/>
    <w:rsid w:val="3E74AD97"/>
    <w:rsid w:val="3E7EB694"/>
    <w:rsid w:val="3E80C0C9"/>
    <w:rsid w:val="3E81A6A8"/>
    <w:rsid w:val="3E823980"/>
    <w:rsid w:val="3E868BF0"/>
    <w:rsid w:val="3E8724CE"/>
    <w:rsid w:val="3E87D4B9"/>
    <w:rsid w:val="3E886648"/>
    <w:rsid w:val="3E8EB784"/>
    <w:rsid w:val="3E8F4208"/>
    <w:rsid w:val="3E91F06B"/>
    <w:rsid w:val="3E957022"/>
    <w:rsid w:val="3E9766CC"/>
    <w:rsid w:val="3E987D62"/>
    <w:rsid w:val="3E99BECA"/>
    <w:rsid w:val="3EAAA035"/>
    <w:rsid w:val="3EAC2CB1"/>
    <w:rsid w:val="3ECA6E30"/>
    <w:rsid w:val="3ECC4E26"/>
    <w:rsid w:val="3EDDE8A2"/>
    <w:rsid w:val="3EDF8DD1"/>
    <w:rsid w:val="3EE72A7D"/>
    <w:rsid w:val="3EE7462A"/>
    <w:rsid w:val="3EE77EF2"/>
    <w:rsid w:val="3F093B5E"/>
    <w:rsid w:val="3F0E2961"/>
    <w:rsid w:val="3F0E6513"/>
    <w:rsid w:val="3F1037A6"/>
    <w:rsid w:val="3F1281EE"/>
    <w:rsid w:val="3F1CA00E"/>
    <w:rsid w:val="3F1D99E6"/>
    <w:rsid w:val="3F1EFF86"/>
    <w:rsid w:val="3F1F1248"/>
    <w:rsid w:val="3F229FA7"/>
    <w:rsid w:val="3F22A74B"/>
    <w:rsid w:val="3F2487D3"/>
    <w:rsid w:val="3F24DBBF"/>
    <w:rsid w:val="3F2A47EF"/>
    <w:rsid w:val="3F2CFC3C"/>
    <w:rsid w:val="3F35F298"/>
    <w:rsid w:val="3F36A320"/>
    <w:rsid w:val="3F385AFD"/>
    <w:rsid w:val="3F3C494B"/>
    <w:rsid w:val="3F40B0EF"/>
    <w:rsid w:val="3F416BDE"/>
    <w:rsid w:val="3F4386DC"/>
    <w:rsid w:val="3F43C192"/>
    <w:rsid w:val="3F48A499"/>
    <w:rsid w:val="3F4970E8"/>
    <w:rsid w:val="3F51CE90"/>
    <w:rsid w:val="3F54E85F"/>
    <w:rsid w:val="3F59C2C7"/>
    <w:rsid w:val="3F5B6781"/>
    <w:rsid w:val="3F64658A"/>
    <w:rsid w:val="3F756201"/>
    <w:rsid w:val="3F77654B"/>
    <w:rsid w:val="3F7BBDFE"/>
    <w:rsid w:val="3F815F4A"/>
    <w:rsid w:val="3F82903D"/>
    <w:rsid w:val="3F82DB06"/>
    <w:rsid w:val="3F83C9B8"/>
    <w:rsid w:val="3F8FED4A"/>
    <w:rsid w:val="3F906471"/>
    <w:rsid w:val="3F921318"/>
    <w:rsid w:val="3F9D8C8F"/>
    <w:rsid w:val="3F9F559B"/>
    <w:rsid w:val="3FA1F69F"/>
    <w:rsid w:val="3FAB49C7"/>
    <w:rsid w:val="3FB3A1BB"/>
    <w:rsid w:val="3FC0D7B9"/>
    <w:rsid w:val="3FC1DB11"/>
    <w:rsid w:val="3FD3B21C"/>
    <w:rsid w:val="3FE98797"/>
    <w:rsid w:val="3FEC3659"/>
    <w:rsid w:val="3FF3D8C0"/>
    <w:rsid w:val="3FFC8379"/>
    <w:rsid w:val="40095653"/>
    <w:rsid w:val="400BDB13"/>
    <w:rsid w:val="400F064A"/>
    <w:rsid w:val="401819C7"/>
    <w:rsid w:val="401940BF"/>
    <w:rsid w:val="4019DE70"/>
    <w:rsid w:val="401A7F15"/>
    <w:rsid w:val="402445C3"/>
    <w:rsid w:val="4026C9A9"/>
    <w:rsid w:val="40274CEE"/>
    <w:rsid w:val="402BA971"/>
    <w:rsid w:val="40311EA8"/>
    <w:rsid w:val="403B6895"/>
    <w:rsid w:val="403CFA1B"/>
    <w:rsid w:val="4046B0A1"/>
    <w:rsid w:val="404B1A76"/>
    <w:rsid w:val="404EC378"/>
    <w:rsid w:val="4052091C"/>
    <w:rsid w:val="4058ECF4"/>
    <w:rsid w:val="405AC7AE"/>
    <w:rsid w:val="405E5AB5"/>
    <w:rsid w:val="40671786"/>
    <w:rsid w:val="4068618F"/>
    <w:rsid w:val="406A0902"/>
    <w:rsid w:val="406AFE86"/>
    <w:rsid w:val="40702791"/>
    <w:rsid w:val="407590A6"/>
    <w:rsid w:val="409E2A52"/>
    <w:rsid w:val="409FF915"/>
    <w:rsid w:val="40A99BF9"/>
    <w:rsid w:val="40B37C1A"/>
    <w:rsid w:val="40B937FD"/>
    <w:rsid w:val="40B9A179"/>
    <w:rsid w:val="40C13FFE"/>
    <w:rsid w:val="40C879F3"/>
    <w:rsid w:val="40C91122"/>
    <w:rsid w:val="40D78E16"/>
    <w:rsid w:val="40DAD4CC"/>
    <w:rsid w:val="40E02D61"/>
    <w:rsid w:val="40E519B5"/>
    <w:rsid w:val="40E623C1"/>
    <w:rsid w:val="40E7501B"/>
    <w:rsid w:val="40F5D846"/>
    <w:rsid w:val="40F9FC28"/>
    <w:rsid w:val="40FD5ED5"/>
    <w:rsid w:val="41076D7C"/>
    <w:rsid w:val="4107B42D"/>
    <w:rsid w:val="41093FDF"/>
    <w:rsid w:val="4111CD86"/>
    <w:rsid w:val="4114CBA8"/>
    <w:rsid w:val="4123BEDF"/>
    <w:rsid w:val="4127A97E"/>
    <w:rsid w:val="4127F487"/>
    <w:rsid w:val="412C3D5E"/>
    <w:rsid w:val="41342212"/>
    <w:rsid w:val="41345A6F"/>
    <w:rsid w:val="41359DA0"/>
    <w:rsid w:val="414629E5"/>
    <w:rsid w:val="414FF2A2"/>
    <w:rsid w:val="4163AF91"/>
    <w:rsid w:val="4170F215"/>
    <w:rsid w:val="41723756"/>
    <w:rsid w:val="417EA8C3"/>
    <w:rsid w:val="417FDDDF"/>
    <w:rsid w:val="4181E32B"/>
    <w:rsid w:val="418B2FC6"/>
    <w:rsid w:val="418C6FB4"/>
    <w:rsid w:val="418ECDC1"/>
    <w:rsid w:val="418F5FAC"/>
    <w:rsid w:val="418FDCAD"/>
    <w:rsid w:val="41A62721"/>
    <w:rsid w:val="41A678CA"/>
    <w:rsid w:val="41A6D3A9"/>
    <w:rsid w:val="41B03410"/>
    <w:rsid w:val="41B09089"/>
    <w:rsid w:val="41B1F089"/>
    <w:rsid w:val="41BAB195"/>
    <w:rsid w:val="41C25DB2"/>
    <w:rsid w:val="41C27BD4"/>
    <w:rsid w:val="41C5EC63"/>
    <w:rsid w:val="41CD173F"/>
    <w:rsid w:val="41CE9910"/>
    <w:rsid w:val="41D29839"/>
    <w:rsid w:val="41D4B4C9"/>
    <w:rsid w:val="41D605A6"/>
    <w:rsid w:val="41D70EA8"/>
    <w:rsid w:val="41E0CF70"/>
    <w:rsid w:val="41E4288A"/>
    <w:rsid w:val="41EB685D"/>
    <w:rsid w:val="41F642F1"/>
    <w:rsid w:val="420246FE"/>
    <w:rsid w:val="42025C16"/>
    <w:rsid w:val="42094A0E"/>
    <w:rsid w:val="4212191A"/>
    <w:rsid w:val="42164053"/>
    <w:rsid w:val="421C15C9"/>
    <w:rsid w:val="4221A534"/>
    <w:rsid w:val="42262068"/>
    <w:rsid w:val="4226A0A4"/>
    <w:rsid w:val="4228348F"/>
    <w:rsid w:val="422A9D4C"/>
    <w:rsid w:val="422EB9E3"/>
    <w:rsid w:val="42350557"/>
    <w:rsid w:val="423AA01C"/>
    <w:rsid w:val="423B5F53"/>
    <w:rsid w:val="42491264"/>
    <w:rsid w:val="424DEF7A"/>
    <w:rsid w:val="424E945F"/>
    <w:rsid w:val="4252EDDC"/>
    <w:rsid w:val="42572749"/>
    <w:rsid w:val="425B4D88"/>
    <w:rsid w:val="4264548A"/>
    <w:rsid w:val="426BFC44"/>
    <w:rsid w:val="426DC5EE"/>
    <w:rsid w:val="42707888"/>
    <w:rsid w:val="4270DAB9"/>
    <w:rsid w:val="427EAB9B"/>
    <w:rsid w:val="427EAEAB"/>
    <w:rsid w:val="42831CCF"/>
    <w:rsid w:val="4287C962"/>
    <w:rsid w:val="428FDD38"/>
    <w:rsid w:val="42954623"/>
    <w:rsid w:val="42A3ECAF"/>
    <w:rsid w:val="42A444D0"/>
    <w:rsid w:val="42A6D769"/>
    <w:rsid w:val="42A9C99B"/>
    <w:rsid w:val="42AFF417"/>
    <w:rsid w:val="42B13AD9"/>
    <w:rsid w:val="42B90D51"/>
    <w:rsid w:val="42D2BEA1"/>
    <w:rsid w:val="42D38092"/>
    <w:rsid w:val="42D4E300"/>
    <w:rsid w:val="42D6D203"/>
    <w:rsid w:val="42D8CB6D"/>
    <w:rsid w:val="42DF4FE3"/>
    <w:rsid w:val="42F45823"/>
    <w:rsid w:val="42F9649F"/>
    <w:rsid w:val="42FEF55D"/>
    <w:rsid w:val="43086295"/>
    <w:rsid w:val="4308CC12"/>
    <w:rsid w:val="431E63FE"/>
    <w:rsid w:val="4327FAE4"/>
    <w:rsid w:val="432A9EAA"/>
    <w:rsid w:val="43312BBB"/>
    <w:rsid w:val="433FF22A"/>
    <w:rsid w:val="4340F347"/>
    <w:rsid w:val="4344D6AD"/>
    <w:rsid w:val="43490374"/>
    <w:rsid w:val="435875D6"/>
    <w:rsid w:val="4358BCA4"/>
    <w:rsid w:val="435D08DB"/>
    <w:rsid w:val="4361CB10"/>
    <w:rsid w:val="4364D915"/>
    <w:rsid w:val="4371449B"/>
    <w:rsid w:val="43755612"/>
    <w:rsid w:val="43823DEA"/>
    <w:rsid w:val="438543C8"/>
    <w:rsid w:val="438A4D7D"/>
    <w:rsid w:val="439D289B"/>
    <w:rsid w:val="439D6806"/>
    <w:rsid w:val="43A04D67"/>
    <w:rsid w:val="43A2698D"/>
    <w:rsid w:val="43A6272D"/>
    <w:rsid w:val="43AE45F3"/>
    <w:rsid w:val="43B77B7E"/>
    <w:rsid w:val="43B82D37"/>
    <w:rsid w:val="43BF2CED"/>
    <w:rsid w:val="43C11F40"/>
    <w:rsid w:val="43C60878"/>
    <w:rsid w:val="43C772CB"/>
    <w:rsid w:val="43C8BEB1"/>
    <w:rsid w:val="43D6B525"/>
    <w:rsid w:val="43D78E3B"/>
    <w:rsid w:val="43DE9D58"/>
    <w:rsid w:val="43E464F7"/>
    <w:rsid w:val="43F38CAF"/>
    <w:rsid w:val="440B7D91"/>
    <w:rsid w:val="4412B451"/>
    <w:rsid w:val="4413F91D"/>
    <w:rsid w:val="441EA8F5"/>
    <w:rsid w:val="441FE678"/>
    <w:rsid w:val="44264E0F"/>
    <w:rsid w:val="44271363"/>
    <w:rsid w:val="4427B9A7"/>
    <w:rsid w:val="442DCF0F"/>
    <w:rsid w:val="443004F4"/>
    <w:rsid w:val="4430ACFE"/>
    <w:rsid w:val="4431B10F"/>
    <w:rsid w:val="444B877B"/>
    <w:rsid w:val="444C616D"/>
    <w:rsid w:val="444E135B"/>
    <w:rsid w:val="4451C9AA"/>
    <w:rsid w:val="445D1296"/>
    <w:rsid w:val="4465FF57"/>
    <w:rsid w:val="44669330"/>
    <w:rsid w:val="4475EB72"/>
    <w:rsid w:val="447C4300"/>
    <w:rsid w:val="44868DE9"/>
    <w:rsid w:val="448831B1"/>
    <w:rsid w:val="4488EDA2"/>
    <w:rsid w:val="448B3C27"/>
    <w:rsid w:val="4495676B"/>
    <w:rsid w:val="44A28996"/>
    <w:rsid w:val="44A3BB76"/>
    <w:rsid w:val="44A7B202"/>
    <w:rsid w:val="44A8617A"/>
    <w:rsid w:val="44AC7349"/>
    <w:rsid w:val="44B11057"/>
    <w:rsid w:val="44C15240"/>
    <w:rsid w:val="44C50066"/>
    <w:rsid w:val="44CCEC09"/>
    <w:rsid w:val="44CD1E65"/>
    <w:rsid w:val="44D01170"/>
    <w:rsid w:val="44D680C1"/>
    <w:rsid w:val="44DD1CCD"/>
    <w:rsid w:val="44E22FB3"/>
    <w:rsid w:val="44E660C9"/>
    <w:rsid w:val="44EB1747"/>
    <w:rsid w:val="44F6AA73"/>
    <w:rsid w:val="44F971F0"/>
    <w:rsid w:val="450F37C3"/>
    <w:rsid w:val="451A1EFB"/>
    <w:rsid w:val="451DDA47"/>
    <w:rsid w:val="451E8875"/>
    <w:rsid w:val="4522F909"/>
    <w:rsid w:val="4523FFEA"/>
    <w:rsid w:val="45279E9F"/>
    <w:rsid w:val="4534B1A4"/>
    <w:rsid w:val="453CFE65"/>
    <w:rsid w:val="45431086"/>
    <w:rsid w:val="4544308F"/>
    <w:rsid w:val="454A8EE7"/>
    <w:rsid w:val="454BC4D9"/>
    <w:rsid w:val="4550DEDE"/>
    <w:rsid w:val="45529DA9"/>
    <w:rsid w:val="4559BA2F"/>
    <w:rsid w:val="4559BD90"/>
    <w:rsid w:val="4559DE7B"/>
    <w:rsid w:val="455F3019"/>
    <w:rsid w:val="4562948A"/>
    <w:rsid w:val="4565E472"/>
    <w:rsid w:val="4569BE4C"/>
    <w:rsid w:val="456DC9D1"/>
    <w:rsid w:val="457FB098"/>
    <w:rsid w:val="45829859"/>
    <w:rsid w:val="45844DFB"/>
    <w:rsid w:val="4586AA07"/>
    <w:rsid w:val="4596BA11"/>
    <w:rsid w:val="459EBA1D"/>
    <w:rsid w:val="45A01418"/>
    <w:rsid w:val="45AB3914"/>
    <w:rsid w:val="45B3DCE7"/>
    <w:rsid w:val="45B7227A"/>
    <w:rsid w:val="45B922C2"/>
    <w:rsid w:val="45B9763B"/>
    <w:rsid w:val="45B9BF48"/>
    <w:rsid w:val="45BD85EF"/>
    <w:rsid w:val="45C05823"/>
    <w:rsid w:val="45D00E05"/>
    <w:rsid w:val="45D35E85"/>
    <w:rsid w:val="45D5FC62"/>
    <w:rsid w:val="45DB775E"/>
    <w:rsid w:val="45E0FC95"/>
    <w:rsid w:val="45E210D7"/>
    <w:rsid w:val="45E7E360"/>
    <w:rsid w:val="45F57A84"/>
    <w:rsid w:val="45F5B6B8"/>
    <w:rsid w:val="45FB4758"/>
    <w:rsid w:val="4607711D"/>
    <w:rsid w:val="460F0CB3"/>
    <w:rsid w:val="4615E4DB"/>
    <w:rsid w:val="4623C3D4"/>
    <w:rsid w:val="46283736"/>
    <w:rsid w:val="462EA2CB"/>
    <w:rsid w:val="463406B6"/>
    <w:rsid w:val="4637672E"/>
    <w:rsid w:val="4638F395"/>
    <w:rsid w:val="46390224"/>
    <w:rsid w:val="463B5A10"/>
    <w:rsid w:val="463F4B30"/>
    <w:rsid w:val="464409C1"/>
    <w:rsid w:val="46466896"/>
    <w:rsid w:val="46472AE7"/>
    <w:rsid w:val="46487AD4"/>
    <w:rsid w:val="464ECBE4"/>
    <w:rsid w:val="464FCA75"/>
    <w:rsid w:val="46514D32"/>
    <w:rsid w:val="4653C1B7"/>
    <w:rsid w:val="4655D8A8"/>
    <w:rsid w:val="46572ACC"/>
    <w:rsid w:val="46688E7B"/>
    <w:rsid w:val="46777379"/>
    <w:rsid w:val="467C0021"/>
    <w:rsid w:val="467FB6F0"/>
    <w:rsid w:val="4681662D"/>
    <w:rsid w:val="4681AD33"/>
    <w:rsid w:val="46836CE8"/>
    <w:rsid w:val="468BBE52"/>
    <w:rsid w:val="468C0DE6"/>
    <w:rsid w:val="469011D3"/>
    <w:rsid w:val="4693888B"/>
    <w:rsid w:val="4693E89C"/>
    <w:rsid w:val="46A2B39A"/>
    <w:rsid w:val="46B6466F"/>
    <w:rsid w:val="46BC9E0E"/>
    <w:rsid w:val="46C49883"/>
    <w:rsid w:val="46C90C86"/>
    <w:rsid w:val="46CC4EA7"/>
    <w:rsid w:val="46CDC5B6"/>
    <w:rsid w:val="46D13331"/>
    <w:rsid w:val="46D158DF"/>
    <w:rsid w:val="46DF7C7B"/>
    <w:rsid w:val="46E10D67"/>
    <w:rsid w:val="46E40830"/>
    <w:rsid w:val="46E62A71"/>
    <w:rsid w:val="46F5B11E"/>
    <w:rsid w:val="46F5BE08"/>
    <w:rsid w:val="4702C653"/>
    <w:rsid w:val="470348F7"/>
    <w:rsid w:val="4704BDB0"/>
    <w:rsid w:val="4726FBA4"/>
    <w:rsid w:val="47291E7F"/>
    <w:rsid w:val="47319E75"/>
    <w:rsid w:val="474C7158"/>
    <w:rsid w:val="474D956E"/>
    <w:rsid w:val="4750CF3D"/>
    <w:rsid w:val="47510243"/>
    <w:rsid w:val="47544058"/>
    <w:rsid w:val="476CDAF8"/>
    <w:rsid w:val="47745DD3"/>
    <w:rsid w:val="477FD81D"/>
    <w:rsid w:val="4788BB4E"/>
    <w:rsid w:val="47964A94"/>
    <w:rsid w:val="4796F50B"/>
    <w:rsid w:val="47985BAF"/>
    <w:rsid w:val="47A2B956"/>
    <w:rsid w:val="47AA9B7D"/>
    <w:rsid w:val="47ADE645"/>
    <w:rsid w:val="47B5364A"/>
    <w:rsid w:val="47B65D48"/>
    <w:rsid w:val="47C1306F"/>
    <w:rsid w:val="47C3743A"/>
    <w:rsid w:val="47C6C69F"/>
    <w:rsid w:val="47C84564"/>
    <w:rsid w:val="47CD23BA"/>
    <w:rsid w:val="47CEE1BD"/>
    <w:rsid w:val="47DC267E"/>
    <w:rsid w:val="47E9E9DE"/>
    <w:rsid w:val="47EBDED9"/>
    <w:rsid w:val="47EE3B71"/>
    <w:rsid w:val="47F56672"/>
    <w:rsid w:val="47F7452C"/>
    <w:rsid w:val="47FA5DBA"/>
    <w:rsid w:val="48022DE4"/>
    <w:rsid w:val="4807BA2D"/>
    <w:rsid w:val="480870B6"/>
    <w:rsid w:val="480AB49D"/>
    <w:rsid w:val="480E8B7F"/>
    <w:rsid w:val="4811DC28"/>
    <w:rsid w:val="48130E77"/>
    <w:rsid w:val="481C9E7E"/>
    <w:rsid w:val="481CAC43"/>
    <w:rsid w:val="481F3247"/>
    <w:rsid w:val="48238421"/>
    <w:rsid w:val="482C517E"/>
    <w:rsid w:val="482D180F"/>
    <w:rsid w:val="48365542"/>
    <w:rsid w:val="483D0C46"/>
    <w:rsid w:val="48426DED"/>
    <w:rsid w:val="4845CE3B"/>
    <w:rsid w:val="48504C66"/>
    <w:rsid w:val="4854BC54"/>
    <w:rsid w:val="4854C01A"/>
    <w:rsid w:val="48571F9D"/>
    <w:rsid w:val="48611B7F"/>
    <w:rsid w:val="4864D7BE"/>
    <w:rsid w:val="486AF2D8"/>
    <w:rsid w:val="486B2384"/>
    <w:rsid w:val="4871C586"/>
    <w:rsid w:val="48734768"/>
    <w:rsid w:val="4875FD1B"/>
    <w:rsid w:val="4877DB5A"/>
    <w:rsid w:val="4878C05F"/>
    <w:rsid w:val="487BD9D1"/>
    <w:rsid w:val="487C5AFB"/>
    <w:rsid w:val="487FB8FA"/>
    <w:rsid w:val="48950C4A"/>
    <w:rsid w:val="4896893D"/>
    <w:rsid w:val="4898323E"/>
    <w:rsid w:val="4899E212"/>
    <w:rsid w:val="489A97D6"/>
    <w:rsid w:val="489F2489"/>
    <w:rsid w:val="48AF7DB2"/>
    <w:rsid w:val="48B450EF"/>
    <w:rsid w:val="48BB7C95"/>
    <w:rsid w:val="48BD5B56"/>
    <w:rsid w:val="48C1E3DD"/>
    <w:rsid w:val="48C2CDFB"/>
    <w:rsid w:val="48CE4958"/>
    <w:rsid w:val="48D1FC04"/>
    <w:rsid w:val="48DE88D6"/>
    <w:rsid w:val="48E1213D"/>
    <w:rsid w:val="48E174E3"/>
    <w:rsid w:val="48E911A7"/>
    <w:rsid w:val="48F1E694"/>
    <w:rsid w:val="48F22DC4"/>
    <w:rsid w:val="48F691D8"/>
    <w:rsid w:val="48FBBA5E"/>
    <w:rsid w:val="48FCDA83"/>
    <w:rsid w:val="491618CE"/>
    <w:rsid w:val="4916D10F"/>
    <w:rsid w:val="491CEAF3"/>
    <w:rsid w:val="49219F20"/>
    <w:rsid w:val="49245366"/>
    <w:rsid w:val="492BAE15"/>
    <w:rsid w:val="492BD9B3"/>
    <w:rsid w:val="4949B1D1"/>
    <w:rsid w:val="494E2B35"/>
    <w:rsid w:val="496DC594"/>
    <w:rsid w:val="4970D9CF"/>
    <w:rsid w:val="497161DB"/>
    <w:rsid w:val="497431F8"/>
    <w:rsid w:val="4978936F"/>
    <w:rsid w:val="49813BD2"/>
    <w:rsid w:val="49854078"/>
    <w:rsid w:val="498730F5"/>
    <w:rsid w:val="49880A1D"/>
    <w:rsid w:val="49890AB2"/>
    <w:rsid w:val="498C571E"/>
    <w:rsid w:val="49918A47"/>
    <w:rsid w:val="49957761"/>
    <w:rsid w:val="4995EBDB"/>
    <w:rsid w:val="49A38E8E"/>
    <w:rsid w:val="49B09FF1"/>
    <w:rsid w:val="49BD64E3"/>
    <w:rsid w:val="49C9D444"/>
    <w:rsid w:val="49CF037C"/>
    <w:rsid w:val="49D44927"/>
    <w:rsid w:val="49D6E801"/>
    <w:rsid w:val="49E2D49A"/>
    <w:rsid w:val="49E36EF6"/>
    <w:rsid w:val="49E7BD97"/>
    <w:rsid w:val="49EA8B5F"/>
    <w:rsid w:val="49EC1FCB"/>
    <w:rsid w:val="49EE9088"/>
    <w:rsid w:val="49F2CC0A"/>
    <w:rsid w:val="49FBFBE8"/>
    <w:rsid w:val="4A026F1B"/>
    <w:rsid w:val="4A0A4EC6"/>
    <w:rsid w:val="4A0A8A7A"/>
    <w:rsid w:val="4A0F5DB0"/>
    <w:rsid w:val="4A0FF1A2"/>
    <w:rsid w:val="4A20D65A"/>
    <w:rsid w:val="4A275C39"/>
    <w:rsid w:val="4A2A1F12"/>
    <w:rsid w:val="4A2A2F55"/>
    <w:rsid w:val="4A2D00BE"/>
    <w:rsid w:val="4A30086B"/>
    <w:rsid w:val="4A330CBA"/>
    <w:rsid w:val="4A419228"/>
    <w:rsid w:val="4A469E8C"/>
    <w:rsid w:val="4A4A8309"/>
    <w:rsid w:val="4A786F9B"/>
    <w:rsid w:val="4A83EA27"/>
    <w:rsid w:val="4A857B02"/>
    <w:rsid w:val="4A86CFE6"/>
    <w:rsid w:val="4A8838BF"/>
    <w:rsid w:val="4A8B42B7"/>
    <w:rsid w:val="4A8EC310"/>
    <w:rsid w:val="4A91741A"/>
    <w:rsid w:val="4A927EFB"/>
    <w:rsid w:val="4A958CE2"/>
    <w:rsid w:val="4AB0B7EA"/>
    <w:rsid w:val="4AB4C362"/>
    <w:rsid w:val="4AB5C8A3"/>
    <w:rsid w:val="4ACB9B9B"/>
    <w:rsid w:val="4ACC3590"/>
    <w:rsid w:val="4ACFFFFD"/>
    <w:rsid w:val="4AD1C4DB"/>
    <w:rsid w:val="4AD50553"/>
    <w:rsid w:val="4ADBB25B"/>
    <w:rsid w:val="4ADDEEA8"/>
    <w:rsid w:val="4ADE3D46"/>
    <w:rsid w:val="4AE0F91E"/>
    <w:rsid w:val="4AE269F9"/>
    <w:rsid w:val="4AE4D680"/>
    <w:rsid w:val="4AEAF3F2"/>
    <w:rsid w:val="4AEBEF91"/>
    <w:rsid w:val="4AF29344"/>
    <w:rsid w:val="4AFB26AD"/>
    <w:rsid w:val="4B056981"/>
    <w:rsid w:val="4B05F261"/>
    <w:rsid w:val="4B066964"/>
    <w:rsid w:val="4B07ECA2"/>
    <w:rsid w:val="4B09D235"/>
    <w:rsid w:val="4B0D2A9C"/>
    <w:rsid w:val="4B10BE6D"/>
    <w:rsid w:val="4B1296A7"/>
    <w:rsid w:val="4B20907C"/>
    <w:rsid w:val="4B26810D"/>
    <w:rsid w:val="4B28967D"/>
    <w:rsid w:val="4B2C7DD6"/>
    <w:rsid w:val="4B2DD3C9"/>
    <w:rsid w:val="4B2E3051"/>
    <w:rsid w:val="4B301D1A"/>
    <w:rsid w:val="4B4A14F3"/>
    <w:rsid w:val="4B4D22BA"/>
    <w:rsid w:val="4B531894"/>
    <w:rsid w:val="4B569E41"/>
    <w:rsid w:val="4B56ADAE"/>
    <w:rsid w:val="4B6088EE"/>
    <w:rsid w:val="4B6759A8"/>
    <w:rsid w:val="4B68986F"/>
    <w:rsid w:val="4B767F1F"/>
    <w:rsid w:val="4B788D43"/>
    <w:rsid w:val="4B788DAF"/>
    <w:rsid w:val="4B790E5A"/>
    <w:rsid w:val="4B82FB85"/>
    <w:rsid w:val="4B8386E4"/>
    <w:rsid w:val="4B84A4D1"/>
    <w:rsid w:val="4B8533CE"/>
    <w:rsid w:val="4B862629"/>
    <w:rsid w:val="4B887A44"/>
    <w:rsid w:val="4B8C167B"/>
    <w:rsid w:val="4B8E8CC5"/>
    <w:rsid w:val="4B903F11"/>
    <w:rsid w:val="4B9040C0"/>
    <w:rsid w:val="4BA3C438"/>
    <w:rsid w:val="4BA9E983"/>
    <w:rsid w:val="4BAA5A58"/>
    <w:rsid w:val="4BAD3889"/>
    <w:rsid w:val="4BADDC77"/>
    <w:rsid w:val="4BB59910"/>
    <w:rsid w:val="4BB7BA44"/>
    <w:rsid w:val="4BC561D9"/>
    <w:rsid w:val="4BC5B418"/>
    <w:rsid w:val="4BCC90ED"/>
    <w:rsid w:val="4BCCC9DD"/>
    <w:rsid w:val="4BD1A30B"/>
    <w:rsid w:val="4BD1D12E"/>
    <w:rsid w:val="4BD1FBF7"/>
    <w:rsid w:val="4BE00E74"/>
    <w:rsid w:val="4BE03EE5"/>
    <w:rsid w:val="4BE0F458"/>
    <w:rsid w:val="4BEDB88A"/>
    <w:rsid w:val="4BEF6226"/>
    <w:rsid w:val="4BF42B41"/>
    <w:rsid w:val="4BF61080"/>
    <w:rsid w:val="4BF918F3"/>
    <w:rsid w:val="4BFC4A7D"/>
    <w:rsid w:val="4BFD505E"/>
    <w:rsid w:val="4C07021B"/>
    <w:rsid w:val="4C0AC80D"/>
    <w:rsid w:val="4C106711"/>
    <w:rsid w:val="4C286F1F"/>
    <w:rsid w:val="4C3932D1"/>
    <w:rsid w:val="4C3AEFD7"/>
    <w:rsid w:val="4C3E14D6"/>
    <w:rsid w:val="4C3E21F4"/>
    <w:rsid w:val="4C3FAD41"/>
    <w:rsid w:val="4C485C91"/>
    <w:rsid w:val="4C5092E1"/>
    <w:rsid w:val="4C664EA1"/>
    <w:rsid w:val="4C670876"/>
    <w:rsid w:val="4C6C4621"/>
    <w:rsid w:val="4C6D12FC"/>
    <w:rsid w:val="4C726F8F"/>
    <w:rsid w:val="4C7D3560"/>
    <w:rsid w:val="4C82D4D5"/>
    <w:rsid w:val="4C89AB68"/>
    <w:rsid w:val="4C8B7D0D"/>
    <w:rsid w:val="4C8C1EA9"/>
    <w:rsid w:val="4C8D2159"/>
    <w:rsid w:val="4C98A96C"/>
    <w:rsid w:val="4C98EF57"/>
    <w:rsid w:val="4C9D5DDC"/>
    <w:rsid w:val="4C9D6714"/>
    <w:rsid w:val="4CA03B75"/>
    <w:rsid w:val="4CA2746F"/>
    <w:rsid w:val="4CA3E8C2"/>
    <w:rsid w:val="4CA4B4DB"/>
    <w:rsid w:val="4CA51A60"/>
    <w:rsid w:val="4CA703A4"/>
    <w:rsid w:val="4CAEAD6C"/>
    <w:rsid w:val="4CAF6FFA"/>
    <w:rsid w:val="4CB13DE6"/>
    <w:rsid w:val="4CB879B3"/>
    <w:rsid w:val="4CB99ECE"/>
    <w:rsid w:val="4CC17F5B"/>
    <w:rsid w:val="4CC3E1AB"/>
    <w:rsid w:val="4CC4009A"/>
    <w:rsid w:val="4CC92EDF"/>
    <w:rsid w:val="4CCE3579"/>
    <w:rsid w:val="4CD92536"/>
    <w:rsid w:val="4CDA8877"/>
    <w:rsid w:val="4CE19EED"/>
    <w:rsid w:val="4CE3B142"/>
    <w:rsid w:val="4CEBD0F2"/>
    <w:rsid w:val="4CEC1BC0"/>
    <w:rsid w:val="4CEEEB9C"/>
    <w:rsid w:val="4CF255B4"/>
    <w:rsid w:val="4CF8CBDA"/>
    <w:rsid w:val="4CF9AE7D"/>
    <w:rsid w:val="4CFC353F"/>
    <w:rsid w:val="4D003C9C"/>
    <w:rsid w:val="4D03EE47"/>
    <w:rsid w:val="4D0BA89D"/>
    <w:rsid w:val="4D17D548"/>
    <w:rsid w:val="4D2367A0"/>
    <w:rsid w:val="4D26B79C"/>
    <w:rsid w:val="4D2C5E88"/>
    <w:rsid w:val="4D31C084"/>
    <w:rsid w:val="4D3A91E7"/>
    <w:rsid w:val="4D3B5330"/>
    <w:rsid w:val="4D55897C"/>
    <w:rsid w:val="4D5960B2"/>
    <w:rsid w:val="4D5E3EB2"/>
    <w:rsid w:val="4D632000"/>
    <w:rsid w:val="4D66D5B1"/>
    <w:rsid w:val="4D67563C"/>
    <w:rsid w:val="4D6EA814"/>
    <w:rsid w:val="4D73C937"/>
    <w:rsid w:val="4D755127"/>
    <w:rsid w:val="4D7A92DD"/>
    <w:rsid w:val="4D81BDF5"/>
    <w:rsid w:val="4D83AB05"/>
    <w:rsid w:val="4D852601"/>
    <w:rsid w:val="4D9D17D7"/>
    <w:rsid w:val="4D9F62F9"/>
    <w:rsid w:val="4DA0CA8A"/>
    <w:rsid w:val="4DA3EF20"/>
    <w:rsid w:val="4DA44012"/>
    <w:rsid w:val="4DA7CFCD"/>
    <w:rsid w:val="4DB40E5C"/>
    <w:rsid w:val="4DC37CF3"/>
    <w:rsid w:val="4DC7094D"/>
    <w:rsid w:val="4DC90213"/>
    <w:rsid w:val="4DD0DF4D"/>
    <w:rsid w:val="4DD21EE0"/>
    <w:rsid w:val="4DD6FC4B"/>
    <w:rsid w:val="4DDF6C4F"/>
    <w:rsid w:val="4DEA32F5"/>
    <w:rsid w:val="4DF237FD"/>
    <w:rsid w:val="4DFB4004"/>
    <w:rsid w:val="4DFD99C0"/>
    <w:rsid w:val="4E15480B"/>
    <w:rsid w:val="4E18875C"/>
    <w:rsid w:val="4E1B4240"/>
    <w:rsid w:val="4E330B58"/>
    <w:rsid w:val="4E364725"/>
    <w:rsid w:val="4E44DE09"/>
    <w:rsid w:val="4E474201"/>
    <w:rsid w:val="4E4EA7FD"/>
    <w:rsid w:val="4E53D2CD"/>
    <w:rsid w:val="4E620210"/>
    <w:rsid w:val="4E629FEB"/>
    <w:rsid w:val="4E68ACA0"/>
    <w:rsid w:val="4E692860"/>
    <w:rsid w:val="4E69A4EE"/>
    <w:rsid w:val="4E6A0CA8"/>
    <w:rsid w:val="4E6A4DBC"/>
    <w:rsid w:val="4E70E465"/>
    <w:rsid w:val="4E841870"/>
    <w:rsid w:val="4E88A0F4"/>
    <w:rsid w:val="4E8C2DA8"/>
    <w:rsid w:val="4E9C4870"/>
    <w:rsid w:val="4E9C8836"/>
    <w:rsid w:val="4EAA0360"/>
    <w:rsid w:val="4EB15A82"/>
    <w:rsid w:val="4EB17777"/>
    <w:rsid w:val="4EB672EF"/>
    <w:rsid w:val="4EBAC895"/>
    <w:rsid w:val="4EBCE9D3"/>
    <w:rsid w:val="4EBF0258"/>
    <w:rsid w:val="4EC5201C"/>
    <w:rsid w:val="4ECD6E7D"/>
    <w:rsid w:val="4ECF7568"/>
    <w:rsid w:val="4ECF8118"/>
    <w:rsid w:val="4ECFDB72"/>
    <w:rsid w:val="4ED9B6E6"/>
    <w:rsid w:val="4EDAFFF6"/>
    <w:rsid w:val="4EE7AB7F"/>
    <w:rsid w:val="4EE82C68"/>
    <w:rsid w:val="4EF34A51"/>
    <w:rsid w:val="4EF9B5AB"/>
    <w:rsid w:val="4EFAE408"/>
    <w:rsid w:val="4F0273AD"/>
    <w:rsid w:val="4F04DC98"/>
    <w:rsid w:val="4F09C8B3"/>
    <w:rsid w:val="4F17AC6D"/>
    <w:rsid w:val="4F1BE2C5"/>
    <w:rsid w:val="4F21D5C3"/>
    <w:rsid w:val="4F29D8DA"/>
    <w:rsid w:val="4F3B928B"/>
    <w:rsid w:val="4F3BC8CB"/>
    <w:rsid w:val="4F3EC29B"/>
    <w:rsid w:val="4F406A5F"/>
    <w:rsid w:val="4F4D69E7"/>
    <w:rsid w:val="4F5199C0"/>
    <w:rsid w:val="4F5A528A"/>
    <w:rsid w:val="4F655ADB"/>
    <w:rsid w:val="4F665A86"/>
    <w:rsid w:val="4F665EC0"/>
    <w:rsid w:val="4F66E384"/>
    <w:rsid w:val="4F6C6E2A"/>
    <w:rsid w:val="4F6F68E2"/>
    <w:rsid w:val="4F7208F2"/>
    <w:rsid w:val="4F8268E5"/>
    <w:rsid w:val="4F857651"/>
    <w:rsid w:val="4F902B3D"/>
    <w:rsid w:val="4F93CCE6"/>
    <w:rsid w:val="4F9A801B"/>
    <w:rsid w:val="4F9D8491"/>
    <w:rsid w:val="4F9F9FD2"/>
    <w:rsid w:val="4FA323D9"/>
    <w:rsid w:val="4FB0C29A"/>
    <w:rsid w:val="4FB1ED48"/>
    <w:rsid w:val="4FBD63BE"/>
    <w:rsid w:val="4FBE74A0"/>
    <w:rsid w:val="4FBE846A"/>
    <w:rsid w:val="4FBF8DC7"/>
    <w:rsid w:val="4FC5FDD5"/>
    <w:rsid w:val="4FCDCF3F"/>
    <w:rsid w:val="4FD0911F"/>
    <w:rsid w:val="4FDE60E7"/>
    <w:rsid w:val="4FE71221"/>
    <w:rsid w:val="4FE73176"/>
    <w:rsid w:val="4FE755FE"/>
    <w:rsid w:val="4FEA7382"/>
    <w:rsid w:val="4FF16AA8"/>
    <w:rsid w:val="4FF4161E"/>
    <w:rsid w:val="5000E776"/>
    <w:rsid w:val="50050DAB"/>
    <w:rsid w:val="500DC377"/>
    <w:rsid w:val="50124622"/>
    <w:rsid w:val="5012CCD0"/>
    <w:rsid w:val="5019A4AA"/>
    <w:rsid w:val="50285DB3"/>
    <w:rsid w:val="502BE920"/>
    <w:rsid w:val="502E01BB"/>
    <w:rsid w:val="50313764"/>
    <w:rsid w:val="5039942B"/>
    <w:rsid w:val="503BDB45"/>
    <w:rsid w:val="50426165"/>
    <w:rsid w:val="504567CE"/>
    <w:rsid w:val="5052E225"/>
    <w:rsid w:val="505598CC"/>
    <w:rsid w:val="505B0BF5"/>
    <w:rsid w:val="505DCE03"/>
    <w:rsid w:val="505EBDC6"/>
    <w:rsid w:val="50631977"/>
    <w:rsid w:val="5067EB1B"/>
    <w:rsid w:val="506A8058"/>
    <w:rsid w:val="506E6446"/>
    <w:rsid w:val="506F13AC"/>
    <w:rsid w:val="5073FB97"/>
    <w:rsid w:val="50799317"/>
    <w:rsid w:val="507E4146"/>
    <w:rsid w:val="50810A02"/>
    <w:rsid w:val="5082CCA1"/>
    <w:rsid w:val="5085D4B2"/>
    <w:rsid w:val="50925556"/>
    <w:rsid w:val="50945A52"/>
    <w:rsid w:val="5097A53C"/>
    <w:rsid w:val="509D7935"/>
    <w:rsid w:val="509F0A0C"/>
    <w:rsid w:val="50A11808"/>
    <w:rsid w:val="50A11A1F"/>
    <w:rsid w:val="50B02EC6"/>
    <w:rsid w:val="50B49991"/>
    <w:rsid w:val="50B79D6D"/>
    <w:rsid w:val="50BFFD73"/>
    <w:rsid w:val="50E88DC8"/>
    <w:rsid w:val="50F7DA61"/>
    <w:rsid w:val="50FE1B0D"/>
    <w:rsid w:val="510004B2"/>
    <w:rsid w:val="510958C8"/>
    <w:rsid w:val="510B5F7E"/>
    <w:rsid w:val="510D7656"/>
    <w:rsid w:val="510DBC9D"/>
    <w:rsid w:val="51199C43"/>
    <w:rsid w:val="5119E856"/>
    <w:rsid w:val="51249D94"/>
    <w:rsid w:val="5126DD0A"/>
    <w:rsid w:val="5127D59C"/>
    <w:rsid w:val="5129F53F"/>
    <w:rsid w:val="512CC8EC"/>
    <w:rsid w:val="512E0C26"/>
    <w:rsid w:val="51314454"/>
    <w:rsid w:val="51341370"/>
    <w:rsid w:val="51474486"/>
    <w:rsid w:val="515029CA"/>
    <w:rsid w:val="5154855C"/>
    <w:rsid w:val="517224B2"/>
    <w:rsid w:val="51730297"/>
    <w:rsid w:val="5175A876"/>
    <w:rsid w:val="518339FE"/>
    <w:rsid w:val="5186E343"/>
    <w:rsid w:val="51921704"/>
    <w:rsid w:val="519B870B"/>
    <w:rsid w:val="519DBBCB"/>
    <w:rsid w:val="51A166B8"/>
    <w:rsid w:val="51A56CF1"/>
    <w:rsid w:val="51A62CFC"/>
    <w:rsid w:val="51AAC72D"/>
    <w:rsid w:val="51AB5999"/>
    <w:rsid w:val="51AC0B07"/>
    <w:rsid w:val="51B1159A"/>
    <w:rsid w:val="51C8246B"/>
    <w:rsid w:val="51CE46A8"/>
    <w:rsid w:val="51D19D48"/>
    <w:rsid w:val="51D6AE9B"/>
    <w:rsid w:val="51DB22FC"/>
    <w:rsid w:val="51ECC4E5"/>
    <w:rsid w:val="51FFE49B"/>
    <w:rsid w:val="5200ACF0"/>
    <w:rsid w:val="520B4DAD"/>
    <w:rsid w:val="520C0141"/>
    <w:rsid w:val="520F8855"/>
    <w:rsid w:val="5213E603"/>
    <w:rsid w:val="521A724F"/>
    <w:rsid w:val="521BF05D"/>
    <w:rsid w:val="5224229E"/>
    <w:rsid w:val="52258F62"/>
    <w:rsid w:val="52274FB1"/>
    <w:rsid w:val="5234C3F5"/>
    <w:rsid w:val="523AF834"/>
    <w:rsid w:val="524BAFB7"/>
    <w:rsid w:val="524F4551"/>
    <w:rsid w:val="524FC3F9"/>
    <w:rsid w:val="52512203"/>
    <w:rsid w:val="525E5291"/>
    <w:rsid w:val="525FCA48"/>
    <w:rsid w:val="52603ADD"/>
    <w:rsid w:val="5260A7C9"/>
    <w:rsid w:val="52658024"/>
    <w:rsid w:val="526BD19F"/>
    <w:rsid w:val="526FFDB7"/>
    <w:rsid w:val="5274ABA7"/>
    <w:rsid w:val="52752A04"/>
    <w:rsid w:val="5277F767"/>
    <w:rsid w:val="527E246C"/>
    <w:rsid w:val="527FFD63"/>
    <w:rsid w:val="52851AF3"/>
    <w:rsid w:val="528D2672"/>
    <w:rsid w:val="529139A7"/>
    <w:rsid w:val="52951D30"/>
    <w:rsid w:val="529DDD1D"/>
    <w:rsid w:val="529E975B"/>
    <w:rsid w:val="52A436BB"/>
    <w:rsid w:val="52A84FE1"/>
    <w:rsid w:val="52A96B60"/>
    <w:rsid w:val="52AA2ECE"/>
    <w:rsid w:val="52BD03D6"/>
    <w:rsid w:val="52BD2272"/>
    <w:rsid w:val="52C6B8DC"/>
    <w:rsid w:val="52CEBB61"/>
    <w:rsid w:val="52CFFC00"/>
    <w:rsid w:val="52D83950"/>
    <w:rsid w:val="52D881F3"/>
    <w:rsid w:val="52E4B8FE"/>
    <w:rsid w:val="52E54BA3"/>
    <w:rsid w:val="52E799CF"/>
    <w:rsid w:val="52E7D830"/>
    <w:rsid w:val="52EB0F87"/>
    <w:rsid w:val="52F99D25"/>
    <w:rsid w:val="52FB585C"/>
    <w:rsid w:val="52FFD53A"/>
    <w:rsid w:val="53096D3B"/>
    <w:rsid w:val="53098CDE"/>
    <w:rsid w:val="5309D2DC"/>
    <w:rsid w:val="53104573"/>
    <w:rsid w:val="531BAD68"/>
    <w:rsid w:val="531FA335"/>
    <w:rsid w:val="5324571E"/>
    <w:rsid w:val="53262D2F"/>
    <w:rsid w:val="532D53F2"/>
    <w:rsid w:val="532F76AD"/>
    <w:rsid w:val="533046F3"/>
    <w:rsid w:val="53328A0C"/>
    <w:rsid w:val="5336F232"/>
    <w:rsid w:val="533C5804"/>
    <w:rsid w:val="534374D9"/>
    <w:rsid w:val="534B3F35"/>
    <w:rsid w:val="535AB657"/>
    <w:rsid w:val="535F2FDC"/>
    <w:rsid w:val="5360C5C7"/>
    <w:rsid w:val="5365C5DB"/>
    <w:rsid w:val="536FFC66"/>
    <w:rsid w:val="5374F538"/>
    <w:rsid w:val="5376B887"/>
    <w:rsid w:val="537B76BB"/>
    <w:rsid w:val="53833D09"/>
    <w:rsid w:val="5391C9CE"/>
    <w:rsid w:val="5395488A"/>
    <w:rsid w:val="539C814A"/>
    <w:rsid w:val="539E68AC"/>
    <w:rsid w:val="53A0866C"/>
    <w:rsid w:val="53A3BB97"/>
    <w:rsid w:val="53AE09E7"/>
    <w:rsid w:val="53BC81D2"/>
    <w:rsid w:val="53C25F80"/>
    <w:rsid w:val="53C54FBA"/>
    <w:rsid w:val="53C7CB01"/>
    <w:rsid w:val="53E1101D"/>
    <w:rsid w:val="53E434E1"/>
    <w:rsid w:val="53ED811C"/>
    <w:rsid w:val="53EE216A"/>
    <w:rsid w:val="54050993"/>
    <w:rsid w:val="540E3044"/>
    <w:rsid w:val="5410796F"/>
    <w:rsid w:val="5410B793"/>
    <w:rsid w:val="5410EC84"/>
    <w:rsid w:val="541BF16B"/>
    <w:rsid w:val="54266229"/>
    <w:rsid w:val="5428E12D"/>
    <w:rsid w:val="542DE9D4"/>
    <w:rsid w:val="542FB831"/>
    <w:rsid w:val="5436CF57"/>
    <w:rsid w:val="543775D3"/>
    <w:rsid w:val="54377FE6"/>
    <w:rsid w:val="5437A7CB"/>
    <w:rsid w:val="5438613A"/>
    <w:rsid w:val="544911CD"/>
    <w:rsid w:val="544F07C6"/>
    <w:rsid w:val="54511EC6"/>
    <w:rsid w:val="54540668"/>
    <w:rsid w:val="5456E0E7"/>
    <w:rsid w:val="5466053C"/>
    <w:rsid w:val="54777237"/>
    <w:rsid w:val="547EE1D9"/>
    <w:rsid w:val="548154CD"/>
    <w:rsid w:val="5482235D"/>
    <w:rsid w:val="548981EA"/>
    <w:rsid w:val="5489B6E3"/>
    <w:rsid w:val="5493460A"/>
    <w:rsid w:val="54979E61"/>
    <w:rsid w:val="54982A39"/>
    <w:rsid w:val="5498A7CC"/>
    <w:rsid w:val="54A3160C"/>
    <w:rsid w:val="54A42A41"/>
    <w:rsid w:val="54A548EC"/>
    <w:rsid w:val="54B1B44E"/>
    <w:rsid w:val="54C12E9C"/>
    <w:rsid w:val="54C75530"/>
    <w:rsid w:val="54CCD6D4"/>
    <w:rsid w:val="54CFEFDC"/>
    <w:rsid w:val="54D472C0"/>
    <w:rsid w:val="54D64B60"/>
    <w:rsid w:val="54DC2DB2"/>
    <w:rsid w:val="54E09249"/>
    <w:rsid w:val="54E16FAD"/>
    <w:rsid w:val="54EBA5B8"/>
    <w:rsid w:val="54ECDA7D"/>
    <w:rsid w:val="54FF59E7"/>
    <w:rsid w:val="5502906C"/>
    <w:rsid w:val="550386D2"/>
    <w:rsid w:val="55063DE9"/>
    <w:rsid w:val="550C1F7F"/>
    <w:rsid w:val="550CD811"/>
    <w:rsid w:val="550D455B"/>
    <w:rsid w:val="55214126"/>
    <w:rsid w:val="5529FB2D"/>
    <w:rsid w:val="552B20D0"/>
    <w:rsid w:val="552E919F"/>
    <w:rsid w:val="55306F3E"/>
    <w:rsid w:val="5531C8A8"/>
    <w:rsid w:val="55356093"/>
    <w:rsid w:val="5541E7C2"/>
    <w:rsid w:val="554BDD3D"/>
    <w:rsid w:val="554E71CA"/>
    <w:rsid w:val="555F2948"/>
    <w:rsid w:val="55653E5E"/>
    <w:rsid w:val="556FF22F"/>
    <w:rsid w:val="557856D9"/>
    <w:rsid w:val="557CD039"/>
    <w:rsid w:val="557E1D1A"/>
    <w:rsid w:val="55817118"/>
    <w:rsid w:val="558189FB"/>
    <w:rsid w:val="5582D9BE"/>
    <w:rsid w:val="55A6FD3C"/>
    <w:rsid w:val="55A7B784"/>
    <w:rsid w:val="55B03566"/>
    <w:rsid w:val="55B6E764"/>
    <w:rsid w:val="55BDF532"/>
    <w:rsid w:val="55C3E8B5"/>
    <w:rsid w:val="55CA0CB5"/>
    <w:rsid w:val="55CF7086"/>
    <w:rsid w:val="55D230EB"/>
    <w:rsid w:val="55D5F1FD"/>
    <w:rsid w:val="55D6E377"/>
    <w:rsid w:val="55E3896B"/>
    <w:rsid w:val="55ED033C"/>
    <w:rsid w:val="55F5BB3B"/>
    <w:rsid w:val="55FB32B4"/>
    <w:rsid w:val="55FD13E8"/>
    <w:rsid w:val="55FD8488"/>
    <w:rsid w:val="55FEA4B6"/>
    <w:rsid w:val="5600B152"/>
    <w:rsid w:val="5609A52A"/>
    <w:rsid w:val="560D2848"/>
    <w:rsid w:val="561565DE"/>
    <w:rsid w:val="562367D9"/>
    <w:rsid w:val="563636BD"/>
    <w:rsid w:val="564649DC"/>
    <w:rsid w:val="565237AC"/>
    <w:rsid w:val="5655098D"/>
    <w:rsid w:val="56656FFD"/>
    <w:rsid w:val="566804DC"/>
    <w:rsid w:val="566B94A1"/>
    <w:rsid w:val="566CB53A"/>
    <w:rsid w:val="566D68A9"/>
    <w:rsid w:val="567CFADE"/>
    <w:rsid w:val="5682F4BB"/>
    <w:rsid w:val="5683B268"/>
    <w:rsid w:val="56851C29"/>
    <w:rsid w:val="5689EE47"/>
    <w:rsid w:val="5693961F"/>
    <w:rsid w:val="56A50451"/>
    <w:rsid w:val="56A5CFCF"/>
    <w:rsid w:val="56AAAD43"/>
    <w:rsid w:val="56ACB9DD"/>
    <w:rsid w:val="56AFD7C3"/>
    <w:rsid w:val="56B768A7"/>
    <w:rsid w:val="56B869EE"/>
    <w:rsid w:val="56C0728E"/>
    <w:rsid w:val="56D01777"/>
    <w:rsid w:val="56D264FD"/>
    <w:rsid w:val="56D91EEC"/>
    <w:rsid w:val="56DC65DE"/>
    <w:rsid w:val="56E1311D"/>
    <w:rsid w:val="56E7E84E"/>
    <w:rsid w:val="56EC8148"/>
    <w:rsid w:val="56FACBE0"/>
    <w:rsid w:val="56FBB92C"/>
    <w:rsid w:val="5700D7D3"/>
    <w:rsid w:val="5701DE6F"/>
    <w:rsid w:val="5704F485"/>
    <w:rsid w:val="57115126"/>
    <w:rsid w:val="57115A23"/>
    <w:rsid w:val="5711D0A0"/>
    <w:rsid w:val="57173C51"/>
    <w:rsid w:val="571D0DCA"/>
    <w:rsid w:val="571F94A5"/>
    <w:rsid w:val="572E5189"/>
    <w:rsid w:val="5734B398"/>
    <w:rsid w:val="5734D535"/>
    <w:rsid w:val="5734FA58"/>
    <w:rsid w:val="573D91D8"/>
    <w:rsid w:val="573E7030"/>
    <w:rsid w:val="573E8C11"/>
    <w:rsid w:val="57589B06"/>
    <w:rsid w:val="57597238"/>
    <w:rsid w:val="575BDCC2"/>
    <w:rsid w:val="576EF83F"/>
    <w:rsid w:val="5784ADF7"/>
    <w:rsid w:val="57951509"/>
    <w:rsid w:val="579C3998"/>
    <w:rsid w:val="57A157C2"/>
    <w:rsid w:val="57AB4088"/>
    <w:rsid w:val="57B5FD49"/>
    <w:rsid w:val="57B96608"/>
    <w:rsid w:val="57D0BDEE"/>
    <w:rsid w:val="57DD8ED7"/>
    <w:rsid w:val="57E509AA"/>
    <w:rsid w:val="57EEF8C4"/>
    <w:rsid w:val="57F07776"/>
    <w:rsid w:val="5801C652"/>
    <w:rsid w:val="580E0A5D"/>
    <w:rsid w:val="58116657"/>
    <w:rsid w:val="58123029"/>
    <w:rsid w:val="5819CE9E"/>
    <w:rsid w:val="581AED3D"/>
    <w:rsid w:val="58206AC4"/>
    <w:rsid w:val="58241644"/>
    <w:rsid w:val="582D9A9B"/>
    <w:rsid w:val="582DE48D"/>
    <w:rsid w:val="582EFF34"/>
    <w:rsid w:val="5831273A"/>
    <w:rsid w:val="583381CB"/>
    <w:rsid w:val="5835A871"/>
    <w:rsid w:val="583696BB"/>
    <w:rsid w:val="5837D558"/>
    <w:rsid w:val="5838D093"/>
    <w:rsid w:val="583D148E"/>
    <w:rsid w:val="583EEDB3"/>
    <w:rsid w:val="58425CED"/>
    <w:rsid w:val="58430BA4"/>
    <w:rsid w:val="584BD857"/>
    <w:rsid w:val="584F4F54"/>
    <w:rsid w:val="584FB2AA"/>
    <w:rsid w:val="58584B00"/>
    <w:rsid w:val="586198C9"/>
    <w:rsid w:val="5861E012"/>
    <w:rsid w:val="586AA175"/>
    <w:rsid w:val="586DA851"/>
    <w:rsid w:val="587202E9"/>
    <w:rsid w:val="58742EC6"/>
    <w:rsid w:val="58778428"/>
    <w:rsid w:val="587F7EB3"/>
    <w:rsid w:val="5885DAAE"/>
    <w:rsid w:val="589847F2"/>
    <w:rsid w:val="589BCA3C"/>
    <w:rsid w:val="589E4937"/>
    <w:rsid w:val="589E5D3D"/>
    <w:rsid w:val="58A03B81"/>
    <w:rsid w:val="58ABA07F"/>
    <w:rsid w:val="58B11A3F"/>
    <w:rsid w:val="58B48749"/>
    <w:rsid w:val="58BA5C0A"/>
    <w:rsid w:val="58BCECBB"/>
    <w:rsid w:val="58BF0F10"/>
    <w:rsid w:val="58C31C2E"/>
    <w:rsid w:val="58C31EBD"/>
    <w:rsid w:val="58C541A0"/>
    <w:rsid w:val="58C6077D"/>
    <w:rsid w:val="58C6B815"/>
    <w:rsid w:val="58D603D9"/>
    <w:rsid w:val="58DB4D39"/>
    <w:rsid w:val="58DC6F9A"/>
    <w:rsid w:val="58E3350A"/>
    <w:rsid w:val="58E8E23C"/>
    <w:rsid w:val="58EB8C3B"/>
    <w:rsid w:val="58EE6EE2"/>
    <w:rsid w:val="58F516C5"/>
    <w:rsid w:val="58F7F714"/>
    <w:rsid w:val="58F95BA0"/>
    <w:rsid w:val="590241FA"/>
    <w:rsid w:val="591A21F1"/>
    <w:rsid w:val="591E0933"/>
    <w:rsid w:val="59354599"/>
    <w:rsid w:val="593CD3D1"/>
    <w:rsid w:val="59421BFB"/>
    <w:rsid w:val="594D1D79"/>
    <w:rsid w:val="594DB971"/>
    <w:rsid w:val="594E52EE"/>
    <w:rsid w:val="595270C2"/>
    <w:rsid w:val="595ADA52"/>
    <w:rsid w:val="5964517B"/>
    <w:rsid w:val="597A5C9F"/>
    <w:rsid w:val="597D920D"/>
    <w:rsid w:val="597FB4FC"/>
    <w:rsid w:val="59803FAC"/>
    <w:rsid w:val="598C0CD8"/>
    <w:rsid w:val="598C8CA6"/>
    <w:rsid w:val="599425F3"/>
    <w:rsid w:val="5995BE2E"/>
    <w:rsid w:val="59A3FDF0"/>
    <w:rsid w:val="59AED3B1"/>
    <w:rsid w:val="59B3BF01"/>
    <w:rsid w:val="59BCD237"/>
    <w:rsid w:val="59BE7D2A"/>
    <w:rsid w:val="59C16599"/>
    <w:rsid w:val="59C8A069"/>
    <w:rsid w:val="59D61E6A"/>
    <w:rsid w:val="59D67E0F"/>
    <w:rsid w:val="59D70E31"/>
    <w:rsid w:val="59DECCF1"/>
    <w:rsid w:val="59E1A66C"/>
    <w:rsid w:val="59E621F1"/>
    <w:rsid w:val="59F32DF5"/>
    <w:rsid w:val="59F42380"/>
    <w:rsid w:val="59F7F763"/>
    <w:rsid w:val="59FF81CA"/>
    <w:rsid w:val="59FF85A3"/>
    <w:rsid w:val="5A00BB40"/>
    <w:rsid w:val="5A01F7BD"/>
    <w:rsid w:val="5A05DF4F"/>
    <w:rsid w:val="5A10A1D3"/>
    <w:rsid w:val="5A146A37"/>
    <w:rsid w:val="5A1FD6F2"/>
    <w:rsid w:val="5A235FD7"/>
    <w:rsid w:val="5A2391E6"/>
    <w:rsid w:val="5A23ECD9"/>
    <w:rsid w:val="5A255FE3"/>
    <w:rsid w:val="5A261154"/>
    <w:rsid w:val="5A2A2F10"/>
    <w:rsid w:val="5A2A3221"/>
    <w:rsid w:val="5A35356B"/>
    <w:rsid w:val="5A37B93D"/>
    <w:rsid w:val="5A3AE0AA"/>
    <w:rsid w:val="5A4701E2"/>
    <w:rsid w:val="5A4EFD43"/>
    <w:rsid w:val="5A54D34D"/>
    <w:rsid w:val="5A54E028"/>
    <w:rsid w:val="5A603163"/>
    <w:rsid w:val="5A6204F0"/>
    <w:rsid w:val="5A66718E"/>
    <w:rsid w:val="5A6CDBA2"/>
    <w:rsid w:val="5A72B3B2"/>
    <w:rsid w:val="5A785997"/>
    <w:rsid w:val="5A795E9F"/>
    <w:rsid w:val="5A7BFFDA"/>
    <w:rsid w:val="5A7CEA4D"/>
    <w:rsid w:val="5A80B3F5"/>
    <w:rsid w:val="5A81EB31"/>
    <w:rsid w:val="5A82ACB6"/>
    <w:rsid w:val="5A832CCE"/>
    <w:rsid w:val="5A86AA6F"/>
    <w:rsid w:val="5A86BA78"/>
    <w:rsid w:val="5A902AC0"/>
    <w:rsid w:val="5A905F24"/>
    <w:rsid w:val="5A926493"/>
    <w:rsid w:val="5A935F82"/>
    <w:rsid w:val="5A9719B0"/>
    <w:rsid w:val="5A97A9D5"/>
    <w:rsid w:val="5A9D14FD"/>
    <w:rsid w:val="5AA08C0A"/>
    <w:rsid w:val="5AA18802"/>
    <w:rsid w:val="5AA37AB8"/>
    <w:rsid w:val="5AA82841"/>
    <w:rsid w:val="5AAC66E7"/>
    <w:rsid w:val="5AC3659C"/>
    <w:rsid w:val="5AC49C36"/>
    <w:rsid w:val="5AD2F1AF"/>
    <w:rsid w:val="5AD6FC24"/>
    <w:rsid w:val="5ADA512E"/>
    <w:rsid w:val="5AE10072"/>
    <w:rsid w:val="5AEE1184"/>
    <w:rsid w:val="5AEF64D5"/>
    <w:rsid w:val="5AEF847C"/>
    <w:rsid w:val="5AFAAFF8"/>
    <w:rsid w:val="5B072D96"/>
    <w:rsid w:val="5B07EF9B"/>
    <w:rsid w:val="5B19D8BA"/>
    <w:rsid w:val="5B1D5A50"/>
    <w:rsid w:val="5B1F83F0"/>
    <w:rsid w:val="5B225E40"/>
    <w:rsid w:val="5B23683F"/>
    <w:rsid w:val="5B26CC30"/>
    <w:rsid w:val="5B29846D"/>
    <w:rsid w:val="5B2AC40B"/>
    <w:rsid w:val="5B2B95E4"/>
    <w:rsid w:val="5B2CAD1A"/>
    <w:rsid w:val="5B2E64CF"/>
    <w:rsid w:val="5B310500"/>
    <w:rsid w:val="5B385C53"/>
    <w:rsid w:val="5B3A70ED"/>
    <w:rsid w:val="5B3DF52C"/>
    <w:rsid w:val="5B3E3474"/>
    <w:rsid w:val="5B3F5F33"/>
    <w:rsid w:val="5B42FA9B"/>
    <w:rsid w:val="5B463A2A"/>
    <w:rsid w:val="5B4D1393"/>
    <w:rsid w:val="5B523286"/>
    <w:rsid w:val="5B530D4E"/>
    <w:rsid w:val="5B604498"/>
    <w:rsid w:val="5B67ACCB"/>
    <w:rsid w:val="5B6E797F"/>
    <w:rsid w:val="5B7AC510"/>
    <w:rsid w:val="5B7CA13E"/>
    <w:rsid w:val="5B7DDF3A"/>
    <w:rsid w:val="5B9095AD"/>
    <w:rsid w:val="5B96BB01"/>
    <w:rsid w:val="5B9FB2F1"/>
    <w:rsid w:val="5BA17A2C"/>
    <w:rsid w:val="5BA77394"/>
    <w:rsid w:val="5BB0C6A8"/>
    <w:rsid w:val="5BB11778"/>
    <w:rsid w:val="5BC1AE75"/>
    <w:rsid w:val="5BCB8269"/>
    <w:rsid w:val="5BCE17CD"/>
    <w:rsid w:val="5BD53ADD"/>
    <w:rsid w:val="5BD5DF7B"/>
    <w:rsid w:val="5BE097E0"/>
    <w:rsid w:val="5BE6110B"/>
    <w:rsid w:val="5BE85F19"/>
    <w:rsid w:val="5BEE31F0"/>
    <w:rsid w:val="5BEFE403"/>
    <w:rsid w:val="5BF24A15"/>
    <w:rsid w:val="5BFF21CA"/>
    <w:rsid w:val="5C04DD93"/>
    <w:rsid w:val="5C061D98"/>
    <w:rsid w:val="5C09F9DF"/>
    <w:rsid w:val="5C0C48DD"/>
    <w:rsid w:val="5C0FAA53"/>
    <w:rsid w:val="5C1AB0CD"/>
    <w:rsid w:val="5C1BB2BF"/>
    <w:rsid w:val="5C224FDC"/>
    <w:rsid w:val="5C289FEC"/>
    <w:rsid w:val="5C3589F7"/>
    <w:rsid w:val="5C3BEEE1"/>
    <w:rsid w:val="5C411D1D"/>
    <w:rsid w:val="5C439AEE"/>
    <w:rsid w:val="5C44246C"/>
    <w:rsid w:val="5C520C9F"/>
    <w:rsid w:val="5C5A424A"/>
    <w:rsid w:val="5C5B481A"/>
    <w:rsid w:val="5C5E7AE6"/>
    <w:rsid w:val="5C64003E"/>
    <w:rsid w:val="5C660398"/>
    <w:rsid w:val="5C6BA8D3"/>
    <w:rsid w:val="5C70B208"/>
    <w:rsid w:val="5C71054F"/>
    <w:rsid w:val="5C712AB8"/>
    <w:rsid w:val="5C75DBAF"/>
    <w:rsid w:val="5C798CB9"/>
    <w:rsid w:val="5C7CD7CD"/>
    <w:rsid w:val="5C81D701"/>
    <w:rsid w:val="5C882B8B"/>
    <w:rsid w:val="5C88FE5B"/>
    <w:rsid w:val="5C8B21BC"/>
    <w:rsid w:val="5C8E15E3"/>
    <w:rsid w:val="5C91A0F5"/>
    <w:rsid w:val="5C92626C"/>
    <w:rsid w:val="5C92AE37"/>
    <w:rsid w:val="5C9F7E39"/>
    <w:rsid w:val="5CA348FC"/>
    <w:rsid w:val="5CA389D4"/>
    <w:rsid w:val="5CA7A460"/>
    <w:rsid w:val="5CACA9EA"/>
    <w:rsid w:val="5CC06ADF"/>
    <w:rsid w:val="5CD32BEB"/>
    <w:rsid w:val="5CD70D78"/>
    <w:rsid w:val="5CDCFF7D"/>
    <w:rsid w:val="5CE2E0AD"/>
    <w:rsid w:val="5CE4AA6E"/>
    <w:rsid w:val="5CE4D44A"/>
    <w:rsid w:val="5CE892BF"/>
    <w:rsid w:val="5CF8A04A"/>
    <w:rsid w:val="5D013B61"/>
    <w:rsid w:val="5D05B863"/>
    <w:rsid w:val="5D0AAE6A"/>
    <w:rsid w:val="5D144835"/>
    <w:rsid w:val="5D1448B2"/>
    <w:rsid w:val="5D14F161"/>
    <w:rsid w:val="5D16724D"/>
    <w:rsid w:val="5D1B63AA"/>
    <w:rsid w:val="5D2630E7"/>
    <w:rsid w:val="5D28D6C1"/>
    <w:rsid w:val="5D2C56B1"/>
    <w:rsid w:val="5D31AD1A"/>
    <w:rsid w:val="5D32CD43"/>
    <w:rsid w:val="5D382469"/>
    <w:rsid w:val="5D3E1125"/>
    <w:rsid w:val="5D410BC1"/>
    <w:rsid w:val="5D48D9C4"/>
    <w:rsid w:val="5D4921C8"/>
    <w:rsid w:val="5D49AF2E"/>
    <w:rsid w:val="5D4B458A"/>
    <w:rsid w:val="5D4FA2C6"/>
    <w:rsid w:val="5D50543E"/>
    <w:rsid w:val="5D54B44E"/>
    <w:rsid w:val="5D70F4D5"/>
    <w:rsid w:val="5D9C195B"/>
    <w:rsid w:val="5D9E5CF7"/>
    <w:rsid w:val="5DA81B78"/>
    <w:rsid w:val="5DABA433"/>
    <w:rsid w:val="5DAD7B22"/>
    <w:rsid w:val="5DAFC352"/>
    <w:rsid w:val="5DCBEFE1"/>
    <w:rsid w:val="5DD27ED5"/>
    <w:rsid w:val="5DE46D8F"/>
    <w:rsid w:val="5DE829A0"/>
    <w:rsid w:val="5DEBE25F"/>
    <w:rsid w:val="5DEC789F"/>
    <w:rsid w:val="5DECC583"/>
    <w:rsid w:val="5E0BF2E7"/>
    <w:rsid w:val="5E0E6203"/>
    <w:rsid w:val="5E0F43D4"/>
    <w:rsid w:val="5E111CE1"/>
    <w:rsid w:val="5E126C49"/>
    <w:rsid w:val="5E132B30"/>
    <w:rsid w:val="5E1A8501"/>
    <w:rsid w:val="5E1C287E"/>
    <w:rsid w:val="5E1D851F"/>
    <w:rsid w:val="5E223BF1"/>
    <w:rsid w:val="5E228863"/>
    <w:rsid w:val="5E27C544"/>
    <w:rsid w:val="5E3B1949"/>
    <w:rsid w:val="5E3E94AD"/>
    <w:rsid w:val="5E443C27"/>
    <w:rsid w:val="5E4A12B5"/>
    <w:rsid w:val="5E539C81"/>
    <w:rsid w:val="5E54D0FF"/>
    <w:rsid w:val="5E55EE9A"/>
    <w:rsid w:val="5E575B32"/>
    <w:rsid w:val="5E5B18C2"/>
    <w:rsid w:val="5E5BF6F8"/>
    <w:rsid w:val="5E5C2CB2"/>
    <w:rsid w:val="5E68F9EB"/>
    <w:rsid w:val="5E6DDCFD"/>
    <w:rsid w:val="5E739A51"/>
    <w:rsid w:val="5E7A8081"/>
    <w:rsid w:val="5E7D8882"/>
    <w:rsid w:val="5E8067BC"/>
    <w:rsid w:val="5E8AF6C5"/>
    <w:rsid w:val="5E8CCF38"/>
    <w:rsid w:val="5E917261"/>
    <w:rsid w:val="5EA1E209"/>
    <w:rsid w:val="5EA71415"/>
    <w:rsid w:val="5EAAF7BA"/>
    <w:rsid w:val="5EAD087D"/>
    <w:rsid w:val="5EAF2BAD"/>
    <w:rsid w:val="5EBAC09D"/>
    <w:rsid w:val="5EC71938"/>
    <w:rsid w:val="5EC87374"/>
    <w:rsid w:val="5EC99017"/>
    <w:rsid w:val="5ECE49E9"/>
    <w:rsid w:val="5ED3E517"/>
    <w:rsid w:val="5EDA5F81"/>
    <w:rsid w:val="5EE1AA88"/>
    <w:rsid w:val="5EFCE5D2"/>
    <w:rsid w:val="5F02D465"/>
    <w:rsid w:val="5F0437EE"/>
    <w:rsid w:val="5F0E6D08"/>
    <w:rsid w:val="5F15ABDE"/>
    <w:rsid w:val="5F1CB660"/>
    <w:rsid w:val="5F202450"/>
    <w:rsid w:val="5F222D10"/>
    <w:rsid w:val="5F2AE345"/>
    <w:rsid w:val="5F332739"/>
    <w:rsid w:val="5F3C0FFC"/>
    <w:rsid w:val="5F3C658C"/>
    <w:rsid w:val="5F3FE180"/>
    <w:rsid w:val="5F44656C"/>
    <w:rsid w:val="5F46EA66"/>
    <w:rsid w:val="5F4CF402"/>
    <w:rsid w:val="5F55EB0E"/>
    <w:rsid w:val="5F5BAFE9"/>
    <w:rsid w:val="5F5F9744"/>
    <w:rsid w:val="5F6394B1"/>
    <w:rsid w:val="5F67ADA7"/>
    <w:rsid w:val="5F6C2416"/>
    <w:rsid w:val="5F7028DF"/>
    <w:rsid w:val="5F705AD6"/>
    <w:rsid w:val="5F74C702"/>
    <w:rsid w:val="5F77F89D"/>
    <w:rsid w:val="5F78CD80"/>
    <w:rsid w:val="5F7E3619"/>
    <w:rsid w:val="5F84A9BE"/>
    <w:rsid w:val="5F8864E8"/>
    <w:rsid w:val="5F94DEC3"/>
    <w:rsid w:val="5F98316A"/>
    <w:rsid w:val="5F98887D"/>
    <w:rsid w:val="5F9B1318"/>
    <w:rsid w:val="5F9ED0DE"/>
    <w:rsid w:val="5F9F8610"/>
    <w:rsid w:val="5F9FDFCA"/>
    <w:rsid w:val="5FA03CA3"/>
    <w:rsid w:val="5FA1BD9B"/>
    <w:rsid w:val="5FA6FA12"/>
    <w:rsid w:val="5FA7D767"/>
    <w:rsid w:val="5FB0792A"/>
    <w:rsid w:val="5FB225D1"/>
    <w:rsid w:val="5FB5CD9A"/>
    <w:rsid w:val="5FB7826D"/>
    <w:rsid w:val="5FBA98ED"/>
    <w:rsid w:val="5FDA1DD4"/>
    <w:rsid w:val="5FDCB9EB"/>
    <w:rsid w:val="5FDE0073"/>
    <w:rsid w:val="5FE3F46D"/>
    <w:rsid w:val="5FE9D397"/>
    <w:rsid w:val="5FEAF56C"/>
    <w:rsid w:val="5FEEADF2"/>
    <w:rsid w:val="5FF64E58"/>
    <w:rsid w:val="6001F95C"/>
    <w:rsid w:val="6004CBC7"/>
    <w:rsid w:val="600A8AE4"/>
    <w:rsid w:val="600B057B"/>
    <w:rsid w:val="6016D7CD"/>
    <w:rsid w:val="60194BEF"/>
    <w:rsid w:val="601B8F32"/>
    <w:rsid w:val="601E42A6"/>
    <w:rsid w:val="602AE749"/>
    <w:rsid w:val="602BECC0"/>
    <w:rsid w:val="6038A7B8"/>
    <w:rsid w:val="603B31C8"/>
    <w:rsid w:val="603BC4F4"/>
    <w:rsid w:val="60482476"/>
    <w:rsid w:val="6053EF0D"/>
    <w:rsid w:val="60554D9F"/>
    <w:rsid w:val="6056EE4A"/>
    <w:rsid w:val="605DEA32"/>
    <w:rsid w:val="605E37CC"/>
    <w:rsid w:val="6074A042"/>
    <w:rsid w:val="607720C8"/>
    <w:rsid w:val="607A7028"/>
    <w:rsid w:val="6086A325"/>
    <w:rsid w:val="6088F826"/>
    <w:rsid w:val="608E0855"/>
    <w:rsid w:val="60945790"/>
    <w:rsid w:val="6094C038"/>
    <w:rsid w:val="60969B4B"/>
    <w:rsid w:val="60AE81EA"/>
    <w:rsid w:val="60B1F0A3"/>
    <w:rsid w:val="60B3FF53"/>
    <w:rsid w:val="60B849BB"/>
    <w:rsid w:val="60C5C530"/>
    <w:rsid w:val="60CE330E"/>
    <w:rsid w:val="60D0762E"/>
    <w:rsid w:val="60D3F398"/>
    <w:rsid w:val="60D5CB45"/>
    <w:rsid w:val="60D9BE1C"/>
    <w:rsid w:val="60DF2E60"/>
    <w:rsid w:val="60E5C184"/>
    <w:rsid w:val="60F22397"/>
    <w:rsid w:val="60F64886"/>
    <w:rsid w:val="60FBEC27"/>
    <w:rsid w:val="60FC76B9"/>
    <w:rsid w:val="60FDA63C"/>
    <w:rsid w:val="610587B9"/>
    <w:rsid w:val="61066FE7"/>
    <w:rsid w:val="610F2016"/>
    <w:rsid w:val="61109070"/>
    <w:rsid w:val="61125E4B"/>
    <w:rsid w:val="6121805B"/>
    <w:rsid w:val="6121C6E0"/>
    <w:rsid w:val="61230213"/>
    <w:rsid w:val="612602FF"/>
    <w:rsid w:val="6129A31C"/>
    <w:rsid w:val="612A0B0F"/>
    <w:rsid w:val="612FC6CD"/>
    <w:rsid w:val="614DF54C"/>
    <w:rsid w:val="615C46B5"/>
    <w:rsid w:val="615E5B00"/>
    <w:rsid w:val="615ED053"/>
    <w:rsid w:val="615FBDC0"/>
    <w:rsid w:val="6161FC7C"/>
    <w:rsid w:val="61627326"/>
    <w:rsid w:val="616CBF4F"/>
    <w:rsid w:val="6176B5C3"/>
    <w:rsid w:val="617E4F28"/>
    <w:rsid w:val="617E9588"/>
    <w:rsid w:val="617F6816"/>
    <w:rsid w:val="61806FAF"/>
    <w:rsid w:val="61886756"/>
    <w:rsid w:val="618C86C1"/>
    <w:rsid w:val="618DE591"/>
    <w:rsid w:val="618F7747"/>
    <w:rsid w:val="61987D58"/>
    <w:rsid w:val="619A064F"/>
    <w:rsid w:val="619DD51C"/>
    <w:rsid w:val="619ED838"/>
    <w:rsid w:val="61BB01A2"/>
    <w:rsid w:val="61BC98A1"/>
    <w:rsid w:val="61CD247B"/>
    <w:rsid w:val="61D53244"/>
    <w:rsid w:val="61DD15D2"/>
    <w:rsid w:val="61DF4ED9"/>
    <w:rsid w:val="61E3B2F0"/>
    <w:rsid w:val="61E76FF5"/>
    <w:rsid w:val="61E7B876"/>
    <w:rsid w:val="61E8F385"/>
    <w:rsid w:val="61F2F2E5"/>
    <w:rsid w:val="61F63223"/>
    <w:rsid w:val="61F715C1"/>
    <w:rsid w:val="62117994"/>
    <w:rsid w:val="621223C6"/>
    <w:rsid w:val="6214D8D7"/>
    <w:rsid w:val="6216F981"/>
    <w:rsid w:val="621AF617"/>
    <w:rsid w:val="621C5C41"/>
    <w:rsid w:val="621C6648"/>
    <w:rsid w:val="6225542D"/>
    <w:rsid w:val="6228A03B"/>
    <w:rsid w:val="622BEDE1"/>
    <w:rsid w:val="6231BC08"/>
    <w:rsid w:val="62339C0A"/>
    <w:rsid w:val="6244AC4E"/>
    <w:rsid w:val="6247741B"/>
    <w:rsid w:val="624D47EC"/>
    <w:rsid w:val="624E4531"/>
    <w:rsid w:val="624F151F"/>
    <w:rsid w:val="6255F09A"/>
    <w:rsid w:val="626316A1"/>
    <w:rsid w:val="62641CD5"/>
    <w:rsid w:val="626CDB67"/>
    <w:rsid w:val="626D2E69"/>
    <w:rsid w:val="6270B568"/>
    <w:rsid w:val="6280648B"/>
    <w:rsid w:val="62813F06"/>
    <w:rsid w:val="62867B69"/>
    <w:rsid w:val="6297508E"/>
    <w:rsid w:val="62976660"/>
    <w:rsid w:val="62988611"/>
    <w:rsid w:val="629B1E22"/>
    <w:rsid w:val="62AB95DD"/>
    <w:rsid w:val="62CBC426"/>
    <w:rsid w:val="62CC83B3"/>
    <w:rsid w:val="62D3F6CE"/>
    <w:rsid w:val="62D75841"/>
    <w:rsid w:val="62D83016"/>
    <w:rsid w:val="62DE09EE"/>
    <w:rsid w:val="62DEBA6D"/>
    <w:rsid w:val="62E47DDB"/>
    <w:rsid w:val="62E6A599"/>
    <w:rsid w:val="62F1C8B6"/>
    <w:rsid w:val="62F2F50A"/>
    <w:rsid w:val="6301484B"/>
    <w:rsid w:val="63039F01"/>
    <w:rsid w:val="6310E2E4"/>
    <w:rsid w:val="631DF189"/>
    <w:rsid w:val="63257A05"/>
    <w:rsid w:val="6335462B"/>
    <w:rsid w:val="63389798"/>
    <w:rsid w:val="633BCE15"/>
    <w:rsid w:val="634EAC2F"/>
    <w:rsid w:val="635C9AF8"/>
    <w:rsid w:val="63664D05"/>
    <w:rsid w:val="636A31E1"/>
    <w:rsid w:val="6371C21C"/>
    <w:rsid w:val="63750F83"/>
    <w:rsid w:val="63754AC5"/>
    <w:rsid w:val="63773539"/>
    <w:rsid w:val="63781B28"/>
    <w:rsid w:val="637C407A"/>
    <w:rsid w:val="63819E5C"/>
    <w:rsid w:val="63836FC9"/>
    <w:rsid w:val="63873823"/>
    <w:rsid w:val="6387F6AE"/>
    <w:rsid w:val="63894B80"/>
    <w:rsid w:val="638F5691"/>
    <w:rsid w:val="638FB1F0"/>
    <w:rsid w:val="6392ACBA"/>
    <w:rsid w:val="6397561C"/>
    <w:rsid w:val="639EBCE5"/>
    <w:rsid w:val="63AD3430"/>
    <w:rsid w:val="63AE03F2"/>
    <w:rsid w:val="63B49272"/>
    <w:rsid w:val="63B94CD4"/>
    <w:rsid w:val="63B9FDBB"/>
    <w:rsid w:val="63C51ACD"/>
    <w:rsid w:val="63CB6243"/>
    <w:rsid w:val="63D8F55B"/>
    <w:rsid w:val="63D8F623"/>
    <w:rsid w:val="63DCE5C1"/>
    <w:rsid w:val="63DF64CC"/>
    <w:rsid w:val="63E0E1E7"/>
    <w:rsid w:val="63E228FA"/>
    <w:rsid w:val="63F3DCCB"/>
    <w:rsid w:val="63FA370F"/>
    <w:rsid w:val="6403861E"/>
    <w:rsid w:val="64080D3D"/>
    <w:rsid w:val="641656F6"/>
    <w:rsid w:val="6416B7A0"/>
    <w:rsid w:val="642B3DE4"/>
    <w:rsid w:val="642D8C0E"/>
    <w:rsid w:val="6435C267"/>
    <w:rsid w:val="643D72F5"/>
    <w:rsid w:val="6446C370"/>
    <w:rsid w:val="644CEBAA"/>
    <w:rsid w:val="64534F6D"/>
    <w:rsid w:val="6456EB81"/>
    <w:rsid w:val="6457290C"/>
    <w:rsid w:val="645F0BAC"/>
    <w:rsid w:val="64613A67"/>
    <w:rsid w:val="646180B1"/>
    <w:rsid w:val="64658A5F"/>
    <w:rsid w:val="6465C7F1"/>
    <w:rsid w:val="6465D343"/>
    <w:rsid w:val="6468749D"/>
    <w:rsid w:val="64753967"/>
    <w:rsid w:val="6475F72B"/>
    <w:rsid w:val="64765D99"/>
    <w:rsid w:val="647888C7"/>
    <w:rsid w:val="6486B4FC"/>
    <w:rsid w:val="64953C0C"/>
    <w:rsid w:val="649DCA1C"/>
    <w:rsid w:val="64A160A1"/>
    <w:rsid w:val="64A3890F"/>
    <w:rsid w:val="64A45B41"/>
    <w:rsid w:val="64AE96BB"/>
    <w:rsid w:val="64B31A6B"/>
    <w:rsid w:val="64B5D1EA"/>
    <w:rsid w:val="64BE8842"/>
    <w:rsid w:val="64C1CA39"/>
    <w:rsid w:val="64C2EE6B"/>
    <w:rsid w:val="64C76269"/>
    <w:rsid w:val="64D16F08"/>
    <w:rsid w:val="64D1A572"/>
    <w:rsid w:val="64DB334C"/>
    <w:rsid w:val="64E61989"/>
    <w:rsid w:val="64E82E9D"/>
    <w:rsid w:val="64E84897"/>
    <w:rsid w:val="64EDD35B"/>
    <w:rsid w:val="64F50845"/>
    <w:rsid w:val="64F748C8"/>
    <w:rsid w:val="64FD8AA2"/>
    <w:rsid w:val="65015E45"/>
    <w:rsid w:val="6509D0C7"/>
    <w:rsid w:val="6509FC1C"/>
    <w:rsid w:val="650CC184"/>
    <w:rsid w:val="6519F247"/>
    <w:rsid w:val="651C6252"/>
    <w:rsid w:val="6530B0EF"/>
    <w:rsid w:val="6539E459"/>
    <w:rsid w:val="654023FB"/>
    <w:rsid w:val="6548C72B"/>
    <w:rsid w:val="6553C5E8"/>
    <w:rsid w:val="6554E5DB"/>
    <w:rsid w:val="65645BC3"/>
    <w:rsid w:val="6564622B"/>
    <w:rsid w:val="65650459"/>
    <w:rsid w:val="656BA3FE"/>
    <w:rsid w:val="656E1B71"/>
    <w:rsid w:val="6578DF1B"/>
    <w:rsid w:val="657B357A"/>
    <w:rsid w:val="657D6881"/>
    <w:rsid w:val="6586650A"/>
    <w:rsid w:val="658F77CB"/>
    <w:rsid w:val="65A9FC81"/>
    <w:rsid w:val="65AA9F4F"/>
    <w:rsid w:val="65AF8B4C"/>
    <w:rsid w:val="65AFFC1B"/>
    <w:rsid w:val="65B3F1B3"/>
    <w:rsid w:val="65B8F3A8"/>
    <w:rsid w:val="65BB08A7"/>
    <w:rsid w:val="65BD2C85"/>
    <w:rsid w:val="65BE2CFB"/>
    <w:rsid w:val="65C181F1"/>
    <w:rsid w:val="65CD4AE3"/>
    <w:rsid w:val="65D020AC"/>
    <w:rsid w:val="65D13C59"/>
    <w:rsid w:val="65ED4667"/>
    <w:rsid w:val="65F19C95"/>
    <w:rsid w:val="6600538A"/>
    <w:rsid w:val="660C698A"/>
    <w:rsid w:val="660DAD95"/>
    <w:rsid w:val="660F9295"/>
    <w:rsid w:val="6615C842"/>
    <w:rsid w:val="66216BEA"/>
    <w:rsid w:val="66293373"/>
    <w:rsid w:val="663121DA"/>
    <w:rsid w:val="663186B0"/>
    <w:rsid w:val="663AD961"/>
    <w:rsid w:val="66423C20"/>
    <w:rsid w:val="664EE408"/>
    <w:rsid w:val="6650E7C6"/>
    <w:rsid w:val="66539CFC"/>
    <w:rsid w:val="66617D4C"/>
    <w:rsid w:val="666DDF07"/>
    <w:rsid w:val="667CACF1"/>
    <w:rsid w:val="66801314"/>
    <w:rsid w:val="668720D6"/>
    <w:rsid w:val="668C7DD0"/>
    <w:rsid w:val="66945185"/>
    <w:rsid w:val="66A1A74B"/>
    <w:rsid w:val="66BC0E5A"/>
    <w:rsid w:val="66CA134D"/>
    <w:rsid w:val="66CACF57"/>
    <w:rsid w:val="66CC0C30"/>
    <w:rsid w:val="66D30809"/>
    <w:rsid w:val="66D5DBFE"/>
    <w:rsid w:val="66EB21B9"/>
    <w:rsid w:val="66EB8836"/>
    <w:rsid w:val="66F1C616"/>
    <w:rsid w:val="66F5C9B7"/>
    <w:rsid w:val="66FDFEB6"/>
    <w:rsid w:val="6705B1CC"/>
    <w:rsid w:val="670BA0C0"/>
    <w:rsid w:val="67108D1D"/>
    <w:rsid w:val="671A910D"/>
    <w:rsid w:val="671D98A0"/>
    <w:rsid w:val="6721D68C"/>
    <w:rsid w:val="672831B7"/>
    <w:rsid w:val="673BB9F0"/>
    <w:rsid w:val="673C7261"/>
    <w:rsid w:val="673E34B8"/>
    <w:rsid w:val="673FBA2E"/>
    <w:rsid w:val="6742031F"/>
    <w:rsid w:val="6746C272"/>
    <w:rsid w:val="67474218"/>
    <w:rsid w:val="674743A5"/>
    <w:rsid w:val="674AE33E"/>
    <w:rsid w:val="674C4CBE"/>
    <w:rsid w:val="67573256"/>
    <w:rsid w:val="67577EE3"/>
    <w:rsid w:val="675BEC1A"/>
    <w:rsid w:val="676484B3"/>
    <w:rsid w:val="6764D786"/>
    <w:rsid w:val="676792ED"/>
    <w:rsid w:val="677CF87F"/>
    <w:rsid w:val="677D1CEF"/>
    <w:rsid w:val="677E714A"/>
    <w:rsid w:val="678610BE"/>
    <w:rsid w:val="6788A664"/>
    <w:rsid w:val="678B6379"/>
    <w:rsid w:val="67926DCA"/>
    <w:rsid w:val="67963F04"/>
    <w:rsid w:val="679BD7A8"/>
    <w:rsid w:val="679BF3AD"/>
    <w:rsid w:val="67A424ED"/>
    <w:rsid w:val="67A68841"/>
    <w:rsid w:val="67A733C3"/>
    <w:rsid w:val="67A7FD4A"/>
    <w:rsid w:val="67B1E880"/>
    <w:rsid w:val="67B240D7"/>
    <w:rsid w:val="67D0C204"/>
    <w:rsid w:val="67D42F7D"/>
    <w:rsid w:val="67DAC0A3"/>
    <w:rsid w:val="67E49D6D"/>
    <w:rsid w:val="67E5EBF4"/>
    <w:rsid w:val="67E72AA2"/>
    <w:rsid w:val="67E76922"/>
    <w:rsid w:val="67E98D6B"/>
    <w:rsid w:val="67EE6C06"/>
    <w:rsid w:val="67F525DA"/>
    <w:rsid w:val="67F5590B"/>
    <w:rsid w:val="67FB3B19"/>
    <w:rsid w:val="680293EF"/>
    <w:rsid w:val="6803B015"/>
    <w:rsid w:val="68084A78"/>
    <w:rsid w:val="680A9E59"/>
    <w:rsid w:val="680CE963"/>
    <w:rsid w:val="6811E5F9"/>
    <w:rsid w:val="6814BD07"/>
    <w:rsid w:val="681A55A8"/>
    <w:rsid w:val="68242F62"/>
    <w:rsid w:val="682C7326"/>
    <w:rsid w:val="682E2AA4"/>
    <w:rsid w:val="682F1D43"/>
    <w:rsid w:val="68330874"/>
    <w:rsid w:val="6838BB77"/>
    <w:rsid w:val="68403433"/>
    <w:rsid w:val="68423FC5"/>
    <w:rsid w:val="6843CC3C"/>
    <w:rsid w:val="6849AB9C"/>
    <w:rsid w:val="684D244D"/>
    <w:rsid w:val="68544F33"/>
    <w:rsid w:val="685485F2"/>
    <w:rsid w:val="685A48A3"/>
    <w:rsid w:val="685FD3DC"/>
    <w:rsid w:val="68640F42"/>
    <w:rsid w:val="6878D9E8"/>
    <w:rsid w:val="687D40B4"/>
    <w:rsid w:val="689BC7B5"/>
    <w:rsid w:val="689D7FD1"/>
    <w:rsid w:val="68A839E9"/>
    <w:rsid w:val="68ACF475"/>
    <w:rsid w:val="68ADC61E"/>
    <w:rsid w:val="68B9ACB6"/>
    <w:rsid w:val="68BA04B7"/>
    <w:rsid w:val="68BFFEEC"/>
    <w:rsid w:val="68C1AF17"/>
    <w:rsid w:val="68C7A530"/>
    <w:rsid w:val="68CB4E04"/>
    <w:rsid w:val="68D44D7E"/>
    <w:rsid w:val="68E35E49"/>
    <w:rsid w:val="68E65BA4"/>
    <w:rsid w:val="68ED0A1F"/>
    <w:rsid w:val="68F91DC1"/>
    <w:rsid w:val="690437ED"/>
    <w:rsid w:val="690A9DC6"/>
    <w:rsid w:val="69106DBC"/>
    <w:rsid w:val="6912A3F2"/>
    <w:rsid w:val="69162272"/>
    <w:rsid w:val="691798C5"/>
    <w:rsid w:val="6917FB24"/>
    <w:rsid w:val="691E7696"/>
    <w:rsid w:val="6920D304"/>
    <w:rsid w:val="69307DBA"/>
    <w:rsid w:val="693618B2"/>
    <w:rsid w:val="693EC8A6"/>
    <w:rsid w:val="6943A8F8"/>
    <w:rsid w:val="69448155"/>
    <w:rsid w:val="694602D7"/>
    <w:rsid w:val="6949AF89"/>
    <w:rsid w:val="6949E56F"/>
    <w:rsid w:val="694E2C57"/>
    <w:rsid w:val="6968C15D"/>
    <w:rsid w:val="696EB663"/>
    <w:rsid w:val="6975364B"/>
    <w:rsid w:val="6976143A"/>
    <w:rsid w:val="69773C7D"/>
    <w:rsid w:val="6979AB0B"/>
    <w:rsid w:val="698A249B"/>
    <w:rsid w:val="69900B36"/>
    <w:rsid w:val="6990596D"/>
    <w:rsid w:val="6998F6F7"/>
    <w:rsid w:val="69A0E0C3"/>
    <w:rsid w:val="69A4E752"/>
    <w:rsid w:val="69A8CA6E"/>
    <w:rsid w:val="69B40ACC"/>
    <w:rsid w:val="69B5B3FD"/>
    <w:rsid w:val="69C3CCEC"/>
    <w:rsid w:val="69CABC0E"/>
    <w:rsid w:val="69CEC2E5"/>
    <w:rsid w:val="69CFCDA9"/>
    <w:rsid w:val="69D0AE61"/>
    <w:rsid w:val="69D36EED"/>
    <w:rsid w:val="69D962EB"/>
    <w:rsid w:val="69E7B305"/>
    <w:rsid w:val="69ECF085"/>
    <w:rsid w:val="69F185EE"/>
    <w:rsid w:val="6A03E312"/>
    <w:rsid w:val="6A050285"/>
    <w:rsid w:val="6A0D0385"/>
    <w:rsid w:val="6A101E78"/>
    <w:rsid w:val="6A141F45"/>
    <w:rsid w:val="6A14298D"/>
    <w:rsid w:val="6A155C7E"/>
    <w:rsid w:val="6A16DCE0"/>
    <w:rsid w:val="6A1DD367"/>
    <w:rsid w:val="6A1F7A59"/>
    <w:rsid w:val="6A22EF44"/>
    <w:rsid w:val="6A2621F3"/>
    <w:rsid w:val="6A26E731"/>
    <w:rsid w:val="6A2CE1A3"/>
    <w:rsid w:val="6A2DD7BD"/>
    <w:rsid w:val="6A318775"/>
    <w:rsid w:val="6A32C535"/>
    <w:rsid w:val="6A35D5DF"/>
    <w:rsid w:val="6A4276F1"/>
    <w:rsid w:val="6A501F96"/>
    <w:rsid w:val="6A521FA0"/>
    <w:rsid w:val="6A538128"/>
    <w:rsid w:val="6A5881E9"/>
    <w:rsid w:val="6A5FA3FD"/>
    <w:rsid w:val="6A6DAA27"/>
    <w:rsid w:val="6A7393CF"/>
    <w:rsid w:val="6A760CE5"/>
    <w:rsid w:val="6A77A244"/>
    <w:rsid w:val="6A808FA9"/>
    <w:rsid w:val="6A8E1876"/>
    <w:rsid w:val="6A908547"/>
    <w:rsid w:val="6A914671"/>
    <w:rsid w:val="6A938070"/>
    <w:rsid w:val="6A94ACB0"/>
    <w:rsid w:val="6A95059F"/>
    <w:rsid w:val="6A9A6A93"/>
    <w:rsid w:val="6A9F0022"/>
    <w:rsid w:val="6AA0FBC0"/>
    <w:rsid w:val="6AA2F029"/>
    <w:rsid w:val="6AABCEA8"/>
    <w:rsid w:val="6AB468CF"/>
    <w:rsid w:val="6AB756EC"/>
    <w:rsid w:val="6ABBB479"/>
    <w:rsid w:val="6AD15517"/>
    <w:rsid w:val="6AD7D928"/>
    <w:rsid w:val="6AD94D85"/>
    <w:rsid w:val="6ADC6625"/>
    <w:rsid w:val="6ADD2E84"/>
    <w:rsid w:val="6AE12F53"/>
    <w:rsid w:val="6AE44C3C"/>
    <w:rsid w:val="6AEDFEFF"/>
    <w:rsid w:val="6AEFBF8A"/>
    <w:rsid w:val="6AF69BF9"/>
    <w:rsid w:val="6AF84070"/>
    <w:rsid w:val="6AFCC1B0"/>
    <w:rsid w:val="6AFE6537"/>
    <w:rsid w:val="6B079FAD"/>
    <w:rsid w:val="6B0A200C"/>
    <w:rsid w:val="6B0A270A"/>
    <w:rsid w:val="6B0B06B7"/>
    <w:rsid w:val="6B21B082"/>
    <w:rsid w:val="6B2786D8"/>
    <w:rsid w:val="6B279749"/>
    <w:rsid w:val="6B2E5E90"/>
    <w:rsid w:val="6B2F0C60"/>
    <w:rsid w:val="6B36C9F0"/>
    <w:rsid w:val="6B3A6EA7"/>
    <w:rsid w:val="6B3E05CA"/>
    <w:rsid w:val="6B40F82C"/>
    <w:rsid w:val="6B4C7ED1"/>
    <w:rsid w:val="6B517A8E"/>
    <w:rsid w:val="6B53A250"/>
    <w:rsid w:val="6B5922CE"/>
    <w:rsid w:val="6B6AA27D"/>
    <w:rsid w:val="6B6CBCFC"/>
    <w:rsid w:val="6B74BB58"/>
    <w:rsid w:val="6B7508DB"/>
    <w:rsid w:val="6B75A0B4"/>
    <w:rsid w:val="6B795174"/>
    <w:rsid w:val="6B8B7FF0"/>
    <w:rsid w:val="6B8FAF81"/>
    <w:rsid w:val="6B935E71"/>
    <w:rsid w:val="6B953501"/>
    <w:rsid w:val="6B96C962"/>
    <w:rsid w:val="6BA28470"/>
    <w:rsid w:val="6BA5B498"/>
    <w:rsid w:val="6BB59D32"/>
    <w:rsid w:val="6BBB325F"/>
    <w:rsid w:val="6BBE59D4"/>
    <w:rsid w:val="6BC00673"/>
    <w:rsid w:val="6BC38139"/>
    <w:rsid w:val="6BC9AB9C"/>
    <w:rsid w:val="6BCD5F64"/>
    <w:rsid w:val="6BD2756E"/>
    <w:rsid w:val="6BD3DA9B"/>
    <w:rsid w:val="6BD4A0DC"/>
    <w:rsid w:val="6BDCBDC5"/>
    <w:rsid w:val="6BE44AC1"/>
    <w:rsid w:val="6BEDC4C0"/>
    <w:rsid w:val="6BF78916"/>
    <w:rsid w:val="6C04EB2C"/>
    <w:rsid w:val="6C050D07"/>
    <w:rsid w:val="6C107B72"/>
    <w:rsid w:val="6C1308DD"/>
    <w:rsid w:val="6C1A6D55"/>
    <w:rsid w:val="6C1E422D"/>
    <w:rsid w:val="6C20C023"/>
    <w:rsid w:val="6C23FFCD"/>
    <w:rsid w:val="6C2497C9"/>
    <w:rsid w:val="6C32D480"/>
    <w:rsid w:val="6C3F5312"/>
    <w:rsid w:val="6C420C4D"/>
    <w:rsid w:val="6C43EA76"/>
    <w:rsid w:val="6C4F21F0"/>
    <w:rsid w:val="6C53D320"/>
    <w:rsid w:val="6C5D40CE"/>
    <w:rsid w:val="6C64E064"/>
    <w:rsid w:val="6C66C0AA"/>
    <w:rsid w:val="6C68E0A3"/>
    <w:rsid w:val="6C6C6E91"/>
    <w:rsid w:val="6C6DF73F"/>
    <w:rsid w:val="6C7466BF"/>
    <w:rsid w:val="6C7673FC"/>
    <w:rsid w:val="6C76A7C7"/>
    <w:rsid w:val="6C7996E8"/>
    <w:rsid w:val="6C7C6E4B"/>
    <w:rsid w:val="6C80F4D6"/>
    <w:rsid w:val="6C81F8B0"/>
    <w:rsid w:val="6C876F90"/>
    <w:rsid w:val="6C9162DB"/>
    <w:rsid w:val="6C9A0D58"/>
    <w:rsid w:val="6C9CC6E5"/>
    <w:rsid w:val="6C9FA1E4"/>
    <w:rsid w:val="6CA313AA"/>
    <w:rsid w:val="6CA37A65"/>
    <w:rsid w:val="6CA6FA8E"/>
    <w:rsid w:val="6CAB524D"/>
    <w:rsid w:val="6CB56C91"/>
    <w:rsid w:val="6CC0C73E"/>
    <w:rsid w:val="6CC1C026"/>
    <w:rsid w:val="6CC23970"/>
    <w:rsid w:val="6CC52461"/>
    <w:rsid w:val="6CD728CB"/>
    <w:rsid w:val="6CD8B890"/>
    <w:rsid w:val="6CDA8EDE"/>
    <w:rsid w:val="6CE42591"/>
    <w:rsid w:val="6CE74CD7"/>
    <w:rsid w:val="6CF77EC0"/>
    <w:rsid w:val="6CFACA97"/>
    <w:rsid w:val="6CFB2FC4"/>
    <w:rsid w:val="6CFDA688"/>
    <w:rsid w:val="6D00B596"/>
    <w:rsid w:val="6D0334E9"/>
    <w:rsid w:val="6D05D5E1"/>
    <w:rsid w:val="6D07A586"/>
    <w:rsid w:val="6D0C2025"/>
    <w:rsid w:val="6D12B430"/>
    <w:rsid w:val="6D28CA8F"/>
    <w:rsid w:val="6D28E5D5"/>
    <w:rsid w:val="6D295388"/>
    <w:rsid w:val="6D298B2E"/>
    <w:rsid w:val="6D2D46AD"/>
    <w:rsid w:val="6D3332AD"/>
    <w:rsid w:val="6D33BDA7"/>
    <w:rsid w:val="6D41282C"/>
    <w:rsid w:val="6D46624F"/>
    <w:rsid w:val="6D4A2193"/>
    <w:rsid w:val="6D4E3576"/>
    <w:rsid w:val="6D4F211F"/>
    <w:rsid w:val="6D571AA6"/>
    <w:rsid w:val="6D573CA4"/>
    <w:rsid w:val="6D5CE923"/>
    <w:rsid w:val="6D61BF59"/>
    <w:rsid w:val="6D6266AC"/>
    <w:rsid w:val="6D65E09C"/>
    <w:rsid w:val="6D7845EF"/>
    <w:rsid w:val="6D78B5B6"/>
    <w:rsid w:val="6D832056"/>
    <w:rsid w:val="6D8B9ACC"/>
    <w:rsid w:val="6D8F6C24"/>
    <w:rsid w:val="6D90FA0A"/>
    <w:rsid w:val="6D95528E"/>
    <w:rsid w:val="6D9B4E6D"/>
    <w:rsid w:val="6DA2A984"/>
    <w:rsid w:val="6DA2BF65"/>
    <w:rsid w:val="6DAB8352"/>
    <w:rsid w:val="6DAF506D"/>
    <w:rsid w:val="6DB6EC61"/>
    <w:rsid w:val="6DBA3623"/>
    <w:rsid w:val="6DBD63B5"/>
    <w:rsid w:val="6DC055E6"/>
    <w:rsid w:val="6DC9C009"/>
    <w:rsid w:val="6DCA608B"/>
    <w:rsid w:val="6DDD136A"/>
    <w:rsid w:val="6DE0A7E0"/>
    <w:rsid w:val="6DE42E1C"/>
    <w:rsid w:val="6DEB7683"/>
    <w:rsid w:val="6DED5823"/>
    <w:rsid w:val="6DF1103F"/>
    <w:rsid w:val="6DF3E38B"/>
    <w:rsid w:val="6DF5EE36"/>
    <w:rsid w:val="6DF83AC4"/>
    <w:rsid w:val="6DFDD11A"/>
    <w:rsid w:val="6E06BB51"/>
    <w:rsid w:val="6E06D3E2"/>
    <w:rsid w:val="6E0FAD6B"/>
    <w:rsid w:val="6E1C8B74"/>
    <w:rsid w:val="6E2239DD"/>
    <w:rsid w:val="6E2440BF"/>
    <w:rsid w:val="6E24C8EC"/>
    <w:rsid w:val="6E2531C0"/>
    <w:rsid w:val="6E27B779"/>
    <w:rsid w:val="6E29320E"/>
    <w:rsid w:val="6E2AFC70"/>
    <w:rsid w:val="6E2C70D5"/>
    <w:rsid w:val="6E2E42B1"/>
    <w:rsid w:val="6E45858F"/>
    <w:rsid w:val="6E46FF5F"/>
    <w:rsid w:val="6E551EE4"/>
    <w:rsid w:val="6E5599C0"/>
    <w:rsid w:val="6E55F982"/>
    <w:rsid w:val="6E5A17B4"/>
    <w:rsid w:val="6E5B5B28"/>
    <w:rsid w:val="6E612D24"/>
    <w:rsid w:val="6E6CBEA9"/>
    <w:rsid w:val="6E6CED08"/>
    <w:rsid w:val="6E735BA2"/>
    <w:rsid w:val="6E77FABB"/>
    <w:rsid w:val="6E7CA8C7"/>
    <w:rsid w:val="6E8836CC"/>
    <w:rsid w:val="6E8ECAF9"/>
    <w:rsid w:val="6E995F1F"/>
    <w:rsid w:val="6E9BB278"/>
    <w:rsid w:val="6E9E8398"/>
    <w:rsid w:val="6E9F1D90"/>
    <w:rsid w:val="6EA83738"/>
    <w:rsid w:val="6EB2BFBC"/>
    <w:rsid w:val="6EB5B073"/>
    <w:rsid w:val="6EBA3735"/>
    <w:rsid w:val="6EBAC219"/>
    <w:rsid w:val="6EC06507"/>
    <w:rsid w:val="6ED2C821"/>
    <w:rsid w:val="6EDBBD1C"/>
    <w:rsid w:val="6EE1AAE2"/>
    <w:rsid w:val="6EE677F9"/>
    <w:rsid w:val="6EE961E7"/>
    <w:rsid w:val="6EF7FFE7"/>
    <w:rsid w:val="6EF95B37"/>
    <w:rsid w:val="6EFA4CCE"/>
    <w:rsid w:val="6F007CC7"/>
    <w:rsid w:val="6F0592EC"/>
    <w:rsid w:val="6F0C2E03"/>
    <w:rsid w:val="6F0C42AD"/>
    <w:rsid w:val="6F16CEA8"/>
    <w:rsid w:val="6F16F690"/>
    <w:rsid w:val="6F3B6D49"/>
    <w:rsid w:val="6F486FE2"/>
    <w:rsid w:val="6F4EE976"/>
    <w:rsid w:val="6F54A6FF"/>
    <w:rsid w:val="6F582265"/>
    <w:rsid w:val="6F5890B1"/>
    <w:rsid w:val="6F58C0EF"/>
    <w:rsid w:val="6F58FF35"/>
    <w:rsid w:val="6F5A13AA"/>
    <w:rsid w:val="6F5A519E"/>
    <w:rsid w:val="6F61DA37"/>
    <w:rsid w:val="6F62388A"/>
    <w:rsid w:val="6F694DCF"/>
    <w:rsid w:val="6F787883"/>
    <w:rsid w:val="6F806383"/>
    <w:rsid w:val="6F845E59"/>
    <w:rsid w:val="6F8566F6"/>
    <w:rsid w:val="6F86662F"/>
    <w:rsid w:val="6F8AF145"/>
    <w:rsid w:val="6F8F0EF0"/>
    <w:rsid w:val="6F92762E"/>
    <w:rsid w:val="6F98E4F5"/>
    <w:rsid w:val="6FA43456"/>
    <w:rsid w:val="6FAED4DB"/>
    <w:rsid w:val="6FAFAC8F"/>
    <w:rsid w:val="6FBAC6A8"/>
    <w:rsid w:val="6FC0FAF6"/>
    <w:rsid w:val="6FC11210"/>
    <w:rsid w:val="6FC24153"/>
    <w:rsid w:val="6FC6D9B8"/>
    <w:rsid w:val="6FCE5B26"/>
    <w:rsid w:val="6FDD507F"/>
    <w:rsid w:val="6FDD7251"/>
    <w:rsid w:val="6FE7F627"/>
    <w:rsid w:val="6FF527AB"/>
    <w:rsid w:val="6FF6C10F"/>
    <w:rsid w:val="6FFB282F"/>
    <w:rsid w:val="6FFC4023"/>
    <w:rsid w:val="6FFDB0D6"/>
    <w:rsid w:val="6FFF36DE"/>
    <w:rsid w:val="70003323"/>
    <w:rsid w:val="7000A1C9"/>
    <w:rsid w:val="70074377"/>
    <w:rsid w:val="701002B2"/>
    <w:rsid w:val="7012EB26"/>
    <w:rsid w:val="70159858"/>
    <w:rsid w:val="7026C964"/>
    <w:rsid w:val="70282845"/>
    <w:rsid w:val="702F0D8E"/>
    <w:rsid w:val="70319E43"/>
    <w:rsid w:val="7037271E"/>
    <w:rsid w:val="703879DA"/>
    <w:rsid w:val="703B691F"/>
    <w:rsid w:val="7042A043"/>
    <w:rsid w:val="7043378E"/>
    <w:rsid w:val="7046D7C2"/>
    <w:rsid w:val="70503278"/>
    <w:rsid w:val="7055B98A"/>
    <w:rsid w:val="70609787"/>
    <w:rsid w:val="7067A206"/>
    <w:rsid w:val="706BF057"/>
    <w:rsid w:val="7073581F"/>
    <w:rsid w:val="7073CDF2"/>
    <w:rsid w:val="7076FB48"/>
    <w:rsid w:val="707C616C"/>
    <w:rsid w:val="707D53CF"/>
    <w:rsid w:val="7082E442"/>
    <w:rsid w:val="7086393A"/>
    <w:rsid w:val="70952850"/>
    <w:rsid w:val="709DF665"/>
    <w:rsid w:val="709FB2BC"/>
    <w:rsid w:val="70B05832"/>
    <w:rsid w:val="70B70FF4"/>
    <w:rsid w:val="70B95499"/>
    <w:rsid w:val="70BC0BA9"/>
    <w:rsid w:val="70C2192A"/>
    <w:rsid w:val="70C24B4F"/>
    <w:rsid w:val="70D00118"/>
    <w:rsid w:val="70D42D0F"/>
    <w:rsid w:val="70D8C998"/>
    <w:rsid w:val="70D93D75"/>
    <w:rsid w:val="70DEFB8C"/>
    <w:rsid w:val="70E66552"/>
    <w:rsid w:val="70E6A98A"/>
    <w:rsid w:val="70F4249B"/>
    <w:rsid w:val="70F5752A"/>
    <w:rsid w:val="7102A407"/>
    <w:rsid w:val="7102D71C"/>
    <w:rsid w:val="7116BF84"/>
    <w:rsid w:val="711E8A3D"/>
    <w:rsid w:val="7120A990"/>
    <w:rsid w:val="7124D2C7"/>
    <w:rsid w:val="71259F51"/>
    <w:rsid w:val="7125FE89"/>
    <w:rsid w:val="71270C77"/>
    <w:rsid w:val="7128F673"/>
    <w:rsid w:val="712A6537"/>
    <w:rsid w:val="7137163D"/>
    <w:rsid w:val="7139C33C"/>
    <w:rsid w:val="713CEA9B"/>
    <w:rsid w:val="713D4F28"/>
    <w:rsid w:val="71414C85"/>
    <w:rsid w:val="7143C7F9"/>
    <w:rsid w:val="7147745B"/>
    <w:rsid w:val="71495B2F"/>
    <w:rsid w:val="714DE45B"/>
    <w:rsid w:val="71567226"/>
    <w:rsid w:val="715A5DC8"/>
    <w:rsid w:val="715B6A56"/>
    <w:rsid w:val="716566CE"/>
    <w:rsid w:val="716611C5"/>
    <w:rsid w:val="716620AD"/>
    <w:rsid w:val="71685E63"/>
    <w:rsid w:val="7180CFEF"/>
    <w:rsid w:val="71836CC2"/>
    <w:rsid w:val="718AB837"/>
    <w:rsid w:val="718DB7F5"/>
    <w:rsid w:val="7194A0FB"/>
    <w:rsid w:val="71964A1E"/>
    <w:rsid w:val="719CDC5E"/>
    <w:rsid w:val="719DBEE7"/>
    <w:rsid w:val="71A96783"/>
    <w:rsid w:val="71B13BF4"/>
    <w:rsid w:val="71B96A89"/>
    <w:rsid w:val="71B9BCD1"/>
    <w:rsid w:val="71BBC291"/>
    <w:rsid w:val="71BC3CE0"/>
    <w:rsid w:val="71BEB722"/>
    <w:rsid w:val="71C0B008"/>
    <w:rsid w:val="71D1C63B"/>
    <w:rsid w:val="71D65DC7"/>
    <w:rsid w:val="71DCDD45"/>
    <w:rsid w:val="71DF8ADA"/>
    <w:rsid w:val="71E07D2D"/>
    <w:rsid w:val="71E1E1B8"/>
    <w:rsid w:val="71F02D09"/>
    <w:rsid w:val="71F26764"/>
    <w:rsid w:val="71FF78F9"/>
    <w:rsid w:val="71FFBBDE"/>
    <w:rsid w:val="7205A7E5"/>
    <w:rsid w:val="720D57F8"/>
    <w:rsid w:val="720F72DC"/>
    <w:rsid w:val="7214D8BC"/>
    <w:rsid w:val="72169472"/>
    <w:rsid w:val="72177A3C"/>
    <w:rsid w:val="721B9DEB"/>
    <w:rsid w:val="722ACA3F"/>
    <w:rsid w:val="722F3F5A"/>
    <w:rsid w:val="7239A165"/>
    <w:rsid w:val="723E07A6"/>
    <w:rsid w:val="7247236F"/>
    <w:rsid w:val="724D6260"/>
    <w:rsid w:val="7258388A"/>
    <w:rsid w:val="725F5E00"/>
    <w:rsid w:val="7262960A"/>
    <w:rsid w:val="7262B34E"/>
    <w:rsid w:val="7264951D"/>
    <w:rsid w:val="72673FDB"/>
    <w:rsid w:val="72677A75"/>
    <w:rsid w:val="726AFF10"/>
    <w:rsid w:val="726DC61C"/>
    <w:rsid w:val="7273E974"/>
    <w:rsid w:val="727B703D"/>
    <w:rsid w:val="728541ED"/>
    <w:rsid w:val="728B186D"/>
    <w:rsid w:val="728DBC64"/>
    <w:rsid w:val="729364D9"/>
    <w:rsid w:val="7294A4CF"/>
    <w:rsid w:val="729EFB59"/>
    <w:rsid w:val="72A664C3"/>
    <w:rsid w:val="72AB9103"/>
    <w:rsid w:val="72B298F5"/>
    <w:rsid w:val="72B609A9"/>
    <w:rsid w:val="72C9BECE"/>
    <w:rsid w:val="72CADD59"/>
    <w:rsid w:val="72CB726E"/>
    <w:rsid w:val="72F51886"/>
    <w:rsid w:val="73014257"/>
    <w:rsid w:val="7305C5A1"/>
    <w:rsid w:val="730913C7"/>
    <w:rsid w:val="730AF3DE"/>
    <w:rsid w:val="730BF254"/>
    <w:rsid w:val="730CBE71"/>
    <w:rsid w:val="731BEFA6"/>
    <w:rsid w:val="731C218F"/>
    <w:rsid w:val="732980FE"/>
    <w:rsid w:val="732D1528"/>
    <w:rsid w:val="73341AD1"/>
    <w:rsid w:val="7335D9B0"/>
    <w:rsid w:val="733675A2"/>
    <w:rsid w:val="733B40E1"/>
    <w:rsid w:val="733CE9CF"/>
    <w:rsid w:val="734907BD"/>
    <w:rsid w:val="73493301"/>
    <w:rsid w:val="73534068"/>
    <w:rsid w:val="7360FB15"/>
    <w:rsid w:val="736268B2"/>
    <w:rsid w:val="736534AA"/>
    <w:rsid w:val="7369670A"/>
    <w:rsid w:val="736D9E60"/>
    <w:rsid w:val="73729510"/>
    <w:rsid w:val="7375B588"/>
    <w:rsid w:val="7377625A"/>
    <w:rsid w:val="7381ABA4"/>
    <w:rsid w:val="73895A8A"/>
    <w:rsid w:val="7392A410"/>
    <w:rsid w:val="739D9A29"/>
    <w:rsid w:val="73A9674A"/>
    <w:rsid w:val="73B1B4E9"/>
    <w:rsid w:val="73B3B8B4"/>
    <w:rsid w:val="73B90953"/>
    <w:rsid w:val="73C14B93"/>
    <w:rsid w:val="73CB7D97"/>
    <w:rsid w:val="73E125FE"/>
    <w:rsid w:val="73EA2854"/>
    <w:rsid w:val="73EDFF51"/>
    <w:rsid w:val="73F8E088"/>
    <w:rsid w:val="73F95641"/>
    <w:rsid w:val="73F9B15B"/>
    <w:rsid w:val="73FB0075"/>
    <w:rsid w:val="740B9364"/>
    <w:rsid w:val="740E7081"/>
    <w:rsid w:val="7414A717"/>
    <w:rsid w:val="741995B7"/>
    <w:rsid w:val="741E770A"/>
    <w:rsid w:val="7421850E"/>
    <w:rsid w:val="7425A2AD"/>
    <w:rsid w:val="7425FEA1"/>
    <w:rsid w:val="74283347"/>
    <w:rsid w:val="742BA5BC"/>
    <w:rsid w:val="743931E9"/>
    <w:rsid w:val="743BE55C"/>
    <w:rsid w:val="743C3702"/>
    <w:rsid w:val="743E5543"/>
    <w:rsid w:val="7449BABB"/>
    <w:rsid w:val="744E95DF"/>
    <w:rsid w:val="745AA6C5"/>
    <w:rsid w:val="745AEC5B"/>
    <w:rsid w:val="745CFD57"/>
    <w:rsid w:val="745DF582"/>
    <w:rsid w:val="746C1C8A"/>
    <w:rsid w:val="748C361E"/>
    <w:rsid w:val="749F3751"/>
    <w:rsid w:val="74B3232E"/>
    <w:rsid w:val="74B729BF"/>
    <w:rsid w:val="74B78126"/>
    <w:rsid w:val="74B918F4"/>
    <w:rsid w:val="74BB0366"/>
    <w:rsid w:val="74BF32CA"/>
    <w:rsid w:val="74C176B2"/>
    <w:rsid w:val="74CB5565"/>
    <w:rsid w:val="74D4C6A7"/>
    <w:rsid w:val="74D9992C"/>
    <w:rsid w:val="74DA1332"/>
    <w:rsid w:val="74DDA859"/>
    <w:rsid w:val="74E274E7"/>
    <w:rsid w:val="74E4BAB9"/>
    <w:rsid w:val="74E8598F"/>
    <w:rsid w:val="74E9B142"/>
    <w:rsid w:val="74EF5BF0"/>
    <w:rsid w:val="74F1D43F"/>
    <w:rsid w:val="74F33BDA"/>
    <w:rsid w:val="75005B62"/>
    <w:rsid w:val="7500E5E7"/>
    <w:rsid w:val="7503F826"/>
    <w:rsid w:val="7505DC17"/>
    <w:rsid w:val="75064A7E"/>
    <w:rsid w:val="750A0B54"/>
    <w:rsid w:val="750AB37A"/>
    <w:rsid w:val="750D914A"/>
    <w:rsid w:val="7510BF60"/>
    <w:rsid w:val="75114100"/>
    <w:rsid w:val="751392EA"/>
    <w:rsid w:val="75193A31"/>
    <w:rsid w:val="7524E700"/>
    <w:rsid w:val="752E8586"/>
    <w:rsid w:val="7532B00B"/>
    <w:rsid w:val="75427E94"/>
    <w:rsid w:val="7552F2D7"/>
    <w:rsid w:val="755898D9"/>
    <w:rsid w:val="75595B92"/>
    <w:rsid w:val="756339C9"/>
    <w:rsid w:val="7565A4D7"/>
    <w:rsid w:val="7565C776"/>
    <w:rsid w:val="75668C12"/>
    <w:rsid w:val="75673548"/>
    <w:rsid w:val="7568C7E6"/>
    <w:rsid w:val="7570DA53"/>
    <w:rsid w:val="757C0827"/>
    <w:rsid w:val="7582B000"/>
    <w:rsid w:val="759143ED"/>
    <w:rsid w:val="759BDF47"/>
    <w:rsid w:val="759E7B23"/>
    <w:rsid w:val="75A09EB8"/>
    <w:rsid w:val="75A9C5FD"/>
    <w:rsid w:val="75B283C2"/>
    <w:rsid w:val="75B6293C"/>
    <w:rsid w:val="75C0C8CE"/>
    <w:rsid w:val="75D12812"/>
    <w:rsid w:val="75D8EB33"/>
    <w:rsid w:val="75DB2BFE"/>
    <w:rsid w:val="75E3FEB6"/>
    <w:rsid w:val="75E80CF2"/>
    <w:rsid w:val="75E81E75"/>
    <w:rsid w:val="75EA6F7B"/>
    <w:rsid w:val="75F237A7"/>
    <w:rsid w:val="75F384C9"/>
    <w:rsid w:val="75F40E69"/>
    <w:rsid w:val="75F53C87"/>
    <w:rsid w:val="75F9D63F"/>
    <w:rsid w:val="7603321B"/>
    <w:rsid w:val="760F882A"/>
    <w:rsid w:val="76118AD4"/>
    <w:rsid w:val="76182F92"/>
    <w:rsid w:val="761B2E3B"/>
    <w:rsid w:val="761F6EB4"/>
    <w:rsid w:val="76228054"/>
    <w:rsid w:val="76239DE7"/>
    <w:rsid w:val="762673DB"/>
    <w:rsid w:val="76346BAB"/>
    <w:rsid w:val="7636934F"/>
    <w:rsid w:val="763B8E32"/>
    <w:rsid w:val="763EAD19"/>
    <w:rsid w:val="76601815"/>
    <w:rsid w:val="76740002"/>
    <w:rsid w:val="7675EC23"/>
    <w:rsid w:val="768E1ABC"/>
    <w:rsid w:val="76928B03"/>
    <w:rsid w:val="769B447E"/>
    <w:rsid w:val="76AE0E80"/>
    <w:rsid w:val="76BDC5E6"/>
    <w:rsid w:val="76C73928"/>
    <w:rsid w:val="76D429BC"/>
    <w:rsid w:val="76DA8CE7"/>
    <w:rsid w:val="76E6A44B"/>
    <w:rsid w:val="76E6E29B"/>
    <w:rsid w:val="76EE03C0"/>
    <w:rsid w:val="76F28E89"/>
    <w:rsid w:val="76F8B705"/>
    <w:rsid w:val="76F946CF"/>
    <w:rsid w:val="76FE0BD8"/>
    <w:rsid w:val="7709FC7E"/>
    <w:rsid w:val="770AF34A"/>
    <w:rsid w:val="77123392"/>
    <w:rsid w:val="771885DD"/>
    <w:rsid w:val="771A6218"/>
    <w:rsid w:val="7723D659"/>
    <w:rsid w:val="7726B9A1"/>
    <w:rsid w:val="772AAEBE"/>
    <w:rsid w:val="77374416"/>
    <w:rsid w:val="773B6938"/>
    <w:rsid w:val="773C6D90"/>
    <w:rsid w:val="7745556D"/>
    <w:rsid w:val="774DE12D"/>
    <w:rsid w:val="774E6FFF"/>
    <w:rsid w:val="7751D905"/>
    <w:rsid w:val="775C645C"/>
    <w:rsid w:val="7760FE3D"/>
    <w:rsid w:val="77624138"/>
    <w:rsid w:val="77664E46"/>
    <w:rsid w:val="776B0DB7"/>
    <w:rsid w:val="776BD065"/>
    <w:rsid w:val="7774566C"/>
    <w:rsid w:val="7779A0A5"/>
    <w:rsid w:val="777EF0EF"/>
    <w:rsid w:val="77838CAB"/>
    <w:rsid w:val="7785B3B5"/>
    <w:rsid w:val="7791B7A9"/>
    <w:rsid w:val="77A258B1"/>
    <w:rsid w:val="77A8A14F"/>
    <w:rsid w:val="77AD7C05"/>
    <w:rsid w:val="77B6D9E4"/>
    <w:rsid w:val="77C8A8E7"/>
    <w:rsid w:val="77C8DC11"/>
    <w:rsid w:val="77CC9B10"/>
    <w:rsid w:val="77CFB24E"/>
    <w:rsid w:val="77D5A0FE"/>
    <w:rsid w:val="77E0D5B1"/>
    <w:rsid w:val="77E243A9"/>
    <w:rsid w:val="77E9510D"/>
    <w:rsid w:val="77ED373A"/>
    <w:rsid w:val="77F144C8"/>
    <w:rsid w:val="780A0F7E"/>
    <w:rsid w:val="780A63C4"/>
    <w:rsid w:val="780B716F"/>
    <w:rsid w:val="780F30B2"/>
    <w:rsid w:val="781C2102"/>
    <w:rsid w:val="782BF280"/>
    <w:rsid w:val="783A32B7"/>
    <w:rsid w:val="7841FFFC"/>
    <w:rsid w:val="7842B348"/>
    <w:rsid w:val="784D3F3D"/>
    <w:rsid w:val="785921CD"/>
    <w:rsid w:val="785C94DA"/>
    <w:rsid w:val="7861E0D2"/>
    <w:rsid w:val="7864B106"/>
    <w:rsid w:val="787598DB"/>
    <w:rsid w:val="7886F285"/>
    <w:rsid w:val="7890F732"/>
    <w:rsid w:val="78964303"/>
    <w:rsid w:val="789DBC8C"/>
    <w:rsid w:val="789DD5D9"/>
    <w:rsid w:val="78A08E40"/>
    <w:rsid w:val="78A754EF"/>
    <w:rsid w:val="78A95C05"/>
    <w:rsid w:val="78AB3A05"/>
    <w:rsid w:val="78B15FE7"/>
    <w:rsid w:val="78B49D15"/>
    <w:rsid w:val="78BCE17D"/>
    <w:rsid w:val="78BE9B04"/>
    <w:rsid w:val="78C13192"/>
    <w:rsid w:val="78C72384"/>
    <w:rsid w:val="78C7517C"/>
    <w:rsid w:val="78D20501"/>
    <w:rsid w:val="78D49261"/>
    <w:rsid w:val="78DE05BC"/>
    <w:rsid w:val="78EB2CD2"/>
    <w:rsid w:val="78EF7AA2"/>
    <w:rsid w:val="78EFDB99"/>
    <w:rsid w:val="78FC100F"/>
    <w:rsid w:val="7901570A"/>
    <w:rsid w:val="7903F707"/>
    <w:rsid w:val="791416F7"/>
    <w:rsid w:val="7916F8BF"/>
    <w:rsid w:val="791770B1"/>
    <w:rsid w:val="791BA4F4"/>
    <w:rsid w:val="7922BDC7"/>
    <w:rsid w:val="7922CA69"/>
    <w:rsid w:val="792C53AE"/>
    <w:rsid w:val="7937F02B"/>
    <w:rsid w:val="793F716A"/>
    <w:rsid w:val="793FF3E1"/>
    <w:rsid w:val="79423A71"/>
    <w:rsid w:val="79436B99"/>
    <w:rsid w:val="7944E1A0"/>
    <w:rsid w:val="7946DA84"/>
    <w:rsid w:val="794FBF8B"/>
    <w:rsid w:val="79526521"/>
    <w:rsid w:val="7952794E"/>
    <w:rsid w:val="7957ED01"/>
    <w:rsid w:val="795BAD03"/>
    <w:rsid w:val="795D7E2D"/>
    <w:rsid w:val="795FF902"/>
    <w:rsid w:val="79665D1E"/>
    <w:rsid w:val="796D25B1"/>
    <w:rsid w:val="796DE9D9"/>
    <w:rsid w:val="797D26C3"/>
    <w:rsid w:val="7982D7C2"/>
    <w:rsid w:val="798659BA"/>
    <w:rsid w:val="7989BAA7"/>
    <w:rsid w:val="798AB7E3"/>
    <w:rsid w:val="799A1815"/>
    <w:rsid w:val="79A5EF44"/>
    <w:rsid w:val="79AEF1A6"/>
    <w:rsid w:val="79AFCB53"/>
    <w:rsid w:val="79B2ECE3"/>
    <w:rsid w:val="79B9F570"/>
    <w:rsid w:val="79BA490F"/>
    <w:rsid w:val="79C105C3"/>
    <w:rsid w:val="79C18BE7"/>
    <w:rsid w:val="79C73E61"/>
    <w:rsid w:val="79D5016A"/>
    <w:rsid w:val="79D8A6C0"/>
    <w:rsid w:val="79DD1B73"/>
    <w:rsid w:val="79E4A16B"/>
    <w:rsid w:val="79EB24FE"/>
    <w:rsid w:val="79FF1811"/>
    <w:rsid w:val="7A0F0C7B"/>
    <w:rsid w:val="7A196809"/>
    <w:rsid w:val="7A1A1C08"/>
    <w:rsid w:val="7A1E4442"/>
    <w:rsid w:val="7A23C06D"/>
    <w:rsid w:val="7A341A53"/>
    <w:rsid w:val="7A3524D8"/>
    <w:rsid w:val="7A3AAED1"/>
    <w:rsid w:val="7A3C36D9"/>
    <w:rsid w:val="7A3CB100"/>
    <w:rsid w:val="7A401F96"/>
    <w:rsid w:val="7A42AC42"/>
    <w:rsid w:val="7A47529D"/>
    <w:rsid w:val="7A645A51"/>
    <w:rsid w:val="7A6466D7"/>
    <w:rsid w:val="7A653C64"/>
    <w:rsid w:val="7A6B25D0"/>
    <w:rsid w:val="7A6CF862"/>
    <w:rsid w:val="7A731634"/>
    <w:rsid w:val="7A84EE71"/>
    <w:rsid w:val="7A87D866"/>
    <w:rsid w:val="7A8C806A"/>
    <w:rsid w:val="7A8E0242"/>
    <w:rsid w:val="7A92B243"/>
    <w:rsid w:val="7A92F667"/>
    <w:rsid w:val="7AA07497"/>
    <w:rsid w:val="7AA9325F"/>
    <w:rsid w:val="7AAA93DE"/>
    <w:rsid w:val="7AAD1B5E"/>
    <w:rsid w:val="7AB01799"/>
    <w:rsid w:val="7AB21346"/>
    <w:rsid w:val="7AB8FF0F"/>
    <w:rsid w:val="7ABA2545"/>
    <w:rsid w:val="7ABE47E4"/>
    <w:rsid w:val="7ADD6CCF"/>
    <w:rsid w:val="7AE894FE"/>
    <w:rsid w:val="7AEBBEB4"/>
    <w:rsid w:val="7AEE8FAC"/>
    <w:rsid w:val="7AF5C165"/>
    <w:rsid w:val="7AF8B9E9"/>
    <w:rsid w:val="7AF8BD7C"/>
    <w:rsid w:val="7AFA84F4"/>
    <w:rsid w:val="7B06F087"/>
    <w:rsid w:val="7B0ABE71"/>
    <w:rsid w:val="7B0C180F"/>
    <w:rsid w:val="7B0E46F0"/>
    <w:rsid w:val="7B1273E1"/>
    <w:rsid w:val="7B16EEBA"/>
    <w:rsid w:val="7B1EC7F0"/>
    <w:rsid w:val="7B1EE44C"/>
    <w:rsid w:val="7B2087BD"/>
    <w:rsid w:val="7B2B76F6"/>
    <w:rsid w:val="7B39167E"/>
    <w:rsid w:val="7B3AEA1D"/>
    <w:rsid w:val="7B3CD925"/>
    <w:rsid w:val="7B42E961"/>
    <w:rsid w:val="7B45FA4A"/>
    <w:rsid w:val="7B45FB41"/>
    <w:rsid w:val="7B53E51A"/>
    <w:rsid w:val="7B54A981"/>
    <w:rsid w:val="7B5E6EE6"/>
    <w:rsid w:val="7B60254C"/>
    <w:rsid w:val="7B619F81"/>
    <w:rsid w:val="7B635050"/>
    <w:rsid w:val="7B6A982A"/>
    <w:rsid w:val="7B6C1107"/>
    <w:rsid w:val="7B723512"/>
    <w:rsid w:val="7B72E876"/>
    <w:rsid w:val="7B80FD38"/>
    <w:rsid w:val="7B81D54F"/>
    <w:rsid w:val="7B83EE5E"/>
    <w:rsid w:val="7B85811A"/>
    <w:rsid w:val="7B94977E"/>
    <w:rsid w:val="7B983584"/>
    <w:rsid w:val="7B9BB94E"/>
    <w:rsid w:val="7BB1F387"/>
    <w:rsid w:val="7BB94DDE"/>
    <w:rsid w:val="7BBDA1B6"/>
    <w:rsid w:val="7BC9F0C3"/>
    <w:rsid w:val="7BCD8FD6"/>
    <w:rsid w:val="7BD01D58"/>
    <w:rsid w:val="7BD6D279"/>
    <w:rsid w:val="7BDDDDC9"/>
    <w:rsid w:val="7BDF15E1"/>
    <w:rsid w:val="7BE055F7"/>
    <w:rsid w:val="7BE6A1DF"/>
    <w:rsid w:val="7BEA859D"/>
    <w:rsid w:val="7BEBABF7"/>
    <w:rsid w:val="7BEF3524"/>
    <w:rsid w:val="7BF46215"/>
    <w:rsid w:val="7BF9572D"/>
    <w:rsid w:val="7BF9D6BE"/>
    <w:rsid w:val="7BFF3B81"/>
    <w:rsid w:val="7C068B37"/>
    <w:rsid w:val="7C085B5B"/>
    <w:rsid w:val="7C0DF903"/>
    <w:rsid w:val="7C0FF16B"/>
    <w:rsid w:val="7C130071"/>
    <w:rsid w:val="7C134250"/>
    <w:rsid w:val="7C2071E4"/>
    <w:rsid w:val="7C246FFE"/>
    <w:rsid w:val="7C29D887"/>
    <w:rsid w:val="7C2DBB33"/>
    <w:rsid w:val="7C32013B"/>
    <w:rsid w:val="7C3483C5"/>
    <w:rsid w:val="7C3B8687"/>
    <w:rsid w:val="7C40CE43"/>
    <w:rsid w:val="7C41B538"/>
    <w:rsid w:val="7C42DE2D"/>
    <w:rsid w:val="7C44F2AF"/>
    <w:rsid w:val="7C49396F"/>
    <w:rsid w:val="7C51FE20"/>
    <w:rsid w:val="7C580BFC"/>
    <w:rsid w:val="7C59BE6C"/>
    <w:rsid w:val="7C5AB163"/>
    <w:rsid w:val="7C63F2E1"/>
    <w:rsid w:val="7C66A834"/>
    <w:rsid w:val="7C69EA82"/>
    <w:rsid w:val="7C6FAFF2"/>
    <w:rsid w:val="7C73B201"/>
    <w:rsid w:val="7C73C44C"/>
    <w:rsid w:val="7C743D07"/>
    <w:rsid w:val="7C7C88FE"/>
    <w:rsid w:val="7C7FA1A4"/>
    <w:rsid w:val="7C865DA7"/>
    <w:rsid w:val="7C9082CA"/>
    <w:rsid w:val="7C96407F"/>
    <w:rsid w:val="7C9683A6"/>
    <w:rsid w:val="7C99809C"/>
    <w:rsid w:val="7C9B14EE"/>
    <w:rsid w:val="7C9B1748"/>
    <w:rsid w:val="7C9FB879"/>
    <w:rsid w:val="7CA60D72"/>
    <w:rsid w:val="7CAFF4AD"/>
    <w:rsid w:val="7CB3AADB"/>
    <w:rsid w:val="7CBCD0C4"/>
    <w:rsid w:val="7CBEF87B"/>
    <w:rsid w:val="7CC1987F"/>
    <w:rsid w:val="7CC6A4B5"/>
    <w:rsid w:val="7CCBA2DE"/>
    <w:rsid w:val="7CD2B1EC"/>
    <w:rsid w:val="7CD64BEB"/>
    <w:rsid w:val="7CE09023"/>
    <w:rsid w:val="7CE1BE00"/>
    <w:rsid w:val="7CEAA1C1"/>
    <w:rsid w:val="7CEAA543"/>
    <w:rsid w:val="7CF5F207"/>
    <w:rsid w:val="7D1590C7"/>
    <w:rsid w:val="7D184323"/>
    <w:rsid w:val="7D1C7FAA"/>
    <w:rsid w:val="7D239388"/>
    <w:rsid w:val="7D3EA855"/>
    <w:rsid w:val="7D521A88"/>
    <w:rsid w:val="7D551E10"/>
    <w:rsid w:val="7D62417B"/>
    <w:rsid w:val="7D65C0C8"/>
    <w:rsid w:val="7D69D4FA"/>
    <w:rsid w:val="7D6A5A9C"/>
    <w:rsid w:val="7D6AA976"/>
    <w:rsid w:val="7D6B0B7A"/>
    <w:rsid w:val="7D73D38A"/>
    <w:rsid w:val="7D746ECE"/>
    <w:rsid w:val="7D77C4CC"/>
    <w:rsid w:val="7D77CA0C"/>
    <w:rsid w:val="7D7A33C0"/>
    <w:rsid w:val="7D7BA51D"/>
    <w:rsid w:val="7D7D753A"/>
    <w:rsid w:val="7D897281"/>
    <w:rsid w:val="7D93E1DF"/>
    <w:rsid w:val="7D94DB6F"/>
    <w:rsid w:val="7D993B3B"/>
    <w:rsid w:val="7D9DDE0D"/>
    <w:rsid w:val="7DA14A9C"/>
    <w:rsid w:val="7DA2D1A6"/>
    <w:rsid w:val="7DAAF085"/>
    <w:rsid w:val="7DAB1884"/>
    <w:rsid w:val="7DACDFCE"/>
    <w:rsid w:val="7DBEFC6E"/>
    <w:rsid w:val="7DC13018"/>
    <w:rsid w:val="7DC1DEA7"/>
    <w:rsid w:val="7DC39A18"/>
    <w:rsid w:val="7DDB3437"/>
    <w:rsid w:val="7DE3F433"/>
    <w:rsid w:val="7DE960D2"/>
    <w:rsid w:val="7DEAB660"/>
    <w:rsid w:val="7DEEA0FB"/>
    <w:rsid w:val="7DF42495"/>
    <w:rsid w:val="7DF69FF2"/>
    <w:rsid w:val="7E028A87"/>
    <w:rsid w:val="7E05919A"/>
    <w:rsid w:val="7E103C24"/>
    <w:rsid w:val="7E120BC5"/>
    <w:rsid w:val="7E16B5AB"/>
    <w:rsid w:val="7E17F3D0"/>
    <w:rsid w:val="7E1BAE04"/>
    <w:rsid w:val="7E1E41E3"/>
    <w:rsid w:val="7E2D2032"/>
    <w:rsid w:val="7E2D99D0"/>
    <w:rsid w:val="7E3D743F"/>
    <w:rsid w:val="7E469556"/>
    <w:rsid w:val="7E523709"/>
    <w:rsid w:val="7E55A822"/>
    <w:rsid w:val="7E635151"/>
    <w:rsid w:val="7E65A376"/>
    <w:rsid w:val="7E6CBF84"/>
    <w:rsid w:val="7E7C1F16"/>
    <w:rsid w:val="7E90FEA0"/>
    <w:rsid w:val="7E934575"/>
    <w:rsid w:val="7E9BCBA6"/>
    <w:rsid w:val="7EA5A948"/>
    <w:rsid w:val="7EA6D479"/>
    <w:rsid w:val="7EAA02A8"/>
    <w:rsid w:val="7EB783BB"/>
    <w:rsid w:val="7ECA86A1"/>
    <w:rsid w:val="7ECB5A50"/>
    <w:rsid w:val="7ECB8F4F"/>
    <w:rsid w:val="7ECD36F8"/>
    <w:rsid w:val="7ECED756"/>
    <w:rsid w:val="7ED7AA2B"/>
    <w:rsid w:val="7EE13DC8"/>
    <w:rsid w:val="7EE55EBD"/>
    <w:rsid w:val="7EE78F99"/>
    <w:rsid w:val="7EE7E418"/>
    <w:rsid w:val="7EEB6F6E"/>
    <w:rsid w:val="7EF7A483"/>
    <w:rsid w:val="7EFB2EE5"/>
    <w:rsid w:val="7EFC9B4D"/>
    <w:rsid w:val="7F01176F"/>
    <w:rsid w:val="7F0412D0"/>
    <w:rsid w:val="7F0D97CC"/>
    <w:rsid w:val="7F0E95C2"/>
    <w:rsid w:val="7F11BAEC"/>
    <w:rsid w:val="7F149023"/>
    <w:rsid w:val="7F16F581"/>
    <w:rsid w:val="7F1C832B"/>
    <w:rsid w:val="7F1F7356"/>
    <w:rsid w:val="7F281718"/>
    <w:rsid w:val="7F2C08C0"/>
    <w:rsid w:val="7F2C6676"/>
    <w:rsid w:val="7F31CE26"/>
    <w:rsid w:val="7F3710E1"/>
    <w:rsid w:val="7F3F4C25"/>
    <w:rsid w:val="7F4D57F4"/>
    <w:rsid w:val="7F5955E3"/>
    <w:rsid w:val="7F5C3130"/>
    <w:rsid w:val="7F618865"/>
    <w:rsid w:val="7F7A986B"/>
    <w:rsid w:val="7F88A96F"/>
    <w:rsid w:val="7F8F0A41"/>
    <w:rsid w:val="7F8F1160"/>
    <w:rsid w:val="7F94841E"/>
    <w:rsid w:val="7F978C3E"/>
    <w:rsid w:val="7F9A4D7C"/>
    <w:rsid w:val="7F9E51D2"/>
    <w:rsid w:val="7FA92921"/>
    <w:rsid w:val="7FB3DAF1"/>
    <w:rsid w:val="7FC2ACB7"/>
    <w:rsid w:val="7FC7759C"/>
    <w:rsid w:val="7FCAA183"/>
    <w:rsid w:val="7FCDA6C2"/>
    <w:rsid w:val="7FD39733"/>
    <w:rsid w:val="7FD5054D"/>
    <w:rsid w:val="7FD5D129"/>
    <w:rsid w:val="7FD8B0BE"/>
    <w:rsid w:val="7FDBAE7C"/>
    <w:rsid w:val="7FDCDE68"/>
    <w:rsid w:val="7FE94091"/>
    <w:rsid w:val="7FF29F93"/>
    <w:rsid w:val="7FF4639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mso-position-horizontal-relative:margin;mso-position-vertical:center;mso-position-vertical-relative:margin" fill="f" fillcolor="#a6a6a6" stroke="f">
      <v:fill color="#a6a6a6" on="f"/>
      <v:stroke on="f"/>
      <v:shadow color="#868686"/>
      <v:textbox inset="5.85pt,.7pt,5.85pt,.7pt"/>
    </o:shapedefaults>
    <o:shapelayout v:ext="edit">
      <o:idmap v:ext="edit" data="2"/>
    </o:shapelayout>
  </w:shapeDefaults>
  <w:decimalSymbol w:val="."/>
  <w:listSeparator w:val=","/>
  <w14:docId w14:val="38C51594"/>
  <w15:docId w15:val="{64986338-D1B4-459A-A7CE-8B36C10B1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FFB"/>
    <w:pPr>
      <w:jc w:val="both"/>
    </w:pPr>
    <w:rPr>
      <w:rFonts w:ascii="Arial" w:eastAsia="Times New Roman" w:hAnsi="Arial"/>
      <w:sz w:val="22"/>
      <w:lang w:eastAsia="de-DE"/>
    </w:rPr>
  </w:style>
  <w:style w:type="paragraph" w:styleId="Heading1">
    <w:name w:val="heading 1"/>
    <w:basedOn w:val="Normal"/>
    <w:next w:val="Normal"/>
    <w:link w:val="Heading1Char"/>
    <w:qFormat/>
    <w:rsid w:val="00DC5FFB"/>
    <w:pPr>
      <w:keepNext/>
      <w:keepLines/>
      <w:numPr>
        <w:numId w:val="15"/>
      </w:numPr>
      <w:spacing w:before="48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2">
    <w:name w:val="heading 2"/>
    <w:basedOn w:val="Normal"/>
    <w:next w:val="Normal"/>
    <w:link w:val="Heading2Char"/>
    <w:unhideWhenUsed/>
    <w:qFormat/>
    <w:rsid w:val="00DC5FFB"/>
    <w:pPr>
      <w:keepNext/>
      <w:keepLines/>
      <w:numPr>
        <w:ilvl w:val="1"/>
        <w:numId w:val="15"/>
      </w:numPr>
      <w:spacing w:before="200"/>
      <w:outlineLvl w:val="1"/>
    </w:pPr>
    <w:rPr>
      <w:rFonts w:asciiTheme="majorHAnsi" w:eastAsiaTheme="majorEastAsia" w:hAnsiTheme="majorHAnsi" w:cstheme="majorBidi"/>
      <w:b/>
      <w:bCs/>
      <w:color w:val="4F81BD" w:themeColor="accent1"/>
      <w:sz w:val="26"/>
      <w:szCs w:val="26"/>
      <w:lang w:val="en-US" w:eastAsia="en-US"/>
    </w:rPr>
  </w:style>
  <w:style w:type="paragraph" w:styleId="Heading3">
    <w:name w:val="heading 3"/>
    <w:basedOn w:val="Normal"/>
    <w:next w:val="Normal"/>
    <w:link w:val="Heading3Char"/>
    <w:unhideWhenUsed/>
    <w:qFormat/>
    <w:rsid w:val="00DC5FFB"/>
    <w:pPr>
      <w:keepNext/>
      <w:keepLines/>
      <w:numPr>
        <w:ilvl w:val="2"/>
        <w:numId w:val="15"/>
      </w:numPr>
      <w:spacing w:before="200"/>
      <w:outlineLvl w:val="2"/>
    </w:pPr>
    <w:rPr>
      <w:rFonts w:asciiTheme="majorHAnsi" w:eastAsiaTheme="majorEastAsia" w:hAnsiTheme="majorHAnsi" w:cstheme="majorBidi"/>
      <w:b/>
      <w:bCs/>
      <w:color w:val="4F81BD" w:themeColor="accent1"/>
      <w:sz w:val="24"/>
      <w:szCs w:val="24"/>
      <w:lang w:val="en-US" w:eastAsia="en-US"/>
    </w:rPr>
  </w:style>
  <w:style w:type="paragraph" w:styleId="Heading4">
    <w:name w:val="heading 4"/>
    <w:basedOn w:val="Normal"/>
    <w:next w:val="Normal"/>
    <w:link w:val="Heading4Char"/>
    <w:unhideWhenUsed/>
    <w:qFormat/>
    <w:rsid w:val="00DC5FFB"/>
    <w:pPr>
      <w:keepNext/>
      <w:keepLines/>
      <w:numPr>
        <w:ilvl w:val="3"/>
        <w:numId w:val="15"/>
      </w:numPr>
      <w:spacing w:before="200"/>
      <w:outlineLvl w:val="3"/>
    </w:pPr>
    <w:rPr>
      <w:rFonts w:asciiTheme="majorHAnsi" w:eastAsiaTheme="majorEastAsia" w:hAnsiTheme="majorHAnsi" w:cstheme="majorBidi"/>
      <w:b/>
      <w:bCs/>
      <w:i/>
      <w:iCs/>
      <w:color w:val="4F81BD" w:themeColor="accent1"/>
      <w:sz w:val="24"/>
      <w:szCs w:val="24"/>
      <w:lang w:val="en-US" w:eastAsia="en-US"/>
    </w:rPr>
  </w:style>
  <w:style w:type="paragraph" w:styleId="Heading5">
    <w:name w:val="heading 5"/>
    <w:basedOn w:val="Normal"/>
    <w:next w:val="Normal"/>
    <w:link w:val="Heading5Char"/>
    <w:unhideWhenUsed/>
    <w:qFormat/>
    <w:rsid w:val="00DC5FFB"/>
    <w:pPr>
      <w:keepNext/>
      <w:keepLines/>
      <w:numPr>
        <w:ilvl w:val="4"/>
        <w:numId w:val="15"/>
      </w:numPr>
      <w:spacing w:before="200"/>
      <w:outlineLvl w:val="4"/>
    </w:pPr>
    <w:rPr>
      <w:rFonts w:asciiTheme="majorHAnsi" w:eastAsiaTheme="majorEastAsia" w:hAnsiTheme="majorHAnsi" w:cstheme="majorBidi"/>
      <w:color w:val="243F60" w:themeColor="accent1" w:themeShade="7F"/>
      <w:sz w:val="24"/>
      <w:szCs w:val="24"/>
      <w:lang w:val="en-US" w:eastAsia="en-US"/>
    </w:rPr>
  </w:style>
  <w:style w:type="paragraph" w:styleId="Heading6">
    <w:name w:val="heading 6"/>
    <w:basedOn w:val="Normal"/>
    <w:next w:val="Normal"/>
    <w:link w:val="Heading6Char"/>
    <w:unhideWhenUsed/>
    <w:qFormat/>
    <w:rsid w:val="00DC5FFB"/>
    <w:pPr>
      <w:keepNext/>
      <w:keepLines/>
      <w:numPr>
        <w:ilvl w:val="5"/>
        <w:numId w:val="15"/>
      </w:numPr>
      <w:spacing w:before="200"/>
      <w:outlineLvl w:val="5"/>
    </w:pPr>
    <w:rPr>
      <w:rFonts w:asciiTheme="majorHAnsi" w:eastAsiaTheme="majorEastAsia" w:hAnsiTheme="majorHAnsi" w:cstheme="majorBidi"/>
      <w:i/>
      <w:iCs/>
      <w:color w:val="243F60" w:themeColor="accent1" w:themeShade="7F"/>
      <w:sz w:val="24"/>
      <w:szCs w:val="24"/>
      <w:lang w:val="en-US" w:eastAsia="en-US"/>
    </w:rPr>
  </w:style>
  <w:style w:type="paragraph" w:styleId="Heading7">
    <w:name w:val="heading 7"/>
    <w:basedOn w:val="Normal"/>
    <w:next w:val="Normal"/>
    <w:link w:val="Heading7Char"/>
    <w:unhideWhenUsed/>
    <w:qFormat/>
    <w:rsid w:val="00DC5FFB"/>
    <w:pPr>
      <w:keepNext/>
      <w:keepLines/>
      <w:numPr>
        <w:ilvl w:val="6"/>
        <w:numId w:val="15"/>
      </w:numPr>
      <w:spacing w:before="200"/>
      <w:outlineLvl w:val="6"/>
    </w:pPr>
    <w:rPr>
      <w:rFonts w:asciiTheme="majorHAnsi" w:eastAsiaTheme="majorEastAsia" w:hAnsiTheme="majorHAnsi" w:cstheme="majorBidi"/>
      <w:i/>
      <w:iCs/>
      <w:color w:val="404040" w:themeColor="text1" w:themeTint="BF"/>
      <w:sz w:val="24"/>
      <w:szCs w:val="24"/>
      <w:lang w:val="en-US" w:eastAsia="en-US"/>
    </w:rPr>
  </w:style>
  <w:style w:type="paragraph" w:styleId="Heading8">
    <w:name w:val="heading 8"/>
    <w:basedOn w:val="Normal"/>
    <w:next w:val="Normal"/>
    <w:link w:val="Heading8Char"/>
    <w:unhideWhenUsed/>
    <w:qFormat/>
    <w:rsid w:val="00DC5FFB"/>
    <w:pPr>
      <w:keepNext/>
      <w:keepLines/>
      <w:numPr>
        <w:ilvl w:val="7"/>
        <w:numId w:val="15"/>
      </w:numPr>
      <w:spacing w:before="200"/>
      <w:outlineLvl w:val="7"/>
    </w:pPr>
    <w:rPr>
      <w:rFonts w:asciiTheme="majorHAnsi" w:eastAsiaTheme="majorEastAsia" w:hAnsiTheme="majorHAnsi" w:cstheme="majorBidi"/>
      <w:color w:val="404040" w:themeColor="text1" w:themeTint="BF"/>
      <w:sz w:val="20"/>
      <w:lang w:val="en-US" w:eastAsia="en-US"/>
    </w:rPr>
  </w:style>
  <w:style w:type="paragraph" w:styleId="Heading9">
    <w:name w:val="heading 9"/>
    <w:basedOn w:val="Normal"/>
    <w:next w:val="Normal"/>
    <w:link w:val="Heading9Char"/>
    <w:unhideWhenUsed/>
    <w:qFormat/>
    <w:rsid w:val="00DC5FFB"/>
    <w:pPr>
      <w:keepNext/>
      <w:keepLines/>
      <w:numPr>
        <w:ilvl w:val="8"/>
        <w:numId w:val="15"/>
      </w:numPr>
      <w:spacing w:before="200"/>
      <w:outlineLvl w:val="8"/>
    </w:pPr>
    <w:rPr>
      <w:rFonts w:asciiTheme="majorHAnsi" w:eastAsiaTheme="majorEastAsia" w:hAnsiTheme="majorHAnsi" w:cstheme="majorBidi"/>
      <w:i/>
      <w:iCs/>
      <w:color w:val="404040" w:themeColor="text1" w:themeTint="BF"/>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5FFB"/>
    <w:pPr>
      <w:tabs>
        <w:tab w:val="center" w:pos="4320"/>
        <w:tab w:val="right" w:pos="8640"/>
      </w:tabs>
    </w:pPr>
  </w:style>
  <w:style w:type="paragraph" w:styleId="Footer">
    <w:name w:val="footer"/>
    <w:basedOn w:val="Normal"/>
    <w:rsid w:val="00DC5FFB"/>
    <w:pPr>
      <w:tabs>
        <w:tab w:val="center" w:pos="4320"/>
        <w:tab w:val="right" w:pos="8640"/>
      </w:tabs>
    </w:pPr>
  </w:style>
  <w:style w:type="paragraph" w:styleId="TOC3">
    <w:name w:val="toc 3"/>
    <w:basedOn w:val="TOC1"/>
    <w:link w:val="TOC3Char"/>
    <w:uiPriority w:val="39"/>
    <w:rsid w:val="00DC5FFB"/>
    <w:pPr>
      <w:ind w:left="2268" w:hanging="992"/>
    </w:pPr>
    <w:rPr>
      <w:b w:val="0"/>
      <w:caps w:val="0"/>
    </w:rPr>
  </w:style>
  <w:style w:type="paragraph" w:styleId="TOC2">
    <w:name w:val="toc 2"/>
    <w:basedOn w:val="TOC1"/>
    <w:link w:val="TOC2Char"/>
    <w:uiPriority w:val="39"/>
    <w:rsid w:val="00DC5FFB"/>
    <w:pPr>
      <w:ind w:left="1276" w:hanging="709"/>
    </w:pPr>
    <w:rPr>
      <w:b w:val="0"/>
      <w:caps w:val="0"/>
    </w:rPr>
  </w:style>
  <w:style w:type="paragraph" w:styleId="TOC1">
    <w:name w:val="toc 1"/>
    <w:basedOn w:val="Normal"/>
    <w:link w:val="TOC1Char"/>
    <w:uiPriority w:val="39"/>
    <w:rsid w:val="00DC5FFB"/>
    <w:pPr>
      <w:tabs>
        <w:tab w:val="left" w:leader="dot" w:pos="8222"/>
        <w:tab w:val="right" w:pos="9356"/>
      </w:tabs>
      <w:spacing w:before="180"/>
      <w:ind w:left="567" w:right="1418" w:hanging="567"/>
      <w:jc w:val="left"/>
    </w:pPr>
    <w:rPr>
      <w:rFonts w:cs="Arial"/>
      <w:b/>
      <w:caps/>
      <w:sz w:val="21"/>
      <w:szCs w:val="21"/>
    </w:rPr>
  </w:style>
  <w:style w:type="paragraph" w:styleId="FootnoteText">
    <w:name w:val="footnote text"/>
    <w:basedOn w:val="Normal"/>
    <w:link w:val="FootnoteTextChar"/>
    <w:rsid w:val="009C792C"/>
    <w:pPr>
      <w:keepLines/>
      <w:numPr>
        <w:numId w:val="24"/>
      </w:numPr>
      <w:spacing w:before="120" w:after="60"/>
    </w:pPr>
    <w:rPr>
      <w:sz w:val="20"/>
    </w:rPr>
  </w:style>
  <w:style w:type="character" w:styleId="Hyperlink">
    <w:name w:val="Hyperlink"/>
    <w:uiPriority w:val="99"/>
    <w:rsid w:val="00DC5FFB"/>
    <w:rPr>
      <w:color w:val="0000FF"/>
      <w:u w:val="single"/>
    </w:rPr>
  </w:style>
  <w:style w:type="paragraph" w:styleId="EndnoteText">
    <w:name w:val="endnote text"/>
    <w:basedOn w:val="Normal"/>
    <w:rsid w:val="00DC5FFB"/>
    <w:rPr>
      <w:rFonts w:eastAsia="MS Mincho"/>
      <w:lang w:eastAsia="en-US"/>
    </w:rPr>
  </w:style>
  <w:style w:type="paragraph" w:styleId="CommentText">
    <w:name w:val="annotation text"/>
    <w:basedOn w:val="Normal"/>
    <w:link w:val="CommentTextChar"/>
    <w:rsid w:val="00DC5FFB"/>
    <w:rPr>
      <w:rFonts w:eastAsia="MS Mincho"/>
      <w:sz w:val="20"/>
      <w:lang w:eastAsia="en-US"/>
    </w:rPr>
  </w:style>
  <w:style w:type="paragraph" w:styleId="Caption">
    <w:name w:val="caption"/>
    <w:basedOn w:val="Normal"/>
    <w:link w:val="CaptionChar"/>
    <w:qFormat/>
    <w:rsid w:val="00DC5FFB"/>
    <w:pPr>
      <w:keepNext/>
      <w:keepLines/>
      <w:tabs>
        <w:tab w:val="left" w:pos="1134"/>
        <w:tab w:val="left" w:pos="1956"/>
        <w:tab w:val="left" w:pos="2126"/>
        <w:tab w:val="left" w:pos="2693"/>
        <w:tab w:val="left" w:pos="3260"/>
      </w:tabs>
      <w:spacing w:before="320" w:after="120"/>
      <w:ind w:left="1956" w:hanging="1247"/>
    </w:pPr>
    <w:rPr>
      <w:b/>
      <w:bCs/>
      <w:sz w:val="20"/>
    </w:rPr>
  </w:style>
  <w:style w:type="paragraph" w:styleId="TOC9">
    <w:name w:val="toc 9"/>
    <w:basedOn w:val="Normal"/>
    <w:next w:val="Normal"/>
    <w:autoRedefine/>
    <w:uiPriority w:val="39"/>
    <w:rsid w:val="00DC5FFB"/>
    <w:pPr>
      <w:ind w:left="1760"/>
    </w:pPr>
  </w:style>
  <w:style w:type="paragraph" w:styleId="CommentSubject">
    <w:name w:val="annotation subject"/>
    <w:basedOn w:val="CommentText"/>
    <w:next w:val="CommentText"/>
    <w:rsid w:val="00DC5FFB"/>
    <w:rPr>
      <w:rFonts w:eastAsia="Times New Roman"/>
      <w:b/>
      <w:bCs/>
      <w:lang w:eastAsia="de-DE"/>
    </w:rPr>
  </w:style>
  <w:style w:type="paragraph" w:styleId="IndexHeading">
    <w:name w:val="index heading"/>
    <w:basedOn w:val="Normal"/>
    <w:next w:val="Normal"/>
    <w:rsid w:val="00DC5FFB"/>
    <w:rPr>
      <w:rFonts w:cs="Arial"/>
      <w:b/>
      <w:bCs/>
    </w:rPr>
  </w:style>
  <w:style w:type="paragraph" w:styleId="TableofAuthorities">
    <w:name w:val="table of authorities"/>
    <w:basedOn w:val="Normal"/>
    <w:next w:val="Normal"/>
    <w:rsid w:val="00DC5FFB"/>
    <w:pPr>
      <w:ind w:left="220" w:hanging="220"/>
    </w:pPr>
  </w:style>
  <w:style w:type="paragraph" w:styleId="TableofFigures">
    <w:name w:val="table of figures"/>
    <w:basedOn w:val="Normal"/>
    <w:next w:val="Normal"/>
    <w:rsid w:val="00DC5FFB"/>
  </w:style>
  <w:style w:type="paragraph" w:styleId="TOAHeading">
    <w:name w:val="toa heading"/>
    <w:basedOn w:val="Normal"/>
    <w:next w:val="Normal"/>
    <w:rsid w:val="00DC5FFB"/>
    <w:pPr>
      <w:spacing w:before="120"/>
    </w:pPr>
    <w:rPr>
      <w:rFonts w:cs="Arial"/>
      <w:b/>
      <w:bCs/>
      <w:sz w:val="24"/>
      <w:szCs w:val="24"/>
    </w:rPr>
  </w:style>
  <w:style w:type="paragraph" w:styleId="TOC4">
    <w:name w:val="toc 4"/>
    <w:basedOn w:val="TOC1"/>
    <w:uiPriority w:val="39"/>
    <w:rsid w:val="00DC5FFB"/>
    <w:pPr>
      <w:ind w:left="3544" w:hanging="1276"/>
    </w:pPr>
    <w:rPr>
      <w:b w:val="0"/>
      <w:caps w:val="0"/>
      <w:noProof/>
    </w:rPr>
  </w:style>
  <w:style w:type="paragraph" w:styleId="TOC5">
    <w:name w:val="toc 5"/>
    <w:basedOn w:val="TOC1"/>
    <w:uiPriority w:val="39"/>
    <w:rsid w:val="00DC5FFB"/>
    <w:pPr>
      <w:ind w:left="5103" w:hanging="1559"/>
    </w:pPr>
    <w:rPr>
      <w:b w:val="0"/>
      <w:caps w:val="0"/>
      <w:noProof/>
    </w:rPr>
  </w:style>
  <w:style w:type="paragraph" w:styleId="TOC6">
    <w:name w:val="toc 6"/>
    <w:basedOn w:val="TOC1"/>
    <w:next w:val="Normal"/>
    <w:uiPriority w:val="39"/>
    <w:rsid w:val="00DC5FFB"/>
    <w:pPr>
      <w:ind w:left="1588" w:hanging="1588"/>
    </w:pPr>
    <w:rPr>
      <w:noProof/>
    </w:rPr>
  </w:style>
  <w:style w:type="paragraph" w:styleId="TOC7">
    <w:name w:val="toc 7"/>
    <w:basedOn w:val="Normal"/>
    <w:next w:val="Normal"/>
    <w:autoRedefine/>
    <w:uiPriority w:val="39"/>
    <w:rsid w:val="00DC5FFB"/>
    <w:pPr>
      <w:ind w:left="1320"/>
    </w:pPr>
  </w:style>
  <w:style w:type="paragraph" w:styleId="TOC8">
    <w:name w:val="toc 8"/>
    <w:basedOn w:val="Normal"/>
    <w:next w:val="Normal"/>
    <w:autoRedefine/>
    <w:uiPriority w:val="39"/>
    <w:rsid w:val="00DC5FFB"/>
    <w:pPr>
      <w:ind w:left="1540"/>
    </w:pPr>
  </w:style>
  <w:style w:type="paragraph" w:customStyle="1" w:styleId="SDMTiHead">
    <w:name w:val="SDMTiHead"/>
    <w:basedOn w:val="Header"/>
    <w:rsid w:val="009C792C"/>
    <w:pPr>
      <w:ind w:left="-330" w:firstLine="330"/>
    </w:pPr>
    <w:rPr>
      <w:rFonts w:cs="Arial"/>
      <w:caps/>
      <w:szCs w:val="19"/>
    </w:rPr>
  </w:style>
  <w:style w:type="paragraph" w:customStyle="1" w:styleId="SDMTitle2">
    <w:name w:val="SDMTitle2"/>
    <w:basedOn w:val="Normal"/>
    <w:rsid w:val="009C792C"/>
    <w:pPr>
      <w:spacing w:after="600"/>
      <w:jc w:val="left"/>
    </w:pPr>
    <w:rPr>
      <w:rFonts w:cs="Arial"/>
      <w:sz w:val="48"/>
      <w:szCs w:val="48"/>
    </w:rPr>
  </w:style>
  <w:style w:type="paragraph" w:customStyle="1" w:styleId="SDMTitle1">
    <w:name w:val="SDMTitle1"/>
    <w:basedOn w:val="Normal"/>
    <w:rsid w:val="009C792C"/>
    <w:pPr>
      <w:pBdr>
        <w:bottom w:val="single" w:sz="12" w:space="7" w:color="auto"/>
      </w:pBdr>
      <w:spacing w:before="1800" w:after="200"/>
      <w:jc w:val="left"/>
    </w:pPr>
    <w:rPr>
      <w:rFonts w:cs="Arial"/>
      <w:sz w:val="48"/>
      <w:szCs w:val="48"/>
    </w:rPr>
  </w:style>
  <w:style w:type="paragraph" w:customStyle="1" w:styleId="SDMTiInfo">
    <w:name w:val="SDMTiInfo"/>
    <w:basedOn w:val="Normal"/>
    <w:rsid w:val="009C792C"/>
    <w:pPr>
      <w:spacing w:before="300"/>
    </w:pPr>
    <w:rPr>
      <w:rFonts w:cs="Arial"/>
      <w:szCs w:val="22"/>
    </w:rPr>
  </w:style>
  <w:style w:type="paragraph" w:customStyle="1" w:styleId="SDMHead1">
    <w:name w:val="SDMHead1"/>
    <w:basedOn w:val="Normal"/>
    <w:link w:val="SDMHead1Char"/>
    <w:rsid w:val="009C792C"/>
    <w:pPr>
      <w:keepNext/>
      <w:keepLines/>
      <w:numPr>
        <w:numId w:val="25"/>
      </w:numPr>
      <w:suppressAutoHyphens/>
      <w:spacing w:before="240" w:after="60"/>
      <w:outlineLvl w:val="0"/>
    </w:pPr>
    <w:rPr>
      <w:rFonts w:cs="Arial"/>
      <w:b/>
      <w:sz w:val="32"/>
      <w:szCs w:val="32"/>
    </w:rPr>
  </w:style>
  <w:style w:type="paragraph" w:customStyle="1" w:styleId="SDMHead2">
    <w:name w:val="SDMHead2"/>
    <w:basedOn w:val="Normal"/>
    <w:rsid w:val="009C792C"/>
    <w:pPr>
      <w:keepNext/>
      <w:keepLines/>
      <w:numPr>
        <w:ilvl w:val="1"/>
        <w:numId w:val="25"/>
      </w:numPr>
      <w:suppressAutoHyphens/>
      <w:spacing w:before="240" w:after="60"/>
      <w:outlineLvl w:val="1"/>
    </w:pPr>
    <w:rPr>
      <w:rFonts w:cs="Arial"/>
      <w:b/>
      <w:sz w:val="24"/>
      <w:szCs w:val="24"/>
    </w:rPr>
  </w:style>
  <w:style w:type="paragraph" w:customStyle="1" w:styleId="SDMHead3">
    <w:name w:val="SDMHead3"/>
    <w:basedOn w:val="Normal"/>
    <w:rsid w:val="009C792C"/>
    <w:pPr>
      <w:keepNext/>
      <w:keepLines/>
      <w:numPr>
        <w:ilvl w:val="2"/>
        <w:numId w:val="25"/>
      </w:numPr>
      <w:suppressAutoHyphens/>
      <w:spacing w:before="240" w:after="60"/>
      <w:outlineLvl w:val="2"/>
    </w:pPr>
    <w:rPr>
      <w:rFonts w:cs="Arial"/>
      <w:b/>
      <w:szCs w:val="24"/>
    </w:rPr>
  </w:style>
  <w:style w:type="paragraph" w:customStyle="1" w:styleId="SDMHead4">
    <w:name w:val="SDMHead4"/>
    <w:basedOn w:val="Normal"/>
    <w:rsid w:val="009C792C"/>
    <w:pPr>
      <w:keepNext/>
      <w:keepLines/>
      <w:numPr>
        <w:ilvl w:val="3"/>
        <w:numId w:val="25"/>
      </w:numPr>
      <w:suppressAutoHyphens/>
      <w:spacing w:before="240" w:after="60"/>
      <w:outlineLvl w:val="3"/>
    </w:pPr>
    <w:rPr>
      <w:rFonts w:cs="Arial"/>
      <w:b/>
      <w:szCs w:val="24"/>
    </w:rPr>
  </w:style>
  <w:style w:type="paragraph" w:customStyle="1" w:styleId="SDMHead5">
    <w:name w:val="SDMHead5"/>
    <w:basedOn w:val="Normal"/>
    <w:rsid w:val="009C792C"/>
    <w:pPr>
      <w:keepNext/>
      <w:keepLines/>
      <w:numPr>
        <w:ilvl w:val="4"/>
        <w:numId w:val="25"/>
      </w:numPr>
      <w:suppressAutoHyphens/>
      <w:spacing w:before="240" w:after="60"/>
      <w:outlineLvl w:val="4"/>
    </w:pPr>
    <w:rPr>
      <w:rFonts w:cs="Arial"/>
      <w:b/>
      <w:szCs w:val="24"/>
    </w:rPr>
  </w:style>
  <w:style w:type="character" w:customStyle="1" w:styleId="SDMHead1Char">
    <w:name w:val="SDMHead1 Char"/>
    <w:link w:val="SDMHead1"/>
    <w:rsid w:val="009C792C"/>
    <w:rPr>
      <w:rFonts w:ascii="Arial" w:eastAsia="Times New Roman" w:hAnsi="Arial" w:cs="Arial"/>
      <w:b/>
      <w:sz w:val="32"/>
      <w:szCs w:val="32"/>
      <w:lang w:eastAsia="de-DE"/>
    </w:rPr>
  </w:style>
  <w:style w:type="paragraph" w:customStyle="1" w:styleId="SDMPara">
    <w:name w:val="SDMPara"/>
    <w:basedOn w:val="Normal"/>
    <w:link w:val="SDMParaChar"/>
    <w:rsid w:val="009C792C"/>
    <w:pPr>
      <w:numPr>
        <w:numId w:val="28"/>
      </w:numPr>
      <w:spacing w:before="180"/>
    </w:pPr>
    <w:rPr>
      <w:rFonts w:cs="Arial"/>
      <w:szCs w:val="22"/>
    </w:rPr>
  </w:style>
  <w:style w:type="paragraph" w:customStyle="1" w:styleId="SDMSubPara1">
    <w:name w:val="SDMSubPara1"/>
    <w:basedOn w:val="Normal"/>
    <w:rsid w:val="009C792C"/>
    <w:pPr>
      <w:numPr>
        <w:ilvl w:val="1"/>
        <w:numId w:val="28"/>
      </w:numPr>
      <w:spacing w:before="180"/>
    </w:pPr>
    <w:rPr>
      <w:rFonts w:cs="Arial"/>
      <w:szCs w:val="22"/>
    </w:rPr>
  </w:style>
  <w:style w:type="paragraph" w:customStyle="1" w:styleId="SDMSubPara2">
    <w:name w:val="SDMSubPara2"/>
    <w:basedOn w:val="Normal"/>
    <w:rsid w:val="009C792C"/>
    <w:pPr>
      <w:numPr>
        <w:ilvl w:val="2"/>
        <w:numId w:val="28"/>
      </w:numPr>
      <w:spacing w:before="180"/>
    </w:pPr>
    <w:rPr>
      <w:rFonts w:cs="Arial"/>
      <w:szCs w:val="22"/>
    </w:rPr>
  </w:style>
  <w:style w:type="character" w:customStyle="1" w:styleId="FootnoteTextChar">
    <w:name w:val="Footnote Text Char"/>
    <w:link w:val="FootnoteText"/>
    <w:rsid w:val="009C792C"/>
    <w:rPr>
      <w:rFonts w:ascii="Arial" w:eastAsia="Times New Roman" w:hAnsi="Arial"/>
      <w:lang w:eastAsia="de-DE"/>
    </w:rPr>
  </w:style>
  <w:style w:type="table" w:customStyle="1" w:styleId="SDMTable">
    <w:name w:val="SDMTable"/>
    <w:basedOn w:val="TableNormal"/>
    <w:rsid w:val="009C792C"/>
    <w:rPr>
      <w:rFonts w:ascii="Arial" w:eastAsia="Times New Roman" w:hAnsi="Arial"/>
    </w:rPr>
    <w:tblPr>
      <w:tblStyleRow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SDMFooter">
    <w:name w:val="SDMFooter"/>
    <w:basedOn w:val="Footer"/>
    <w:rsid w:val="009C792C"/>
    <w:pPr>
      <w:jc w:val="center"/>
    </w:pPr>
    <w:rPr>
      <w:rFonts w:cs="Arial"/>
      <w:sz w:val="20"/>
    </w:rPr>
  </w:style>
  <w:style w:type="table" w:customStyle="1" w:styleId="SDMTableDocInfo">
    <w:name w:val="SDMTableDocInfo"/>
    <w:basedOn w:val="TableNormal"/>
    <w:rsid w:val="009C792C"/>
    <w:pPr>
      <w:keepNext/>
      <w:spacing w:before="80" w:after="80"/>
    </w:pPr>
    <w:rPr>
      <w:rFonts w:ascii="Arial" w:eastAsia="Times New Roman" w:hAnsi="Arial"/>
    </w:rPr>
    <w:tblPr/>
    <w:tblStylePr w:type="firstRow">
      <w:rPr>
        <w:rFonts w:ascii="Arial" w:hAnsi="Arial"/>
        <w:i/>
        <w:sz w:val="16"/>
      </w:rPr>
      <w:tblPr/>
      <w:trPr>
        <w:cantSplit w:val="0"/>
        <w:tblHeader/>
      </w:trPr>
      <w:tcPr>
        <w:tcBorders>
          <w:top w:val="single" w:sz="4" w:space="0" w:color="auto"/>
          <w:left w:val="nil"/>
          <w:bottom w:val="single" w:sz="12" w:space="0" w:color="auto"/>
          <w:right w:val="nil"/>
          <w:insideV w:val="nil"/>
        </w:tcBorders>
        <w:tcMar>
          <w:top w:w="80" w:type="dxa"/>
          <w:left w:w="0" w:type="nil"/>
          <w:bottom w:w="80" w:type="dxa"/>
          <w:right w:w="0" w:type="nil"/>
        </w:tcMar>
        <w:vAlign w:val="center"/>
      </w:tcPr>
    </w:tblStylePr>
    <w:tblStylePr w:type="lastRow">
      <w:tblPr/>
      <w:trPr>
        <w:cantSplit w:val="0"/>
      </w:trPr>
      <w:tcPr>
        <w:tcBorders>
          <w:top w:val="single" w:sz="4" w:space="0" w:color="auto"/>
          <w:left w:val="nil"/>
          <w:bottom w:val="single" w:sz="12" w:space="0" w:color="auto"/>
          <w:right w:val="nil"/>
          <w:insideH w:val="nil"/>
          <w:insideV w:val="nil"/>
          <w:tl2br w:val="nil"/>
          <w:tr2bl w:val="nil"/>
        </w:tcBorders>
        <w:vAlign w:val="center"/>
      </w:tcPr>
    </w:tblStylePr>
  </w:style>
  <w:style w:type="paragraph" w:customStyle="1" w:styleId="SDMDocInfoText">
    <w:name w:val="SDMDocInfoText"/>
    <w:basedOn w:val="Normal"/>
    <w:link w:val="SDMDocInfoTextChar"/>
    <w:rsid w:val="009C792C"/>
    <w:pPr>
      <w:keepLines/>
      <w:numPr>
        <w:numId w:val="23"/>
      </w:numPr>
      <w:spacing w:before="80" w:after="80"/>
    </w:pPr>
    <w:rPr>
      <w:rFonts w:cs="Arial"/>
      <w:sz w:val="20"/>
    </w:rPr>
  </w:style>
  <w:style w:type="character" w:customStyle="1" w:styleId="SDMDocInfoTextChar">
    <w:name w:val="SDMDocInfoText Char"/>
    <w:link w:val="SDMDocInfoText"/>
    <w:rsid w:val="009C792C"/>
    <w:rPr>
      <w:rFonts w:ascii="Arial" w:eastAsia="Times New Roman" w:hAnsi="Arial" w:cs="Arial"/>
      <w:lang w:eastAsia="de-DE"/>
    </w:rPr>
  </w:style>
  <w:style w:type="paragraph" w:customStyle="1" w:styleId="SDMDocInfoTitle">
    <w:name w:val="SDMDocInfoTitle"/>
    <w:basedOn w:val="Normal"/>
    <w:rsid w:val="009C792C"/>
    <w:pPr>
      <w:keepNext/>
      <w:keepLines/>
      <w:spacing w:before="480" w:after="240"/>
      <w:jc w:val="center"/>
    </w:pPr>
    <w:rPr>
      <w:rFonts w:cs="Arial"/>
      <w:b/>
      <w:szCs w:val="22"/>
    </w:rPr>
  </w:style>
  <w:style w:type="paragraph" w:customStyle="1" w:styleId="SDMSubPara3">
    <w:name w:val="SDMSubPara3"/>
    <w:basedOn w:val="Normal"/>
    <w:rsid w:val="009C792C"/>
    <w:pPr>
      <w:numPr>
        <w:ilvl w:val="3"/>
        <w:numId w:val="28"/>
      </w:numPr>
      <w:spacing w:before="180"/>
    </w:pPr>
  </w:style>
  <w:style w:type="paragraph" w:customStyle="1" w:styleId="SDMSubPara4">
    <w:name w:val="SDMSubPara4"/>
    <w:basedOn w:val="Normal"/>
    <w:rsid w:val="009C792C"/>
    <w:pPr>
      <w:numPr>
        <w:ilvl w:val="4"/>
        <w:numId w:val="28"/>
      </w:numPr>
      <w:spacing w:before="180"/>
    </w:pPr>
  </w:style>
  <w:style w:type="character" w:customStyle="1" w:styleId="TOC1Char">
    <w:name w:val="TOC 1 Char"/>
    <w:link w:val="TOC1"/>
    <w:uiPriority w:val="39"/>
    <w:rsid w:val="00DC5FFB"/>
    <w:rPr>
      <w:rFonts w:ascii="Arial" w:eastAsia="Times New Roman" w:hAnsi="Arial" w:cs="Arial"/>
      <w:b/>
      <w:caps/>
      <w:sz w:val="21"/>
      <w:szCs w:val="21"/>
      <w:lang w:eastAsia="de-DE"/>
    </w:rPr>
  </w:style>
  <w:style w:type="character" w:customStyle="1" w:styleId="TOC2Char">
    <w:name w:val="TOC 2 Char"/>
    <w:link w:val="TOC2"/>
    <w:uiPriority w:val="39"/>
    <w:rsid w:val="00DC5FFB"/>
    <w:rPr>
      <w:rFonts w:ascii="Arial" w:eastAsia="Times New Roman" w:hAnsi="Arial" w:cs="Arial"/>
      <w:sz w:val="21"/>
      <w:szCs w:val="21"/>
      <w:lang w:eastAsia="de-DE"/>
    </w:rPr>
  </w:style>
  <w:style w:type="character" w:customStyle="1" w:styleId="TOC3Char">
    <w:name w:val="TOC 3 Char"/>
    <w:link w:val="TOC3"/>
    <w:uiPriority w:val="39"/>
    <w:rsid w:val="00DC5FFB"/>
    <w:rPr>
      <w:rFonts w:ascii="Arial" w:eastAsia="Times New Roman" w:hAnsi="Arial" w:cs="Arial"/>
      <w:sz w:val="21"/>
      <w:szCs w:val="21"/>
      <w:lang w:eastAsia="de-DE"/>
    </w:rPr>
  </w:style>
  <w:style w:type="paragraph" w:customStyle="1" w:styleId="SDMHeader">
    <w:name w:val="SDMHeader"/>
    <w:basedOn w:val="Header"/>
    <w:rsid w:val="009C792C"/>
    <w:pPr>
      <w:pBdr>
        <w:bottom w:val="single" w:sz="4" w:space="10" w:color="auto"/>
      </w:pBdr>
      <w:tabs>
        <w:tab w:val="clear" w:pos="4320"/>
        <w:tab w:val="clear" w:pos="8640"/>
        <w:tab w:val="right" w:pos="9356"/>
        <w:tab w:val="right" w:pos="14288"/>
      </w:tabs>
    </w:pPr>
    <w:rPr>
      <w:rFonts w:cs="Arial"/>
      <w:sz w:val="20"/>
      <w:szCs w:val="16"/>
    </w:rPr>
  </w:style>
  <w:style w:type="paragraph" w:customStyle="1" w:styleId="SDMDocInfoHeadRow">
    <w:name w:val="SDMDocInfoHeadRow"/>
    <w:basedOn w:val="Normal"/>
    <w:rsid w:val="009C792C"/>
    <w:pPr>
      <w:keepNext/>
      <w:keepLines/>
    </w:pPr>
    <w:rPr>
      <w:rFonts w:cs="Arial"/>
      <w:i/>
      <w:sz w:val="16"/>
      <w:szCs w:val="16"/>
    </w:rPr>
  </w:style>
  <w:style w:type="table" w:customStyle="1" w:styleId="SDMBox">
    <w:name w:val="SDMBox"/>
    <w:basedOn w:val="TableNormal"/>
    <w:rsid w:val="009C792C"/>
    <w:rPr>
      <w:rFonts w:ascii="Arial" w:eastAsia="Times New Roman" w:hAnsi="Arial"/>
    </w:rPr>
    <w:tblPr>
      <w:tblInd w:w="822" w:type="dxa"/>
      <w:tblBorders>
        <w:top w:val="single" w:sz="4" w:space="0" w:color="auto"/>
        <w:left w:val="single" w:sz="4" w:space="0" w:color="auto"/>
        <w:bottom w:val="single" w:sz="4" w:space="0" w:color="auto"/>
        <w:right w:val="single" w:sz="4" w:space="0" w:color="auto"/>
      </w:tblBorders>
      <w:tblCellMar>
        <w:top w:w="28" w:type="dxa"/>
        <w:bottom w:w="28" w:type="dxa"/>
      </w:tblCellMar>
    </w:tblPr>
    <w:trPr>
      <w:cantSplit/>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numbering" w:customStyle="1" w:styleId="SDMParaList">
    <w:name w:val="SDMParaList"/>
    <w:rsid w:val="009C792C"/>
    <w:pPr>
      <w:numPr>
        <w:numId w:val="27"/>
      </w:numPr>
    </w:pPr>
  </w:style>
  <w:style w:type="numbering" w:customStyle="1" w:styleId="SDMHeadList">
    <w:name w:val="SDMHeadList"/>
    <w:uiPriority w:val="99"/>
    <w:rsid w:val="009C792C"/>
    <w:pPr>
      <w:numPr>
        <w:numId w:val="25"/>
      </w:numPr>
    </w:pPr>
  </w:style>
  <w:style w:type="numbering" w:customStyle="1" w:styleId="SDMTableBoxParaNumberedList">
    <w:name w:val="SDMTable&amp;BoxParaNumberedList"/>
    <w:rsid w:val="009C792C"/>
    <w:pPr>
      <w:numPr>
        <w:numId w:val="29"/>
      </w:numPr>
    </w:pPr>
  </w:style>
  <w:style w:type="paragraph" w:customStyle="1" w:styleId="SDMAppTitle">
    <w:name w:val="SDMAppTitle"/>
    <w:basedOn w:val="SDMHead1"/>
    <w:next w:val="SDMApp1"/>
    <w:qFormat/>
    <w:rsid w:val="009C792C"/>
    <w:pPr>
      <w:pageBreakBefore/>
      <w:numPr>
        <w:numId w:val="21"/>
      </w:numPr>
      <w:spacing w:before="120" w:after="600"/>
    </w:pPr>
  </w:style>
  <w:style w:type="paragraph" w:customStyle="1" w:styleId="SDMApp1">
    <w:name w:val="SDMApp1"/>
    <w:basedOn w:val="SDMHead2"/>
    <w:qFormat/>
    <w:rsid w:val="009C792C"/>
    <w:pPr>
      <w:numPr>
        <w:numId w:val="21"/>
      </w:numPr>
      <w:outlineLvl w:val="9"/>
    </w:pPr>
  </w:style>
  <w:style w:type="paragraph" w:customStyle="1" w:styleId="SDMApp2">
    <w:name w:val="SDMApp2"/>
    <w:basedOn w:val="SDMHead3"/>
    <w:qFormat/>
    <w:rsid w:val="009C792C"/>
    <w:pPr>
      <w:numPr>
        <w:numId w:val="21"/>
      </w:numPr>
      <w:outlineLvl w:val="9"/>
    </w:pPr>
  </w:style>
  <w:style w:type="paragraph" w:customStyle="1" w:styleId="SDMApp3">
    <w:name w:val="SDMApp3"/>
    <w:basedOn w:val="SDMHead4"/>
    <w:qFormat/>
    <w:rsid w:val="009C792C"/>
    <w:pPr>
      <w:numPr>
        <w:numId w:val="21"/>
      </w:numPr>
      <w:outlineLvl w:val="9"/>
    </w:pPr>
  </w:style>
  <w:style w:type="paragraph" w:customStyle="1" w:styleId="SDMApp4">
    <w:name w:val="SDMApp4"/>
    <w:basedOn w:val="SDMHead5"/>
    <w:qFormat/>
    <w:rsid w:val="009C792C"/>
    <w:pPr>
      <w:numPr>
        <w:numId w:val="21"/>
      </w:numPr>
      <w:outlineLvl w:val="9"/>
    </w:pPr>
  </w:style>
  <w:style w:type="numbering" w:customStyle="1" w:styleId="SDMAppHeadList">
    <w:name w:val="SDMAppHeadList"/>
    <w:uiPriority w:val="99"/>
    <w:rsid w:val="009C792C"/>
    <w:pPr>
      <w:numPr>
        <w:numId w:val="20"/>
      </w:numPr>
    </w:pPr>
  </w:style>
  <w:style w:type="paragraph" w:customStyle="1" w:styleId="SDMDocRef">
    <w:name w:val="SDMDocRef"/>
    <w:basedOn w:val="Normal"/>
    <w:qFormat/>
    <w:rsid w:val="009C792C"/>
    <w:pPr>
      <w:spacing w:before="100"/>
    </w:pPr>
    <w:rPr>
      <w:b/>
      <w:caps/>
      <w:sz w:val="28"/>
    </w:rPr>
  </w:style>
  <w:style w:type="paragraph" w:customStyle="1" w:styleId="SDMApp5">
    <w:name w:val="SDMApp5"/>
    <w:basedOn w:val="SDMApp4"/>
    <w:qFormat/>
    <w:rsid w:val="009C792C"/>
    <w:pPr>
      <w:numPr>
        <w:ilvl w:val="5"/>
      </w:numPr>
      <w:tabs>
        <w:tab w:val="left" w:pos="1418"/>
      </w:tabs>
    </w:pPr>
  </w:style>
  <w:style w:type="paragraph" w:customStyle="1" w:styleId="SDMTableBoxFigureFootnote">
    <w:name w:val="SDMTableBoxFigureFootnote"/>
    <w:basedOn w:val="Normal"/>
    <w:qFormat/>
    <w:rsid w:val="009C792C"/>
    <w:pPr>
      <w:numPr>
        <w:numId w:val="32"/>
      </w:numPr>
      <w:spacing w:before="120"/>
    </w:pPr>
    <w:rPr>
      <w:sz w:val="20"/>
    </w:rPr>
  </w:style>
  <w:style w:type="paragraph" w:customStyle="1" w:styleId="SDMCovNoteTitle">
    <w:name w:val="SDMCovNoteTitle"/>
    <w:basedOn w:val="Normal"/>
    <w:qFormat/>
    <w:rsid w:val="009C792C"/>
    <w:pPr>
      <w:keepNext/>
      <w:keepLines/>
      <w:suppressAutoHyphens/>
      <w:spacing w:before="240" w:after="840"/>
      <w:jc w:val="center"/>
    </w:pPr>
    <w:rPr>
      <w:b/>
      <w:caps/>
      <w:sz w:val="32"/>
    </w:rPr>
  </w:style>
  <w:style w:type="numbering" w:customStyle="1" w:styleId="SDMCovNoteHeadList">
    <w:name w:val="SDMCovNoteHeadList"/>
    <w:uiPriority w:val="99"/>
    <w:rsid w:val="009C792C"/>
    <w:pPr>
      <w:numPr>
        <w:numId w:val="22"/>
      </w:numPr>
    </w:pPr>
  </w:style>
  <w:style w:type="paragraph" w:customStyle="1" w:styleId="SDMCovNoteHead1">
    <w:name w:val="SDMCovNoteHead1"/>
    <w:basedOn w:val="Normal"/>
    <w:rsid w:val="009C792C"/>
    <w:pPr>
      <w:keepNext/>
      <w:keepLines/>
      <w:numPr>
        <w:numId w:val="22"/>
      </w:numPr>
      <w:suppressAutoHyphens/>
      <w:spacing w:before="240" w:after="60"/>
    </w:pPr>
    <w:rPr>
      <w:b/>
      <w:sz w:val="24"/>
    </w:rPr>
  </w:style>
  <w:style w:type="paragraph" w:customStyle="1" w:styleId="SDMCovNoteHead2">
    <w:name w:val="SDMCovNoteHead2"/>
    <w:basedOn w:val="Normal"/>
    <w:rsid w:val="009C792C"/>
    <w:pPr>
      <w:keepNext/>
      <w:keepLines/>
      <w:numPr>
        <w:ilvl w:val="1"/>
        <w:numId w:val="22"/>
      </w:numPr>
      <w:spacing w:before="240" w:after="60"/>
    </w:pPr>
    <w:rPr>
      <w:b/>
    </w:rPr>
  </w:style>
  <w:style w:type="paragraph" w:customStyle="1" w:styleId="SDMCovNoteHead3">
    <w:name w:val="SDMCovNoteHead3"/>
    <w:basedOn w:val="Normal"/>
    <w:rsid w:val="009C792C"/>
    <w:pPr>
      <w:keepNext/>
      <w:keepLines/>
      <w:numPr>
        <w:ilvl w:val="2"/>
        <w:numId w:val="22"/>
      </w:numPr>
      <w:spacing w:before="240" w:after="60"/>
    </w:pPr>
    <w:rPr>
      <w:b/>
    </w:rPr>
  </w:style>
  <w:style w:type="paragraph" w:styleId="NoSpacing">
    <w:name w:val="No Spacing"/>
    <w:link w:val="NoSpacingChar"/>
    <w:uiPriority w:val="1"/>
    <w:qFormat/>
    <w:rsid w:val="00DC5FFB"/>
    <w:rPr>
      <w:rFonts w:ascii="Calibri" w:hAnsi="Calibri" w:cs="Arial"/>
      <w:sz w:val="22"/>
      <w:szCs w:val="22"/>
      <w:lang w:val="en-US" w:eastAsia="ja-JP"/>
    </w:rPr>
  </w:style>
  <w:style w:type="character" w:customStyle="1" w:styleId="NoSpacingChar">
    <w:name w:val="No Spacing Char"/>
    <w:link w:val="NoSpacing"/>
    <w:uiPriority w:val="1"/>
    <w:rsid w:val="00DC5FFB"/>
    <w:rPr>
      <w:rFonts w:ascii="Calibri" w:hAnsi="Calibri" w:cs="Arial"/>
      <w:sz w:val="22"/>
      <w:szCs w:val="22"/>
      <w:lang w:val="en-US" w:eastAsia="ja-JP"/>
    </w:rPr>
  </w:style>
  <w:style w:type="paragraph" w:customStyle="1" w:styleId="SDMTOCHeading">
    <w:name w:val="SDMTOCHeading"/>
    <w:basedOn w:val="Normal"/>
    <w:qFormat/>
    <w:rsid w:val="009C792C"/>
    <w:pPr>
      <w:keepNext/>
      <w:keepLines/>
      <w:pageBreakBefore/>
      <w:tabs>
        <w:tab w:val="right" w:pos="9356"/>
      </w:tabs>
      <w:spacing w:before="240" w:after="600"/>
    </w:pPr>
    <w:rPr>
      <w:rFonts w:cs="Arial"/>
      <w:b/>
      <w:szCs w:val="22"/>
    </w:rPr>
  </w:style>
  <w:style w:type="numbering" w:customStyle="1" w:styleId="SDMTableBoxFigureFootnoteList">
    <w:name w:val="SDMTableBoxFigureFootnoteList"/>
    <w:uiPriority w:val="99"/>
    <w:rsid w:val="009C792C"/>
    <w:pPr>
      <w:numPr>
        <w:numId w:val="31"/>
      </w:numPr>
    </w:pPr>
  </w:style>
  <w:style w:type="paragraph" w:customStyle="1" w:styleId="SDMTableBoxFigureFootnoteSL1">
    <w:name w:val="SDMTableBoxFigureFootnoteSL1"/>
    <w:basedOn w:val="SDMTableBoxFigureFootnote"/>
    <w:qFormat/>
    <w:rsid w:val="009C792C"/>
    <w:pPr>
      <w:numPr>
        <w:ilvl w:val="1"/>
      </w:numPr>
      <w:spacing w:before="40"/>
    </w:pPr>
  </w:style>
  <w:style w:type="paragraph" w:customStyle="1" w:styleId="SDMTableBoxFigureFootnoteSL2">
    <w:name w:val="SDMTableBoxFigureFootnoteSL2"/>
    <w:basedOn w:val="SDMTableBoxFigureFootnote"/>
    <w:qFormat/>
    <w:rsid w:val="009C792C"/>
    <w:pPr>
      <w:numPr>
        <w:ilvl w:val="2"/>
      </w:numPr>
      <w:spacing w:before="40"/>
    </w:pPr>
  </w:style>
  <w:style w:type="paragraph" w:customStyle="1" w:styleId="SDMTableBoxFigureFootnoteSL3">
    <w:name w:val="SDMTableBoxFigureFootnoteSL3"/>
    <w:basedOn w:val="SDMTableBoxFigureFootnote"/>
    <w:qFormat/>
    <w:rsid w:val="009C792C"/>
    <w:pPr>
      <w:numPr>
        <w:ilvl w:val="3"/>
      </w:numPr>
      <w:spacing w:before="40"/>
    </w:pPr>
  </w:style>
  <w:style w:type="paragraph" w:customStyle="1" w:styleId="SDMTableBoxFigureFootnoteSL4">
    <w:name w:val="SDMTableBoxFigureFootnoteSL4"/>
    <w:basedOn w:val="SDMTableBoxFigureFootnote"/>
    <w:qFormat/>
    <w:rsid w:val="009C792C"/>
    <w:pPr>
      <w:numPr>
        <w:ilvl w:val="4"/>
      </w:numPr>
      <w:spacing w:before="40"/>
    </w:pPr>
  </w:style>
  <w:style w:type="paragraph" w:customStyle="1" w:styleId="SDMTableBoxFigureFootnoteSL5">
    <w:name w:val="SDMTableBoxFigureFootnoteSL5"/>
    <w:basedOn w:val="SDMTableBoxFigureFootnote"/>
    <w:qFormat/>
    <w:rsid w:val="009C792C"/>
    <w:pPr>
      <w:numPr>
        <w:ilvl w:val="5"/>
      </w:numPr>
      <w:spacing w:before="40"/>
    </w:pPr>
  </w:style>
  <w:style w:type="character" w:styleId="PlaceholderText">
    <w:name w:val="Placeholder Text"/>
    <w:basedOn w:val="DefaultParagraphFont"/>
    <w:uiPriority w:val="99"/>
    <w:rsid w:val="00DC5FFB"/>
    <w:rPr>
      <w:color w:val="808080"/>
    </w:rPr>
  </w:style>
  <w:style w:type="paragraph" w:styleId="BalloonText">
    <w:name w:val="Balloon Text"/>
    <w:basedOn w:val="Normal"/>
    <w:link w:val="BalloonTextChar"/>
    <w:rsid w:val="00DC5FFB"/>
    <w:rPr>
      <w:rFonts w:ascii="Tahoma" w:hAnsi="Tahoma" w:cs="Tahoma"/>
      <w:sz w:val="16"/>
      <w:szCs w:val="16"/>
    </w:rPr>
  </w:style>
  <w:style w:type="character" w:customStyle="1" w:styleId="BalloonTextChar">
    <w:name w:val="Balloon Text Char"/>
    <w:basedOn w:val="DefaultParagraphFont"/>
    <w:link w:val="BalloonText"/>
    <w:rsid w:val="00DC5FFB"/>
    <w:rPr>
      <w:rFonts w:ascii="Tahoma" w:eastAsia="Times New Roman" w:hAnsi="Tahoma" w:cs="Tahoma"/>
      <w:sz w:val="16"/>
      <w:szCs w:val="16"/>
      <w:lang w:eastAsia="de-DE"/>
    </w:rPr>
  </w:style>
  <w:style w:type="paragraph" w:styleId="Date">
    <w:name w:val="Date"/>
    <w:basedOn w:val="Normal"/>
    <w:next w:val="Normal"/>
    <w:link w:val="DateChar"/>
    <w:rsid w:val="00DC5FFB"/>
  </w:style>
  <w:style w:type="character" w:customStyle="1" w:styleId="DateChar">
    <w:name w:val="Date Char"/>
    <w:basedOn w:val="DefaultParagraphFont"/>
    <w:link w:val="Date"/>
    <w:rsid w:val="00DC5FFB"/>
    <w:rPr>
      <w:rFonts w:ascii="Arial" w:eastAsia="Times New Roman" w:hAnsi="Arial"/>
      <w:sz w:val="22"/>
      <w:lang w:eastAsia="de-DE"/>
    </w:rPr>
  </w:style>
  <w:style w:type="paragraph" w:customStyle="1" w:styleId="SDMConfidentialMark">
    <w:name w:val="SDMConfidentialMark"/>
    <w:basedOn w:val="Normal"/>
    <w:qFormat/>
    <w:rsid w:val="009C792C"/>
    <w:pPr>
      <w:spacing w:before="1200"/>
      <w:jc w:val="right"/>
    </w:pPr>
    <w:rPr>
      <w:b/>
      <w:caps/>
      <w:spacing w:val="10"/>
      <w:sz w:val="32"/>
    </w:rPr>
  </w:style>
  <w:style w:type="character" w:customStyle="1" w:styleId="Heading1Char">
    <w:name w:val="Heading 1 Char"/>
    <w:basedOn w:val="DefaultParagraphFont"/>
    <w:link w:val="Heading1"/>
    <w:rsid w:val="00DC5FFB"/>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basedOn w:val="DefaultParagraphFont"/>
    <w:link w:val="Heading2"/>
    <w:rsid w:val="00DC5FFB"/>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basedOn w:val="DefaultParagraphFont"/>
    <w:link w:val="Heading3"/>
    <w:rsid w:val="00DC5FFB"/>
    <w:rPr>
      <w:rFonts w:asciiTheme="majorHAnsi" w:eastAsiaTheme="majorEastAsia" w:hAnsiTheme="majorHAnsi" w:cstheme="majorBidi"/>
      <w:b/>
      <w:bCs/>
      <w:color w:val="4F81BD" w:themeColor="accent1"/>
      <w:sz w:val="24"/>
      <w:szCs w:val="24"/>
      <w:lang w:val="en-US" w:eastAsia="en-US"/>
    </w:rPr>
  </w:style>
  <w:style w:type="character" w:customStyle="1" w:styleId="Heading4Char">
    <w:name w:val="Heading 4 Char"/>
    <w:basedOn w:val="DefaultParagraphFont"/>
    <w:link w:val="Heading4"/>
    <w:rsid w:val="00DC5FFB"/>
    <w:rPr>
      <w:rFonts w:asciiTheme="majorHAnsi" w:eastAsiaTheme="majorEastAsia" w:hAnsiTheme="majorHAnsi" w:cstheme="majorBidi"/>
      <w:b/>
      <w:bCs/>
      <w:i/>
      <w:iCs/>
      <w:color w:val="4F81BD" w:themeColor="accent1"/>
      <w:sz w:val="24"/>
      <w:szCs w:val="24"/>
      <w:lang w:val="en-US" w:eastAsia="en-US"/>
    </w:rPr>
  </w:style>
  <w:style w:type="character" w:customStyle="1" w:styleId="Heading5Char">
    <w:name w:val="Heading 5 Char"/>
    <w:basedOn w:val="DefaultParagraphFont"/>
    <w:link w:val="Heading5"/>
    <w:rsid w:val="00DC5FFB"/>
    <w:rPr>
      <w:rFonts w:asciiTheme="majorHAnsi" w:eastAsiaTheme="majorEastAsia" w:hAnsiTheme="majorHAnsi" w:cstheme="majorBidi"/>
      <w:color w:val="243F60" w:themeColor="accent1" w:themeShade="7F"/>
      <w:sz w:val="24"/>
      <w:szCs w:val="24"/>
      <w:lang w:val="en-US" w:eastAsia="en-US"/>
    </w:rPr>
  </w:style>
  <w:style w:type="character" w:customStyle="1" w:styleId="Heading6Char">
    <w:name w:val="Heading 6 Char"/>
    <w:basedOn w:val="DefaultParagraphFont"/>
    <w:link w:val="Heading6"/>
    <w:rsid w:val="00DC5FFB"/>
    <w:rPr>
      <w:rFonts w:asciiTheme="majorHAnsi" w:eastAsiaTheme="majorEastAsia" w:hAnsiTheme="majorHAnsi" w:cstheme="majorBidi"/>
      <w:i/>
      <w:iCs/>
      <w:color w:val="243F60" w:themeColor="accent1" w:themeShade="7F"/>
      <w:sz w:val="24"/>
      <w:szCs w:val="24"/>
      <w:lang w:val="en-US" w:eastAsia="en-US"/>
    </w:rPr>
  </w:style>
  <w:style w:type="character" w:customStyle="1" w:styleId="Heading7Char">
    <w:name w:val="Heading 7 Char"/>
    <w:basedOn w:val="DefaultParagraphFont"/>
    <w:link w:val="Heading7"/>
    <w:rsid w:val="00DC5FFB"/>
    <w:rPr>
      <w:rFonts w:asciiTheme="majorHAnsi" w:eastAsiaTheme="majorEastAsia" w:hAnsiTheme="majorHAnsi" w:cstheme="majorBidi"/>
      <w:i/>
      <w:iCs/>
      <w:color w:val="404040" w:themeColor="text1" w:themeTint="BF"/>
      <w:sz w:val="24"/>
      <w:szCs w:val="24"/>
      <w:lang w:val="en-US" w:eastAsia="en-US"/>
    </w:rPr>
  </w:style>
  <w:style w:type="character" w:customStyle="1" w:styleId="Heading8Char">
    <w:name w:val="Heading 8 Char"/>
    <w:basedOn w:val="DefaultParagraphFont"/>
    <w:link w:val="Heading8"/>
    <w:rsid w:val="00DC5FFB"/>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rsid w:val="00DC5FFB"/>
    <w:rPr>
      <w:rFonts w:asciiTheme="majorHAnsi" w:eastAsiaTheme="majorEastAsia" w:hAnsiTheme="majorHAnsi" w:cstheme="majorBidi"/>
      <w:i/>
      <w:iCs/>
      <w:color w:val="404040" w:themeColor="text1" w:themeTint="BF"/>
      <w:lang w:val="en-US" w:eastAsia="en-US"/>
    </w:rPr>
  </w:style>
  <w:style w:type="table" w:customStyle="1" w:styleId="SDMMethTableEmmissions">
    <w:name w:val="SDMMethTableEmmissions"/>
    <w:basedOn w:val="TableNormal"/>
    <w:uiPriority w:val="99"/>
    <w:rsid w:val="009C792C"/>
    <w:rPr>
      <w:rFonts w:ascii="Arial" w:eastAsia="Times New Roman" w:hAnsi="Arial"/>
    </w:rPr>
    <w:tblPr>
      <w:tblStyleRowBandSize w:val="3"/>
      <w:tblStyleCol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cPr>
      <w:vAlign w:val="center"/>
    </w:tcPr>
    <w:tblStylePr w:type="firstRow">
      <w:pPr>
        <w:keepNext/>
        <w:keepLines/>
        <w:wordWrap/>
        <w:jc w:val="center"/>
      </w:pPr>
      <w:rPr>
        <w:rFonts w:ascii="Arial" w:hAnsi="Arial"/>
        <w:b/>
        <w:sz w:val="22"/>
        <w:u w:val="none"/>
      </w:rPr>
      <w:tblPr/>
      <w:trPr>
        <w:tblHeader/>
      </w:tr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E6E6E6"/>
        <w:tcMar>
          <w:top w:w="113" w:type="dxa"/>
          <w:left w:w="0" w:type="nil"/>
          <w:bottom w:w="113" w:type="dxa"/>
          <w:right w:w="0" w:type="nil"/>
        </w:tcMar>
      </w:tcPr>
    </w:tblStylePr>
    <w:tblStylePr w:type="firstCol">
      <w:pPr>
        <w:keepLines/>
        <w:wordWrap/>
        <w:jc w:val="center"/>
      </w:pPr>
      <w:rPr>
        <w:b/>
      </w:rPr>
    </w:tblStylePr>
    <w:tblStylePr w:type="band2Horz">
      <w:tblPr/>
      <w:tcPr>
        <w:shd w:val="clear" w:color="auto" w:fill="E6E6E6"/>
      </w:tcPr>
    </w:tblStylePr>
  </w:style>
  <w:style w:type="table" w:customStyle="1" w:styleId="SDMMethTableDataParameter">
    <w:name w:val="SDMMethTableDataParameter"/>
    <w:basedOn w:val="TableNormal"/>
    <w:uiPriority w:val="99"/>
    <w:rsid w:val="009C792C"/>
    <w:rPr>
      <w:rFonts w:ascii="Arial" w:eastAsia="Times New Roman" w:hAnsi="Arial"/>
    </w:rPr>
    <w:tblP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pPr>
      <w:rPr>
        <w:b/>
      </w:rPr>
      <w:tblPr/>
      <w:tcPr>
        <w:tcMar>
          <w:top w:w="62" w:type="dxa"/>
          <w:left w:w="0" w:type="nil"/>
          <w:bottom w:w="62" w:type="dxa"/>
          <w:right w:w="0" w:type="nil"/>
        </w:tcMar>
      </w:tcPr>
    </w:tblStylePr>
    <w:tblStylePr w:type="firstCol">
      <w:tblPr/>
      <w:tcPr>
        <w:shd w:val="clear" w:color="auto" w:fill="E6E6E6"/>
      </w:tcPr>
    </w:tblStylePr>
  </w:style>
  <w:style w:type="paragraph" w:customStyle="1" w:styleId="SDMMethCaptionNestedTableDataParameter">
    <w:name w:val="SDMMethCaptionNestedTableDataParameter"/>
    <w:basedOn w:val="Caption"/>
    <w:qFormat/>
    <w:rsid w:val="009C792C"/>
    <w:pPr>
      <w:ind w:left="1531"/>
    </w:pPr>
  </w:style>
  <w:style w:type="table" w:customStyle="1" w:styleId="SDMMethTable">
    <w:name w:val="SDMMethTable"/>
    <w:basedOn w:val="SDMTable"/>
    <w:uiPriority w:val="99"/>
    <w:rsid w:val="009C792C"/>
    <w:tbl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EquationParameters">
    <w:name w:val="SDMMethTableEquationParameters"/>
    <w:basedOn w:val="TableNormal"/>
    <w:uiPriority w:val="99"/>
    <w:rsid w:val="009C792C"/>
    <w:rPr>
      <w:rFonts w:ascii="Arial" w:eastAsia="Times New Roman" w:hAnsi="Arial"/>
      <w:sz w:val="22"/>
    </w:rPr>
    <w:tblPr>
      <w:tblInd w:w="680" w:type="dxa"/>
      <w:tblCellMar>
        <w:top w:w="85" w:type="dxa"/>
        <w:bottom w:w="28" w:type="dxa"/>
      </w:tblCellMar>
    </w:tblPr>
    <w:trPr>
      <w:cantSplit/>
    </w:trPr>
    <w:tcPr>
      <w:vAlign w:val="center"/>
    </w:tcPr>
  </w:style>
  <w:style w:type="paragraph" w:customStyle="1" w:styleId="SDMMethCaptionEquationParametersTable">
    <w:name w:val="SDMMethCaptionEquationParametersTable"/>
    <w:basedOn w:val="Caption"/>
    <w:qFormat/>
    <w:rsid w:val="009C792C"/>
    <w:pPr>
      <w:spacing w:before="180" w:after="0"/>
    </w:pPr>
    <w:rPr>
      <w:b w:val="0"/>
      <w:sz w:val="22"/>
    </w:rPr>
  </w:style>
  <w:style w:type="paragraph" w:customStyle="1" w:styleId="SDMMethEquation">
    <w:name w:val="SDMMethEquation"/>
    <w:basedOn w:val="SDMPara"/>
    <w:qFormat/>
    <w:rsid w:val="009C792C"/>
    <w:pPr>
      <w:keepLines/>
      <w:numPr>
        <w:numId w:val="0"/>
      </w:numPr>
      <w:spacing w:before="360" w:line="360" w:lineRule="auto"/>
    </w:pPr>
  </w:style>
  <w:style w:type="table" w:customStyle="1" w:styleId="SDMMethTableEquation">
    <w:name w:val="SDMMethTableEquation"/>
    <w:basedOn w:val="TableNormal"/>
    <w:uiPriority w:val="99"/>
    <w:rsid w:val="009C792C"/>
    <w:rPr>
      <w:rFonts w:ascii="Arial" w:eastAsia="Times New Roman" w:hAnsi="Arial"/>
      <w:sz w:val="22"/>
    </w:rPr>
    <w:tblPr>
      <w:tblInd w:w="680" w:type="dxa"/>
    </w:tblPr>
    <w:trPr>
      <w:cantSplit/>
    </w:trPr>
  </w:style>
  <w:style w:type="paragraph" w:customStyle="1" w:styleId="SDMTableBoxParaNotNumbered">
    <w:name w:val="SDMTable&amp;BoxParaNotNumbered"/>
    <w:basedOn w:val="Normal"/>
    <w:qFormat/>
    <w:rsid w:val="009C792C"/>
    <w:pPr>
      <w:jc w:val="left"/>
    </w:pPr>
    <w:rPr>
      <w:sz w:val="20"/>
    </w:rPr>
  </w:style>
  <w:style w:type="paragraph" w:customStyle="1" w:styleId="SDMTableBoxParaNumbered">
    <w:name w:val="SDMTable&amp;BoxParaNumbered"/>
    <w:basedOn w:val="Normal"/>
    <w:qFormat/>
    <w:rsid w:val="009C792C"/>
    <w:pPr>
      <w:numPr>
        <w:numId w:val="29"/>
      </w:numPr>
      <w:jc w:val="left"/>
    </w:pPr>
    <w:rPr>
      <w:sz w:val="20"/>
    </w:rPr>
  </w:style>
  <w:style w:type="paragraph" w:customStyle="1" w:styleId="SDMMethEquationNr">
    <w:name w:val="SDMMethEquationNr"/>
    <w:basedOn w:val="SDMMethEquation"/>
    <w:qFormat/>
    <w:rsid w:val="009C792C"/>
    <w:pPr>
      <w:keepNext/>
      <w:numPr>
        <w:numId w:val="26"/>
      </w:numPr>
      <w:jc w:val="right"/>
    </w:pPr>
    <w:rPr>
      <w:sz w:val="20"/>
    </w:rPr>
  </w:style>
  <w:style w:type="numbering" w:customStyle="1" w:styleId="SDMMethEquationNrList">
    <w:name w:val="SDMMethEquationNrList"/>
    <w:uiPriority w:val="99"/>
    <w:rsid w:val="009C792C"/>
    <w:pPr>
      <w:numPr>
        <w:numId w:val="26"/>
      </w:numPr>
    </w:pPr>
  </w:style>
  <w:style w:type="paragraph" w:styleId="ListParagraph">
    <w:name w:val="List Paragraph"/>
    <w:basedOn w:val="Normal"/>
    <w:uiPriority w:val="34"/>
    <w:qFormat/>
    <w:rsid w:val="00DC5FFB"/>
    <w:pPr>
      <w:ind w:left="720"/>
      <w:contextualSpacing/>
    </w:pPr>
  </w:style>
  <w:style w:type="table" w:customStyle="1" w:styleId="SDMTableFullPage">
    <w:name w:val="SDMTableFullPage"/>
    <w:basedOn w:val="SDMTable"/>
    <w:uiPriority w:val="99"/>
    <w:rsid w:val="009C792C"/>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FullPage">
    <w:name w:val="SDMMethTableFullPage"/>
    <w:basedOn w:val="SDMMethTable"/>
    <w:uiPriority w:val="99"/>
    <w:rsid w:val="009C792C"/>
    <w:tblPr>
      <w:jc w:val="center"/>
      <w:tblInd w:w="0" w:type="dxa"/>
    </w:tblPr>
    <w:trPr>
      <w:jc w:val="center"/>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CaptionFullPage">
    <w:name w:val="CaptionFullPage"/>
    <w:basedOn w:val="Caption"/>
    <w:qFormat/>
    <w:rsid w:val="00DC5FFB"/>
    <w:pPr>
      <w:ind w:left="0" w:firstLine="0"/>
    </w:pPr>
  </w:style>
  <w:style w:type="character" w:styleId="FootnoteReference">
    <w:name w:val="footnote reference"/>
    <w:basedOn w:val="DefaultParagraphFont"/>
    <w:rsid w:val="00EA71D1"/>
    <w:rPr>
      <w:vertAlign w:val="superscript"/>
    </w:rPr>
  </w:style>
  <w:style w:type="numbering" w:customStyle="1" w:styleId="SDMFootnoteList">
    <w:name w:val="SDMFootnoteList"/>
    <w:uiPriority w:val="99"/>
    <w:rsid w:val="009C792C"/>
    <w:pPr>
      <w:numPr>
        <w:numId w:val="24"/>
      </w:numPr>
    </w:pPr>
  </w:style>
  <w:style w:type="numbering" w:customStyle="1" w:styleId="SDMDocInfoTextBullets">
    <w:name w:val="SDMDocInfoTextBullets"/>
    <w:uiPriority w:val="99"/>
    <w:rsid w:val="009C792C"/>
    <w:pPr>
      <w:numPr>
        <w:numId w:val="23"/>
      </w:numPr>
    </w:pPr>
  </w:style>
  <w:style w:type="table" w:customStyle="1" w:styleId="SDMBoxFullPage">
    <w:name w:val="SDMBoxFullPage"/>
    <w:basedOn w:val="SDMBox"/>
    <w:uiPriority w:val="99"/>
    <w:rsid w:val="009C792C"/>
    <w:tblPr>
      <w:jc w:val="center"/>
      <w:tblInd w:w="0" w:type="dxa"/>
    </w:tblPr>
    <w:trPr>
      <w:jc w:val="center"/>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paragraph" w:customStyle="1" w:styleId="SDMTableBoxFigureFootnoteFullPage">
    <w:name w:val="SDMTableBoxFigureFootnoteFullPage"/>
    <w:basedOn w:val="SDMTableBoxFigureFootnote"/>
    <w:rsid w:val="009C792C"/>
    <w:pPr>
      <w:numPr>
        <w:numId w:val="33"/>
      </w:numPr>
    </w:pPr>
  </w:style>
  <w:style w:type="paragraph" w:customStyle="1" w:styleId="SDMTableBoxFigureFootnoteSL1FullPage">
    <w:name w:val="SDMTableBoxFigureFootnoteSL1FullPage"/>
    <w:basedOn w:val="SDMTableBoxFigureFootnoteSL1"/>
    <w:rsid w:val="009C792C"/>
    <w:pPr>
      <w:numPr>
        <w:numId w:val="33"/>
      </w:numPr>
    </w:pPr>
  </w:style>
  <w:style w:type="paragraph" w:customStyle="1" w:styleId="SDMTableBoxFigureFootnoteSL2FullPage">
    <w:name w:val="SDMTableBoxFigureFootnoteSL2FullPage"/>
    <w:basedOn w:val="SDMTableBoxFigureFootnoteSL2"/>
    <w:rsid w:val="009C792C"/>
    <w:pPr>
      <w:numPr>
        <w:numId w:val="33"/>
      </w:numPr>
    </w:pPr>
  </w:style>
  <w:style w:type="paragraph" w:customStyle="1" w:styleId="SDMTableBoxFigureFootnoteSL3FullPage">
    <w:name w:val="SDMTableBoxFigureFootnoteSL3FullPage"/>
    <w:basedOn w:val="SDMTableBoxFigureFootnoteSL3"/>
    <w:rsid w:val="009C792C"/>
    <w:pPr>
      <w:numPr>
        <w:numId w:val="33"/>
      </w:numPr>
    </w:pPr>
  </w:style>
  <w:style w:type="paragraph" w:customStyle="1" w:styleId="SDMTableBoxFigureFootnoteSL4FullPage">
    <w:name w:val="SDMTableBoxFigureFootnoteSL4FullPage"/>
    <w:basedOn w:val="SDMTableBoxFigureFootnoteSL4"/>
    <w:rsid w:val="009C792C"/>
    <w:pPr>
      <w:numPr>
        <w:numId w:val="33"/>
      </w:numPr>
    </w:pPr>
  </w:style>
  <w:style w:type="paragraph" w:customStyle="1" w:styleId="SDMTableBoxFigureFootnoteSL5FullPage">
    <w:name w:val="SDMTableBoxFigureFootnoteSL5FullPage"/>
    <w:basedOn w:val="SDMTableBoxFigureFootnoteSL5"/>
    <w:rsid w:val="009C792C"/>
    <w:pPr>
      <w:numPr>
        <w:numId w:val="33"/>
      </w:numPr>
    </w:pPr>
  </w:style>
  <w:style w:type="numbering" w:customStyle="1" w:styleId="SDMTableBoxFigureFootnoteFullPageList">
    <w:name w:val="SDMTableBoxFigureFootnoteFullPageList"/>
    <w:uiPriority w:val="99"/>
    <w:rsid w:val="009C792C"/>
    <w:pPr>
      <w:numPr>
        <w:numId w:val="30"/>
      </w:numPr>
    </w:pPr>
  </w:style>
  <w:style w:type="table" w:customStyle="1" w:styleId="SDMMethTableFullPage1">
    <w:name w:val="SDMMethTableFullPage1"/>
    <w:basedOn w:val="SDMMethTable"/>
    <w:uiPriority w:val="99"/>
    <w:rsid w:val="009D0F50"/>
    <w:tblPr>
      <w:jc w:val="center"/>
    </w:tblPr>
    <w:trPr>
      <w:jc w:val="cent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character" w:styleId="CommentReference">
    <w:name w:val="annotation reference"/>
    <w:basedOn w:val="DefaultParagraphFont"/>
    <w:rsid w:val="009D0F50"/>
    <w:rPr>
      <w:sz w:val="16"/>
      <w:szCs w:val="16"/>
    </w:rPr>
  </w:style>
  <w:style w:type="numbering" w:customStyle="1" w:styleId="SDMMethEquationNumberingList">
    <w:name w:val="SDMMethEquationNumberingList"/>
    <w:uiPriority w:val="99"/>
    <w:rsid w:val="00D9066E"/>
    <w:pPr>
      <w:numPr>
        <w:numId w:val="1"/>
      </w:numPr>
    </w:pPr>
  </w:style>
  <w:style w:type="paragraph" w:customStyle="1" w:styleId="CaptionLandscape">
    <w:name w:val="CaptionLandscape"/>
    <w:basedOn w:val="Caption"/>
    <w:qFormat/>
    <w:rsid w:val="00D9066E"/>
    <w:pPr>
      <w:ind w:left="0" w:firstLine="0"/>
    </w:pPr>
  </w:style>
  <w:style w:type="table" w:customStyle="1" w:styleId="SDMMethTableFullWidth">
    <w:name w:val="SDMMethTableFullWidth"/>
    <w:basedOn w:val="SDMMethTable"/>
    <w:uiPriority w:val="99"/>
    <w:rsid w:val="009D0F50"/>
    <w:tblPr>
      <w:jc w:val="center"/>
    </w:tblPr>
    <w:trPr>
      <w:jc w:val="cent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numbering" w:customStyle="1" w:styleId="SDMTablesFiguresNoteList">
    <w:name w:val="SDMTables&amp;FiguresNoteList"/>
    <w:uiPriority w:val="99"/>
    <w:rsid w:val="00D9066E"/>
    <w:pPr>
      <w:numPr>
        <w:numId w:val="2"/>
      </w:numPr>
    </w:pPr>
  </w:style>
  <w:style w:type="numbering" w:customStyle="1" w:styleId="SDMTableBoxParaList">
    <w:name w:val="SDMTable&amp;BoxParaList"/>
    <w:rsid w:val="00D9066E"/>
    <w:pPr>
      <w:numPr>
        <w:numId w:val="3"/>
      </w:numPr>
    </w:pPr>
  </w:style>
  <w:style w:type="paragraph" w:customStyle="1" w:styleId="RegPara">
    <w:name w:val="RegPara"/>
    <w:basedOn w:val="Normal"/>
    <w:rsid w:val="009D0F50"/>
    <w:pPr>
      <w:tabs>
        <w:tab w:val="num" w:pos="720"/>
      </w:tabs>
      <w:spacing w:before="180"/>
      <w:jc w:val="left"/>
    </w:pPr>
    <w:rPr>
      <w:rFonts w:ascii="Times New Roman" w:hAnsi="Times New Roman"/>
      <w:lang w:val="en-US" w:eastAsia="de-CH"/>
    </w:rPr>
  </w:style>
  <w:style w:type="paragraph" w:customStyle="1" w:styleId="Bulletedtext">
    <w:name w:val="Bulleted text"/>
    <w:basedOn w:val="Normal"/>
    <w:rsid w:val="009D0F50"/>
    <w:pPr>
      <w:numPr>
        <w:numId w:val="4"/>
      </w:numPr>
      <w:jc w:val="left"/>
    </w:pPr>
    <w:rPr>
      <w:rFonts w:ascii="Times New Roman" w:hAnsi="Times New Roman"/>
      <w:lang w:val="en-US" w:eastAsia="de-CH"/>
    </w:rPr>
  </w:style>
  <w:style w:type="paragraph" w:customStyle="1" w:styleId="variable">
    <w:name w:val="variable"/>
    <w:basedOn w:val="Normal"/>
    <w:autoRedefine/>
    <w:rsid w:val="009D0F50"/>
    <w:pPr>
      <w:jc w:val="left"/>
    </w:pPr>
    <w:rPr>
      <w:rFonts w:ascii="Times New Roman" w:hAnsi="Times New Roman"/>
      <w:lang w:val="en-US" w:eastAsia="de-CH"/>
    </w:rPr>
  </w:style>
  <w:style w:type="paragraph" w:customStyle="1" w:styleId="texto">
    <w:name w:val="texto"/>
    <w:basedOn w:val="Normal"/>
    <w:rsid w:val="009D0F50"/>
    <w:pPr>
      <w:spacing w:before="100" w:beforeAutospacing="1" w:after="100" w:afterAutospacing="1"/>
      <w:jc w:val="left"/>
    </w:pPr>
    <w:rPr>
      <w:rFonts w:ascii="Times New Roman" w:hAnsi="Times New Roman"/>
      <w:sz w:val="24"/>
      <w:lang w:val="en-US" w:eastAsia="de-CH"/>
    </w:rPr>
  </w:style>
  <w:style w:type="character" w:styleId="EndnoteReference">
    <w:name w:val="endnote reference"/>
    <w:basedOn w:val="DefaultParagraphFont"/>
    <w:rsid w:val="009D0F50"/>
    <w:rPr>
      <w:vertAlign w:val="superscript"/>
    </w:rPr>
  </w:style>
  <w:style w:type="paragraph" w:customStyle="1" w:styleId="TableColumnHeading">
    <w:name w:val="TableColumnHeading"/>
    <w:basedOn w:val="Normal"/>
    <w:uiPriority w:val="99"/>
    <w:rsid w:val="00D9066E"/>
    <w:pPr>
      <w:tabs>
        <w:tab w:val="num" w:pos="0"/>
      </w:tabs>
      <w:spacing w:before="40" w:after="40"/>
      <w:jc w:val="center"/>
    </w:pPr>
    <w:rPr>
      <w:b/>
    </w:rPr>
  </w:style>
  <w:style w:type="paragraph" w:styleId="HTMLPreformatted">
    <w:name w:val="HTML Preformatted"/>
    <w:basedOn w:val="Normal"/>
    <w:link w:val="HTMLPreformattedChar"/>
    <w:uiPriority w:val="99"/>
    <w:rsid w:val="009D0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000000"/>
      <w:sz w:val="20"/>
      <w:lang w:val="es-ES" w:eastAsia="es-ES"/>
    </w:rPr>
  </w:style>
  <w:style w:type="character" w:customStyle="1" w:styleId="HTMLPreformattedChar">
    <w:name w:val="HTML Preformatted Char"/>
    <w:basedOn w:val="DefaultParagraphFont"/>
    <w:link w:val="HTMLPreformatted"/>
    <w:uiPriority w:val="99"/>
    <w:rsid w:val="009D0F50"/>
    <w:rPr>
      <w:rFonts w:ascii="Courier New" w:eastAsia="MS Mincho" w:hAnsi="Courier New" w:cs="Courier New"/>
      <w:color w:val="000000"/>
      <w:lang w:val="es-ES" w:eastAsia="es-ES"/>
    </w:rPr>
  </w:style>
  <w:style w:type="paragraph" w:styleId="NormalWeb">
    <w:name w:val="Normal (Web)"/>
    <w:basedOn w:val="Normal"/>
    <w:uiPriority w:val="99"/>
    <w:semiHidden/>
    <w:unhideWhenUsed/>
    <w:rsid w:val="009D0F50"/>
    <w:pPr>
      <w:spacing w:before="100" w:beforeAutospacing="1" w:after="100" w:afterAutospacing="1"/>
      <w:jc w:val="left"/>
    </w:pPr>
    <w:rPr>
      <w:rFonts w:ascii="Times New Roman" w:eastAsiaTheme="minorEastAsia" w:hAnsi="Times New Roman"/>
      <w:sz w:val="24"/>
      <w:szCs w:val="24"/>
      <w:lang w:val="en-US" w:eastAsia="en-US"/>
    </w:rPr>
  </w:style>
  <w:style w:type="numbering" w:customStyle="1" w:styleId="SDMMethEquationList">
    <w:name w:val="SDMMethEquationList"/>
    <w:uiPriority w:val="99"/>
    <w:rsid w:val="00D9066E"/>
    <w:pPr>
      <w:numPr>
        <w:numId w:val="5"/>
      </w:numPr>
    </w:pPr>
  </w:style>
  <w:style w:type="table" w:styleId="TableGrid">
    <w:name w:val="Table Grid"/>
    <w:basedOn w:val="TableNormal"/>
    <w:uiPriority w:val="39"/>
    <w:rsid w:val="00D9066E"/>
    <w:rPr>
      <w:lang w:val="en-US" w:eastAsia="zh-CN"/>
    </w:rPr>
    <w:tblPr/>
  </w:style>
  <w:style w:type="paragraph" w:customStyle="1" w:styleId="ParaTickBox">
    <w:name w:val="ParaTickBox"/>
    <w:basedOn w:val="Normal"/>
    <w:link w:val="ParaTickBoxChar"/>
    <w:rsid w:val="00460328"/>
    <w:pPr>
      <w:tabs>
        <w:tab w:val="left" w:pos="510"/>
      </w:tabs>
      <w:spacing w:before="60" w:after="60"/>
      <w:ind w:left="511" w:hanging="454"/>
      <w:jc w:val="left"/>
    </w:pPr>
    <w:rPr>
      <w:rFonts w:cs="Arial"/>
      <w:sz w:val="20"/>
      <w:szCs w:val="18"/>
      <w:lang w:eastAsia="en-US"/>
    </w:rPr>
  </w:style>
  <w:style w:type="character" w:customStyle="1" w:styleId="ParaTickBoxChar">
    <w:name w:val="ParaTickBox Char"/>
    <w:link w:val="ParaTickBox"/>
    <w:rsid w:val="00460328"/>
    <w:rPr>
      <w:rFonts w:ascii="Arial" w:hAnsi="Arial" w:cs="Arial"/>
      <w:szCs w:val="18"/>
      <w:lang w:eastAsia="en-US"/>
    </w:rPr>
  </w:style>
  <w:style w:type="paragraph" w:styleId="Revision">
    <w:name w:val="Revision"/>
    <w:hidden/>
    <w:uiPriority w:val="99"/>
    <w:semiHidden/>
    <w:rsid w:val="004F744A"/>
    <w:rPr>
      <w:rFonts w:ascii="Arial" w:hAnsi="Arial"/>
      <w:sz w:val="22"/>
      <w:lang w:eastAsia="de-DE"/>
    </w:rPr>
  </w:style>
  <w:style w:type="character" w:customStyle="1" w:styleId="CommentTextChar">
    <w:name w:val="Comment Text Char"/>
    <w:basedOn w:val="DefaultParagraphFont"/>
    <w:link w:val="CommentText"/>
    <w:rsid w:val="000322E5"/>
    <w:rPr>
      <w:rFonts w:ascii="Arial" w:hAnsi="Arial"/>
      <w:lang w:eastAsia="en-US"/>
    </w:rPr>
  </w:style>
  <w:style w:type="character" w:customStyle="1" w:styleId="SDMParaChar">
    <w:name w:val="SDMPara Char"/>
    <w:basedOn w:val="DefaultParagraphFont"/>
    <w:link w:val="SDMPara"/>
    <w:locked/>
    <w:rsid w:val="00990E16"/>
    <w:rPr>
      <w:rFonts w:ascii="Arial" w:eastAsia="Times New Roman" w:hAnsi="Arial" w:cs="Arial"/>
      <w:sz w:val="22"/>
      <w:szCs w:val="22"/>
      <w:lang w:eastAsia="de-DE"/>
    </w:rPr>
  </w:style>
  <w:style w:type="character" w:customStyle="1" w:styleId="normaltextrun">
    <w:name w:val="normaltextrun"/>
    <w:basedOn w:val="DefaultParagraphFont"/>
    <w:rsid w:val="00C656AA"/>
  </w:style>
  <w:style w:type="character" w:customStyle="1" w:styleId="findhit">
    <w:name w:val="findhit"/>
    <w:basedOn w:val="DefaultParagraphFont"/>
    <w:rsid w:val="00C656AA"/>
  </w:style>
  <w:style w:type="character" w:styleId="Emphasis">
    <w:name w:val="Emphasis"/>
    <w:basedOn w:val="DefaultParagraphFont"/>
    <w:uiPriority w:val="20"/>
    <w:qFormat/>
    <w:rsid w:val="00C656AA"/>
    <w:rPr>
      <w:i/>
      <w:iCs/>
    </w:rPr>
  </w:style>
  <w:style w:type="character" w:styleId="FollowedHyperlink">
    <w:name w:val="FollowedHyperlink"/>
    <w:basedOn w:val="DefaultParagraphFont"/>
    <w:semiHidden/>
    <w:unhideWhenUsed/>
    <w:rsid w:val="00C656AA"/>
    <w:rPr>
      <w:color w:val="800080" w:themeColor="followedHyperlink"/>
      <w:u w:val="single"/>
    </w:rPr>
  </w:style>
  <w:style w:type="paragraph" w:customStyle="1" w:styleId="Default">
    <w:name w:val="Default"/>
    <w:rsid w:val="00CA53C0"/>
    <w:pPr>
      <w:autoSpaceDE w:val="0"/>
      <w:autoSpaceDN w:val="0"/>
      <w:adjustRightInd w:val="0"/>
    </w:pPr>
    <w:rPr>
      <w:rFonts w:ascii="Arial" w:hAnsi="Arial" w:cs="Arial"/>
      <w:color w:val="000000"/>
      <w:sz w:val="24"/>
      <w:szCs w:val="24"/>
      <w:lang w:val="en-US"/>
    </w:rPr>
  </w:style>
  <w:style w:type="character" w:styleId="Strong">
    <w:name w:val="Strong"/>
    <w:basedOn w:val="DefaultParagraphFont"/>
    <w:uiPriority w:val="22"/>
    <w:qFormat/>
    <w:rsid w:val="005D7ACD"/>
    <w:rPr>
      <w:b/>
      <w:bCs/>
    </w:rPr>
  </w:style>
  <w:style w:type="character" w:styleId="UnresolvedMention">
    <w:name w:val="Unresolved Mention"/>
    <w:basedOn w:val="DefaultParagraphFont"/>
    <w:uiPriority w:val="99"/>
    <w:unhideWhenUsed/>
    <w:rsid w:val="00187A3A"/>
    <w:rPr>
      <w:color w:val="605E5C"/>
      <w:shd w:val="clear" w:color="auto" w:fill="E1DFDD"/>
    </w:rPr>
  </w:style>
  <w:style w:type="character" w:customStyle="1" w:styleId="CaptionChar">
    <w:name w:val="Caption Char"/>
    <w:link w:val="Caption"/>
    <w:rsid w:val="00B33851"/>
    <w:rPr>
      <w:rFonts w:ascii="Arial" w:eastAsia="Times New Roman" w:hAnsi="Arial"/>
      <w:b/>
      <w:bCs/>
      <w:lang w:eastAsia="de-DE"/>
    </w:rPr>
  </w:style>
  <w:style w:type="character" w:styleId="Mention">
    <w:name w:val="Mention"/>
    <w:basedOn w:val="DefaultParagraphFont"/>
    <w:uiPriority w:val="99"/>
    <w:unhideWhenUsed/>
    <w:rsid w:val="00816AF7"/>
    <w:rPr>
      <w:color w:val="2B579A"/>
      <w:shd w:val="clear" w:color="auto" w:fill="E1DFDD"/>
    </w:rPr>
  </w:style>
  <w:style w:type="table" w:customStyle="1" w:styleId="SDMTableFullWidth">
    <w:name w:val="SDMTableFullWidth"/>
    <w:basedOn w:val="SDMTable"/>
    <w:uiPriority w:val="99"/>
    <w:rsid w:val="000E5A82"/>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89274">
      <w:bodyDiv w:val="1"/>
      <w:marLeft w:val="0"/>
      <w:marRight w:val="0"/>
      <w:marTop w:val="0"/>
      <w:marBottom w:val="0"/>
      <w:divBdr>
        <w:top w:val="none" w:sz="0" w:space="0" w:color="auto"/>
        <w:left w:val="none" w:sz="0" w:space="0" w:color="auto"/>
        <w:bottom w:val="none" w:sz="0" w:space="0" w:color="auto"/>
        <w:right w:val="none" w:sz="0" w:space="0" w:color="auto"/>
      </w:divBdr>
    </w:div>
    <w:div w:id="69887403">
      <w:bodyDiv w:val="1"/>
      <w:marLeft w:val="0"/>
      <w:marRight w:val="0"/>
      <w:marTop w:val="0"/>
      <w:marBottom w:val="0"/>
      <w:divBdr>
        <w:top w:val="none" w:sz="0" w:space="0" w:color="auto"/>
        <w:left w:val="none" w:sz="0" w:space="0" w:color="auto"/>
        <w:bottom w:val="none" w:sz="0" w:space="0" w:color="auto"/>
        <w:right w:val="none" w:sz="0" w:space="0" w:color="auto"/>
      </w:divBdr>
    </w:div>
    <w:div w:id="83428032">
      <w:bodyDiv w:val="1"/>
      <w:marLeft w:val="0"/>
      <w:marRight w:val="0"/>
      <w:marTop w:val="0"/>
      <w:marBottom w:val="0"/>
      <w:divBdr>
        <w:top w:val="none" w:sz="0" w:space="0" w:color="auto"/>
        <w:left w:val="none" w:sz="0" w:space="0" w:color="auto"/>
        <w:bottom w:val="none" w:sz="0" w:space="0" w:color="auto"/>
        <w:right w:val="none" w:sz="0" w:space="0" w:color="auto"/>
      </w:divBdr>
    </w:div>
    <w:div w:id="129980747">
      <w:bodyDiv w:val="1"/>
      <w:marLeft w:val="0"/>
      <w:marRight w:val="0"/>
      <w:marTop w:val="0"/>
      <w:marBottom w:val="0"/>
      <w:divBdr>
        <w:top w:val="none" w:sz="0" w:space="0" w:color="auto"/>
        <w:left w:val="none" w:sz="0" w:space="0" w:color="auto"/>
        <w:bottom w:val="none" w:sz="0" w:space="0" w:color="auto"/>
        <w:right w:val="none" w:sz="0" w:space="0" w:color="auto"/>
      </w:divBdr>
    </w:div>
    <w:div w:id="192348450">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323973074">
      <w:bodyDiv w:val="1"/>
      <w:marLeft w:val="0"/>
      <w:marRight w:val="0"/>
      <w:marTop w:val="0"/>
      <w:marBottom w:val="0"/>
      <w:divBdr>
        <w:top w:val="none" w:sz="0" w:space="0" w:color="auto"/>
        <w:left w:val="none" w:sz="0" w:space="0" w:color="auto"/>
        <w:bottom w:val="none" w:sz="0" w:space="0" w:color="auto"/>
        <w:right w:val="none" w:sz="0" w:space="0" w:color="auto"/>
      </w:divBdr>
    </w:div>
    <w:div w:id="326444753">
      <w:bodyDiv w:val="1"/>
      <w:marLeft w:val="0"/>
      <w:marRight w:val="0"/>
      <w:marTop w:val="0"/>
      <w:marBottom w:val="0"/>
      <w:divBdr>
        <w:top w:val="none" w:sz="0" w:space="0" w:color="auto"/>
        <w:left w:val="none" w:sz="0" w:space="0" w:color="auto"/>
        <w:bottom w:val="none" w:sz="0" w:space="0" w:color="auto"/>
        <w:right w:val="none" w:sz="0" w:space="0" w:color="auto"/>
      </w:divBdr>
    </w:div>
    <w:div w:id="458839967">
      <w:bodyDiv w:val="1"/>
      <w:marLeft w:val="0"/>
      <w:marRight w:val="0"/>
      <w:marTop w:val="0"/>
      <w:marBottom w:val="0"/>
      <w:divBdr>
        <w:top w:val="none" w:sz="0" w:space="0" w:color="auto"/>
        <w:left w:val="none" w:sz="0" w:space="0" w:color="auto"/>
        <w:bottom w:val="none" w:sz="0" w:space="0" w:color="auto"/>
        <w:right w:val="none" w:sz="0" w:space="0" w:color="auto"/>
      </w:divBdr>
    </w:div>
    <w:div w:id="531115437">
      <w:bodyDiv w:val="1"/>
      <w:marLeft w:val="0"/>
      <w:marRight w:val="0"/>
      <w:marTop w:val="0"/>
      <w:marBottom w:val="0"/>
      <w:divBdr>
        <w:top w:val="none" w:sz="0" w:space="0" w:color="auto"/>
        <w:left w:val="none" w:sz="0" w:space="0" w:color="auto"/>
        <w:bottom w:val="none" w:sz="0" w:space="0" w:color="auto"/>
        <w:right w:val="none" w:sz="0" w:space="0" w:color="auto"/>
      </w:divBdr>
    </w:div>
    <w:div w:id="533928646">
      <w:bodyDiv w:val="1"/>
      <w:marLeft w:val="0"/>
      <w:marRight w:val="0"/>
      <w:marTop w:val="0"/>
      <w:marBottom w:val="0"/>
      <w:divBdr>
        <w:top w:val="none" w:sz="0" w:space="0" w:color="auto"/>
        <w:left w:val="none" w:sz="0" w:space="0" w:color="auto"/>
        <w:bottom w:val="none" w:sz="0" w:space="0" w:color="auto"/>
        <w:right w:val="none" w:sz="0" w:space="0" w:color="auto"/>
      </w:divBdr>
    </w:div>
    <w:div w:id="555707078">
      <w:bodyDiv w:val="1"/>
      <w:marLeft w:val="0"/>
      <w:marRight w:val="0"/>
      <w:marTop w:val="0"/>
      <w:marBottom w:val="0"/>
      <w:divBdr>
        <w:top w:val="none" w:sz="0" w:space="0" w:color="auto"/>
        <w:left w:val="none" w:sz="0" w:space="0" w:color="auto"/>
        <w:bottom w:val="none" w:sz="0" w:space="0" w:color="auto"/>
        <w:right w:val="none" w:sz="0" w:space="0" w:color="auto"/>
      </w:divBdr>
    </w:div>
    <w:div w:id="565066753">
      <w:bodyDiv w:val="1"/>
      <w:marLeft w:val="0"/>
      <w:marRight w:val="0"/>
      <w:marTop w:val="0"/>
      <w:marBottom w:val="0"/>
      <w:divBdr>
        <w:top w:val="none" w:sz="0" w:space="0" w:color="auto"/>
        <w:left w:val="none" w:sz="0" w:space="0" w:color="auto"/>
        <w:bottom w:val="none" w:sz="0" w:space="0" w:color="auto"/>
        <w:right w:val="none" w:sz="0" w:space="0" w:color="auto"/>
      </w:divBdr>
    </w:div>
    <w:div w:id="585766451">
      <w:bodyDiv w:val="1"/>
      <w:marLeft w:val="0"/>
      <w:marRight w:val="0"/>
      <w:marTop w:val="0"/>
      <w:marBottom w:val="0"/>
      <w:divBdr>
        <w:top w:val="none" w:sz="0" w:space="0" w:color="auto"/>
        <w:left w:val="none" w:sz="0" w:space="0" w:color="auto"/>
        <w:bottom w:val="none" w:sz="0" w:space="0" w:color="auto"/>
        <w:right w:val="none" w:sz="0" w:space="0" w:color="auto"/>
      </w:divBdr>
    </w:div>
    <w:div w:id="728961980">
      <w:bodyDiv w:val="1"/>
      <w:marLeft w:val="0"/>
      <w:marRight w:val="0"/>
      <w:marTop w:val="0"/>
      <w:marBottom w:val="0"/>
      <w:divBdr>
        <w:top w:val="none" w:sz="0" w:space="0" w:color="auto"/>
        <w:left w:val="none" w:sz="0" w:space="0" w:color="auto"/>
        <w:bottom w:val="none" w:sz="0" w:space="0" w:color="auto"/>
        <w:right w:val="none" w:sz="0" w:space="0" w:color="auto"/>
      </w:divBdr>
    </w:div>
    <w:div w:id="862981061">
      <w:bodyDiv w:val="1"/>
      <w:marLeft w:val="0"/>
      <w:marRight w:val="0"/>
      <w:marTop w:val="0"/>
      <w:marBottom w:val="0"/>
      <w:divBdr>
        <w:top w:val="none" w:sz="0" w:space="0" w:color="auto"/>
        <w:left w:val="none" w:sz="0" w:space="0" w:color="auto"/>
        <w:bottom w:val="none" w:sz="0" w:space="0" w:color="auto"/>
        <w:right w:val="none" w:sz="0" w:space="0" w:color="auto"/>
      </w:divBdr>
    </w:div>
    <w:div w:id="896866665">
      <w:bodyDiv w:val="1"/>
      <w:marLeft w:val="0"/>
      <w:marRight w:val="0"/>
      <w:marTop w:val="0"/>
      <w:marBottom w:val="0"/>
      <w:divBdr>
        <w:top w:val="none" w:sz="0" w:space="0" w:color="auto"/>
        <w:left w:val="none" w:sz="0" w:space="0" w:color="auto"/>
        <w:bottom w:val="none" w:sz="0" w:space="0" w:color="auto"/>
        <w:right w:val="none" w:sz="0" w:space="0" w:color="auto"/>
      </w:divBdr>
    </w:div>
    <w:div w:id="934942610">
      <w:bodyDiv w:val="1"/>
      <w:marLeft w:val="0"/>
      <w:marRight w:val="0"/>
      <w:marTop w:val="0"/>
      <w:marBottom w:val="0"/>
      <w:divBdr>
        <w:top w:val="none" w:sz="0" w:space="0" w:color="auto"/>
        <w:left w:val="none" w:sz="0" w:space="0" w:color="auto"/>
        <w:bottom w:val="none" w:sz="0" w:space="0" w:color="auto"/>
        <w:right w:val="none" w:sz="0" w:space="0" w:color="auto"/>
      </w:divBdr>
    </w:div>
    <w:div w:id="971982900">
      <w:bodyDiv w:val="1"/>
      <w:marLeft w:val="0"/>
      <w:marRight w:val="0"/>
      <w:marTop w:val="0"/>
      <w:marBottom w:val="0"/>
      <w:divBdr>
        <w:top w:val="none" w:sz="0" w:space="0" w:color="auto"/>
        <w:left w:val="none" w:sz="0" w:space="0" w:color="auto"/>
        <w:bottom w:val="none" w:sz="0" w:space="0" w:color="auto"/>
        <w:right w:val="none" w:sz="0" w:space="0" w:color="auto"/>
      </w:divBdr>
    </w:div>
    <w:div w:id="1032682438">
      <w:bodyDiv w:val="1"/>
      <w:marLeft w:val="0"/>
      <w:marRight w:val="0"/>
      <w:marTop w:val="0"/>
      <w:marBottom w:val="0"/>
      <w:divBdr>
        <w:top w:val="none" w:sz="0" w:space="0" w:color="auto"/>
        <w:left w:val="none" w:sz="0" w:space="0" w:color="auto"/>
        <w:bottom w:val="none" w:sz="0" w:space="0" w:color="auto"/>
        <w:right w:val="none" w:sz="0" w:space="0" w:color="auto"/>
      </w:divBdr>
    </w:div>
    <w:div w:id="1128547816">
      <w:bodyDiv w:val="1"/>
      <w:marLeft w:val="0"/>
      <w:marRight w:val="0"/>
      <w:marTop w:val="0"/>
      <w:marBottom w:val="0"/>
      <w:divBdr>
        <w:top w:val="none" w:sz="0" w:space="0" w:color="auto"/>
        <w:left w:val="none" w:sz="0" w:space="0" w:color="auto"/>
        <w:bottom w:val="none" w:sz="0" w:space="0" w:color="auto"/>
        <w:right w:val="none" w:sz="0" w:space="0" w:color="auto"/>
      </w:divBdr>
    </w:div>
    <w:div w:id="1186364914">
      <w:bodyDiv w:val="1"/>
      <w:marLeft w:val="0"/>
      <w:marRight w:val="0"/>
      <w:marTop w:val="0"/>
      <w:marBottom w:val="0"/>
      <w:divBdr>
        <w:top w:val="none" w:sz="0" w:space="0" w:color="auto"/>
        <w:left w:val="none" w:sz="0" w:space="0" w:color="auto"/>
        <w:bottom w:val="none" w:sz="0" w:space="0" w:color="auto"/>
        <w:right w:val="none" w:sz="0" w:space="0" w:color="auto"/>
      </w:divBdr>
    </w:div>
    <w:div w:id="1207840538">
      <w:bodyDiv w:val="1"/>
      <w:marLeft w:val="0"/>
      <w:marRight w:val="0"/>
      <w:marTop w:val="0"/>
      <w:marBottom w:val="0"/>
      <w:divBdr>
        <w:top w:val="none" w:sz="0" w:space="0" w:color="auto"/>
        <w:left w:val="none" w:sz="0" w:space="0" w:color="auto"/>
        <w:bottom w:val="none" w:sz="0" w:space="0" w:color="auto"/>
        <w:right w:val="none" w:sz="0" w:space="0" w:color="auto"/>
      </w:divBdr>
    </w:div>
    <w:div w:id="1245455155">
      <w:bodyDiv w:val="1"/>
      <w:marLeft w:val="0"/>
      <w:marRight w:val="0"/>
      <w:marTop w:val="0"/>
      <w:marBottom w:val="0"/>
      <w:divBdr>
        <w:top w:val="none" w:sz="0" w:space="0" w:color="auto"/>
        <w:left w:val="none" w:sz="0" w:space="0" w:color="auto"/>
        <w:bottom w:val="none" w:sz="0" w:space="0" w:color="auto"/>
        <w:right w:val="none" w:sz="0" w:space="0" w:color="auto"/>
      </w:divBdr>
    </w:div>
    <w:div w:id="1359769288">
      <w:bodyDiv w:val="1"/>
      <w:marLeft w:val="0"/>
      <w:marRight w:val="0"/>
      <w:marTop w:val="0"/>
      <w:marBottom w:val="0"/>
      <w:divBdr>
        <w:top w:val="none" w:sz="0" w:space="0" w:color="auto"/>
        <w:left w:val="none" w:sz="0" w:space="0" w:color="auto"/>
        <w:bottom w:val="none" w:sz="0" w:space="0" w:color="auto"/>
        <w:right w:val="none" w:sz="0" w:space="0" w:color="auto"/>
      </w:divBdr>
    </w:div>
    <w:div w:id="1464811109">
      <w:bodyDiv w:val="1"/>
      <w:marLeft w:val="0"/>
      <w:marRight w:val="0"/>
      <w:marTop w:val="0"/>
      <w:marBottom w:val="0"/>
      <w:divBdr>
        <w:top w:val="none" w:sz="0" w:space="0" w:color="auto"/>
        <w:left w:val="none" w:sz="0" w:space="0" w:color="auto"/>
        <w:bottom w:val="none" w:sz="0" w:space="0" w:color="auto"/>
        <w:right w:val="none" w:sz="0" w:space="0" w:color="auto"/>
      </w:divBdr>
    </w:div>
    <w:div w:id="1661349216">
      <w:bodyDiv w:val="1"/>
      <w:marLeft w:val="0"/>
      <w:marRight w:val="0"/>
      <w:marTop w:val="0"/>
      <w:marBottom w:val="0"/>
      <w:divBdr>
        <w:top w:val="none" w:sz="0" w:space="0" w:color="auto"/>
        <w:left w:val="none" w:sz="0" w:space="0" w:color="auto"/>
        <w:bottom w:val="none" w:sz="0" w:space="0" w:color="auto"/>
        <w:right w:val="none" w:sz="0" w:space="0" w:color="auto"/>
      </w:divBdr>
    </w:div>
    <w:div w:id="1740637186">
      <w:bodyDiv w:val="1"/>
      <w:marLeft w:val="0"/>
      <w:marRight w:val="0"/>
      <w:marTop w:val="0"/>
      <w:marBottom w:val="0"/>
      <w:divBdr>
        <w:top w:val="none" w:sz="0" w:space="0" w:color="auto"/>
        <w:left w:val="none" w:sz="0" w:space="0" w:color="auto"/>
        <w:bottom w:val="none" w:sz="0" w:space="0" w:color="auto"/>
        <w:right w:val="none" w:sz="0" w:space="0" w:color="auto"/>
      </w:divBdr>
    </w:div>
    <w:div w:id="1776175270">
      <w:bodyDiv w:val="1"/>
      <w:marLeft w:val="0"/>
      <w:marRight w:val="0"/>
      <w:marTop w:val="0"/>
      <w:marBottom w:val="0"/>
      <w:divBdr>
        <w:top w:val="none" w:sz="0" w:space="0" w:color="auto"/>
        <w:left w:val="none" w:sz="0" w:space="0" w:color="auto"/>
        <w:bottom w:val="none" w:sz="0" w:space="0" w:color="auto"/>
        <w:right w:val="none" w:sz="0" w:space="0" w:color="auto"/>
      </w:divBdr>
    </w:div>
    <w:div w:id="1789200234">
      <w:bodyDiv w:val="1"/>
      <w:marLeft w:val="0"/>
      <w:marRight w:val="0"/>
      <w:marTop w:val="0"/>
      <w:marBottom w:val="0"/>
      <w:divBdr>
        <w:top w:val="none" w:sz="0" w:space="0" w:color="auto"/>
        <w:left w:val="none" w:sz="0" w:space="0" w:color="auto"/>
        <w:bottom w:val="none" w:sz="0" w:space="0" w:color="auto"/>
        <w:right w:val="none" w:sz="0" w:space="0" w:color="auto"/>
      </w:divBdr>
    </w:div>
    <w:div w:id="1907908079">
      <w:bodyDiv w:val="1"/>
      <w:marLeft w:val="0"/>
      <w:marRight w:val="0"/>
      <w:marTop w:val="0"/>
      <w:marBottom w:val="0"/>
      <w:divBdr>
        <w:top w:val="none" w:sz="0" w:space="0" w:color="auto"/>
        <w:left w:val="none" w:sz="0" w:space="0" w:color="auto"/>
        <w:bottom w:val="none" w:sz="0" w:space="0" w:color="auto"/>
        <w:right w:val="none" w:sz="0" w:space="0" w:color="auto"/>
      </w:divBdr>
    </w:div>
    <w:div w:id="2002466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unfccc.int/sites/default/files/resource/A6.4-STAN-METH-005.pdf" TargetMode="External"/><Relationship Id="rId2" Type="http://schemas.openxmlformats.org/officeDocument/2006/relationships/hyperlink" Target="https://www.ipcc-nggip.iges.or.jp/public/2019rf/index.html" TargetMode="External"/><Relationship Id="rId1" Type="http://schemas.openxmlformats.org/officeDocument/2006/relationships/hyperlink" Target="https://unfccc.int/sites/default/files/resource/A6.4-PROC-METH-001.pdf" TargetMode="External"/><Relationship Id="rId4" Type="http://schemas.openxmlformats.org/officeDocument/2006/relationships/hyperlink" Target="https://ember-energy.org/da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programme.unfccc.int/drive/CDM/files/CDM07-Official%20Documents%20(CDM)/Templates/CDM_Too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08D16AF5F140AAB73A0F79BF2C8F3E"/>
        <w:category>
          <w:name w:val="General"/>
          <w:gallery w:val="placeholder"/>
        </w:category>
        <w:types>
          <w:type w:val="bbPlcHdr"/>
        </w:types>
        <w:behaviors>
          <w:behavior w:val="content"/>
        </w:behaviors>
        <w:guid w:val="{52ED3FBD-85EF-4B92-AF01-AF2D431C2DE6}"/>
      </w:docPartPr>
      <w:docPartBody>
        <w:p w:rsidR="00C21A70" w:rsidRDefault="008A4FA3">
          <w:pPr>
            <w:pStyle w:val="4D08D16AF5F140AAB73A0F79BF2C8F3E"/>
          </w:pPr>
          <w:r w:rsidRPr="00773362">
            <w:rPr>
              <w:rStyle w:val="PlaceholderText"/>
              <w:lang w:val="de-DE"/>
            </w:rPr>
            <w:t>Wählen Sie ein Element aus.</w:t>
          </w:r>
        </w:p>
      </w:docPartBody>
    </w:docPart>
    <w:docPart>
      <w:docPartPr>
        <w:name w:val="5A3100E1B7214021BB4C4D0BE6428D77"/>
        <w:category>
          <w:name w:val="General"/>
          <w:gallery w:val="placeholder"/>
        </w:category>
        <w:types>
          <w:type w:val="bbPlcHdr"/>
        </w:types>
        <w:behaviors>
          <w:behavior w:val="content"/>
        </w:behaviors>
        <w:guid w:val="{6ABA6BCC-F158-4E5E-B717-C81B3DA88EA9}"/>
      </w:docPartPr>
      <w:docPartBody>
        <w:p w:rsidR="00C21A70" w:rsidRDefault="008A4FA3">
          <w:pPr>
            <w:pStyle w:val="5A3100E1B7214021BB4C4D0BE6428D77"/>
          </w:pPr>
          <w:r w:rsidRPr="0019515F">
            <w:rPr>
              <w:rStyle w:val="PlaceholderText"/>
            </w:rPr>
            <w:t>Klicken Sie hier, um Text einzugeben.</w:t>
          </w:r>
        </w:p>
      </w:docPartBody>
    </w:docPart>
    <w:docPart>
      <w:docPartPr>
        <w:name w:val="734F7489B6C645BE8C2B7D9415DD2522"/>
        <w:category>
          <w:name w:val="General"/>
          <w:gallery w:val="placeholder"/>
        </w:category>
        <w:types>
          <w:type w:val="bbPlcHdr"/>
        </w:types>
        <w:behaviors>
          <w:behavior w:val="content"/>
        </w:behaviors>
        <w:guid w:val="{FD9166C6-0025-4DAC-BBA2-5282DE726F4E}"/>
      </w:docPartPr>
      <w:docPartBody>
        <w:p w:rsidR="00836C9B" w:rsidRDefault="008A4FA3">
          <w:pPr>
            <w:pStyle w:val="734F7489B6C645BE8C2B7D9415DD2522"/>
          </w:pPr>
          <w:r>
            <w:t>222</w:t>
          </w:r>
          <w:r w:rsidRPr="008721FC">
            <w:rPr>
              <w:rStyle w:val="PlaceholderText"/>
            </w:rPr>
            <w:t>Document reference number</w:t>
          </w:r>
        </w:p>
      </w:docPartBody>
    </w:docPart>
    <w:docPart>
      <w:docPartPr>
        <w:name w:val="C249ADBE03F04533AA34C8A8C9A0D93F"/>
        <w:category>
          <w:name w:val="General"/>
          <w:gallery w:val="placeholder"/>
        </w:category>
        <w:types>
          <w:type w:val="bbPlcHdr"/>
        </w:types>
        <w:behaviors>
          <w:behavior w:val="content"/>
        </w:behaviors>
        <w:guid w:val="{AFAA4C97-CE88-41A1-B400-97F14DF1E5F5}"/>
      </w:docPartPr>
      <w:docPartBody>
        <w:p w:rsidR="00836C9B" w:rsidRDefault="00E1516D" w:rsidP="00E1516D">
          <w:pPr>
            <w:pStyle w:val="C249ADBE03F04533AA34C8A8C9A0D93F"/>
          </w:pPr>
          <w:r>
            <w:t>##.#</w:t>
          </w:r>
        </w:p>
      </w:docPartBody>
    </w:docPart>
    <w:docPart>
      <w:docPartPr>
        <w:name w:val="E4B7961FB81D4C16B97D6D21FF0D7795"/>
        <w:category>
          <w:name w:val="General"/>
          <w:gallery w:val="placeholder"/>
        </w:category>
        <w:types>
          <w:type w:val="bbPlcHdr"/>
        </w:types>
        <w:behaviors>
          <w:behavior w:val="content"/>
        </w:behaviors>
        <w:guid w:val="{B7C6257E-D300-4F51-B6DA-04071B2EB911}"/>
      </w:docPartPr>
      <w:docPartBody>
        <w:p w:rsidR="00BB72F8" w:rsidRDefault="008A4FA3">
          <w:pPr>
            <w:pStyle w:val="E4B7961FB81D4C16B97D6D21FF0D7795"/>
          </w:pPr>
          <w:r w:rsidRPr="001B3E66">
            <w:rPr>
              <w:rStyle w:val="PlaceholderText"/>
            </w:rPr>
            <w:t>Choose an item.</w:t>
          </w:r>
        </w:p>
      </w:docPartBody>
    </w:docPart>
    <w:docPart>
      <w:docPartPr>
        <w:name w:val="4749300D354F4E5B89482C4B3694DD2E"/>
        <w:category>
          <w:name w:val="General"/>
          <w:gallery w:val="placeholder"/>
        </w:category>
        <w:types>
          <w:type w:val="bbPlcHdr"/>
        </w:types>
        <w:behaviors>
          <w:behavior w:val="content"/>
        </w:behaviors>
        <w:guid w:val="{599905D9-1A93-4B64-B721-8C6AE810407E}"/>
      </w:docPartPr>
      <w:docPartBody>
        <w:p w:rsidR="00BB72F8" w:rsidRDefault="008A4FA3">
          <w:pPr>
            <w:pStyle w:val="4749300D354F4E5B89482C4B3694DD2E"/>
          </w:pPr>
          <w:r w:rsidRPr="0019515F">
            <w:rPr>
              <w:rStyle w:val="PlaceholderText"/>
            </w:rPr>
            <w:t>Klicken Sie hier, um Text einzugeben.</w:t>
          </w:r>
        </w:p>
      </w:docPartBody>
    </w:docPart>
    <w:docPart>
      <w:docPartPr>
        <w:name w:val="62597BBFFFC64953A66E570A71B93527"/>
        <w:category>
          <w:name w:val="General"/>
          <w:gallery w:val="placeholder"/>
        </w:category>
        <w:types>
          <w:type w:val="bbPlcHdr"/>
        </w:types>
        <w:behaviors>
          <w:behavior w:val="content"/>
        </w:behaviors>
        <w:guid w:val="{308AF7D1-4523-45AE-8852-8EFF2209EA77}"/>
      </w:docPartPr>
      <w:docPartBody>
        <w:p w:rsidR="00727105" w:rsidRDefault="008A4FA3">
          <w:pPr>
            <w:pStyle w:val="62597BBFFFC64953A66E570A71B93527"/>
          </w:pPr>
          <w:r w:rsidRPr="00CE2F3F">
            <w:rPr>
              <w:rStyle w:val="PlaceholderText"/>
            </w:rPr>
            <w:t>Klicken Sie hier, um Text einzugeben.</w:t>
          </w:r>
        </w:p>
      </w:docPartBody>
    </w:docPart>
    <w:docPart>
      <w:docPartPr>
        <w:name w:val="317B7105C08742AB9C545C33D8AB4CC3"/>
        <w:category>
          <w:name w:val="General"/>
          <w:gallery w:val="placeholder"/>
        </w:category>
        <w:types>
          <w:type w:val="bbPlcHdr"/>
        </w:types>
        <w:behaviors>
          <w:behavior w:val="content"/>
        </w:behaviors>
        <w:guid w:val="{2994A821-B049-4F65-BFAE-4A307A6BA328}"/>
      </w:docPartPr>
      <w:docPartBody>
        <w:p w:rsidR="00727105" w:rsidRDefault="008A4FA3">
          <w:pPr>
            <w:pStyle w:val="317B7105C08742AB9C545C33D8AB4CC3"/>
          </w:pPr>
          <w:r w:rsidRPr="00CE2F3F">
            <w:rPr>
              <w:rStyle w:val="PlaceholderText"/>
            </w:rPr>
            <w:t>Klicken Sie hier, um Text einzugeben.</w:t>
          </w:r>
        </w:p>
      </w:docPartBody>
    </w:docPart>
    <w:docPart>
      <w:docPartPr>
        <w:name w:val="624987881C1B4EB5945831160BC36DD2"/>
        <w:category>
          <w:name w:val="General"/>
          <w:gallery w:val="placeholder"/>
        </w:category>
        <w:types>
          <w:type w:val="bbPlcHdr"/>
        </w:types>
        <w:behaviors>
          <w:behavior w:val="content"/>
        </w:behaviors>
        <w:guid w:val="{29DA8D3E-3033-49DB-B610-EA451D01F45E}"/>
      </w:docPartPr>
      <w:docPartBody>
        <w:p w:rsidR="00000000" w:rsidRDefault="0067523F" w:rsidP="0067523F">
          <w:pPr>
            <w:pStyle w:val="624987881C1B4EB5945831160BC36DD2"/>
          </w:pPr>
          <w:r w:rsidRPr="00773362">
            <w:rPr>
              <w:rStyle w:val="PlaceholderText"/>
              <w:lang w:val="de-DE"/>
            </w:rPr>
            <w:t>Wählen Sie ein Element aus.</w:t>
          </w:r>
        </w:p>
      </w:docPartBody>
    </w:docPart>
    <w:docPart>
      <w:docPartPr>
        <w:name w:val="D744ED04CA524B09ADB50B039148C09A"/>
        <w:category>
          <w:name w:val="General"/>
          <w:gallery w:val="placeholder"/>
        </w:category>
        <w:types>
          <w:type w:val="bbPlcHdr"/>
        </w:types>
        <w:behaviors>
          <w:behavior w:val="content"/>
        </w:behaviors>
        <w:guid w:val="{D36FD4D5-FA7A-4F81-AB5C-F4460FF67820}"/>
      </w:docPartPr>
      <w:docPartBody>
        <w:p w:rsidR="00000000" w:rsidRDefault="0067523F" w:rsidP="0067523F">
          <w:pPr>
            <w:pStyle w:val="D744ED04CA524B09ADB50B039148C09A"/>
          </w:pPr>
          <w:r w:rsidRPr="0019515F">
            <w:rPr>
              <w:rStyle w:val="PlaceholderText"/>
            </w:rPr>
            <w:t>Klicken Sie hier, um Text einzugeben.</w:t>
          </w:r>
        </w:p>
      </w:docPartBody>
    </w:docPart>
    <w:docPart>
      <w:docPartPr>
        <w:name w:val="AEE7D05D55004FE98C94F02828902EE9"/>
        <w:category>
          <w:name w:val="General"/>
          <w:gallery w:val="placeholder"/>
        </w:category>
        <w:types>
          <w:type w:val="bbPlcHdr"/>
        </w:types>
        <w:behaviors>
          <w:behavior w:val="content"/>
        </w:behaviors>
        <w:guid w:val="{06404C82-563B-4E83-8602-F0906101F46A}"/>
      </w:docPartPr>
      <w:docPartBody>
        <w:p w:rsidR="00000000" w:rsidRDefault="0067523F" w:rsidP="0067523F">
          <w:pPr>
            <w:pStyle w:val="AEE7D05D55004FE98C94F02828902EE9"/>
          </w:pPr>
          <w:r w:rsidRPr="001B3E66">
            <w:rPr>
              <w:rStyle w:val="PlaceholderText"/>
            </w:rPr>
            <w:t>Choose an item.</w:t>
          </w:r>
        </w:p>
      </w:docPartBody>
    </w:docPart>
    <w:docPart>
      <w:docPartPr>
        <w:name w:val="72A1D69C109749F2A162B61764C7D1A7"/>
        <w:category>
          <w:name w:val="General"/>
          <w:gallery w:val="placeholder"/>
        </w:category>
        <w:types>
          <w:type w:val="bbPlcHdr"/>
        </w:types>
        <w:behaviors>
          <w:behavior w:val="content"/>
        </w:behaviors>
        <w:guid w:val="{EE7F8BCF-320E-455E-A155-BE5BC7498949}"/>
      </w:docPartPr>
      <w:docPartBody>
        <w:p w:rsidR="00000000" w:rsidRDefault="0067523F" w:rsidP="0067523F">
          <w:pPr>
            <w:pStyle w:val="72A1D69C109749F2A162B61764C7D1A7"/>
          </w:pPr>
          <w:r w:rsidRPr="00CE2F3F">
            <w:rPr>
              <w:rStyle w:val="PlaceholderText"/>
            </w:rPr>
            <w:t>Klicken Sie hier, um Text einzugeben.</w:t>
          </w:r>
        </w:p>
      </w:docPartBody>
    </w:docPart>
    <w:docPart>
      <w:docPartPr>
        <w:name w:val="AF406C90C15D431B9FC7653BB96D8862"/>
        <w:category>
          <w:name w:val="General"/>
          <w:gallery w:val="placeholder"/>
        </w:category>
        <w:types>
          <w:type w:val="bbPlcHdr"/>
        </w:types>
        <w:behaviors>
          <w:behavior w:val="content"/>
        </w:behaviors>
        <w:guid w:val="{EFBA0F57-A7D9-4666-93DD-C34F39F36CF3}"/>
      </w:docPartPr>
      <w:docPartBody>
        <w:p w:rsidR="00000000" w:rsidRDefault="0067523F" w:rsidP="0067523F">
          <w:pPr>
            <w:pStyle w:val="AF406C90C15D431B9FC7653BB96D8862"/>
          </w:pPr>
          <w:r w:rsidRPr="00CE2F3F">
            <w:rPr>
              <w:rStyle w:val="PlaceholderText"/>
            </w:rPr>
            <w:t>Klicken Sie hier, um Text einzugeben.</w:t>
          </w:r>
        </w:p>
      </w:docPartBody>
    </w:docPart>
    <w:docPart>
      <w:docPartPr>
        <w:name w:val="57DACF30BAF140CAA44038001240D051"/>
        <w:category>
          <w:name w:val="General"/>
          <w:gallery w:val="placeholder"/>
        </w:category>
        <w:types>
          <w:type w:val="bbPlcHdr"/>
        </w:types>
        <w:behaviors>
          <w:behavior w:val="content"/>
        </w:behaviors>
        <w:guid w:val="{DD01D4DD-A045-45EC-8B46-2302D9FA03A4}"/>
      </w:docPartPr>
      <w:docPartBody>
        <w:p w:rsidR="00000000" w:rsidRDefault="0067523F" w:rsidP="0067523F">
          <w:pPr>
            <w:pStyle w:val="57DACF30BAF140CAA44038001240D051"/>
          </w:pPr>
          <w:r w:rsidRPr="0019515F">
            <w:rPr>
              <w:rStyle w:val="PlaceholderText"/>
            </w:rPr>
            <w:t>Klicken Sie hier, um Text einzugeben.</w:t>
          </w:r>
        </w:p>
      </w:docPartBody>
    </w:docPart>
    <w:docPart>
      <w:docPartPr>
        <w:name w:val="E5F752E4661E4A9CBFB46958883D22F9"/>
        <w:category>
          <w:name w:val="General"/>
          <w:gallery w:val="placeholder"/>
        </w:category>
        <w:types>
          <w:type w:val="bbPlcHdr"/>
        </w:types>
        <w:behaviors>
          <w:behavior w:val="content"/>
        </w:behaviors>
        <w:guid w:val="{B5D2CDD5-0988-487C-81FE-8EFBD2FBCF95}"/>
      </w:docPartPr>
      <w:docPartBody>
        <w:p w:rsidR="00000000" w:rsidRDefault="0067523F" w:rsidP="0067523F">
          <w:pPr>
            <w:pStyle w:val="E5F752E4661E4A9CBFB46958883D22F9"/>
          </w:pPr>
          <w:r>
            <w:t>##.#</w:t>
          </w:r>
        </w:p>
      </w:docPartBody>
    </w:docPart>
    <w:docPart>
      <w:docPartPr>
        <w:name w:val="0F00C090044B40869841FC82524925DF"/>
        <w:category>
          <w:name w:val="General"/>
          <w:gallery w:val="placeholder"/>
        </w:category>
        <w:types>
          <w:type w:val="bbPlcHdr"/>
        </w:types>
        <w:behaviors>
          <w:behavior w:val="content"/>
        </w:behaviors>
        <w:guid w:val="{BF5530CC-1012-4E89-9283-8114B9CD58AE}"/>
      </w:docPartPr>
      <w:docPartBody>
        <w:p w:rsidR="00000000" w:rsidRDefault="0067523F" w:rsidP="0067523F">
          <w:pPr>
            <w:pStyle w:val="0F00C090044B40869841FC82524925DF"/>
          </w:pPr>
          <w:r w:rsidRPr="00773362">
            <w:rPr>
              <w:rStyle w:val="PlaceholderText"/>
              <w:lang w:val="de-DE"/>
            </w:rPr>
            <w:t>Wählen Sie ein Element aus.</w:t>
          </w:r>
        </w:p>
      </w:docPartBody>
    </w:docPart>
    <w:docPart>
      <w:docPartPr>
        <w:name w:val="4449919201ED4F8897A8AF08186249F6"/>
        <w:category>
          <w:name w:val="General"/>
          <w:gallery w:val="placeholder"/>
        </w:category>
        <w:types>
          <w:type w:val="bbPlcHdr"/>
        </w:types>
        <w:behaviors>
          <w:behavior w:val="content"/>
        </w:behaviors>
        <w:guid w:val="{28F4D59E-7062-4AD3-808A-27C08D42FB0C}"/>
      </w:docPartPr>
      <w:docPartBody>
        <w:p w:rsidR="00000000" w:rsidRDefault="0067523F" w:rsidP="0067523F">
          <w:pPr>
            <w:pStyle w:val="4449919201ED4F8897A8AF08186249F6"/>
          </w:pPr>
          <w:r w:rsidRPr="0019515F">
            <w:rPr>
              <w:rStyle w:val="PlaceholderText"/>
            </w:rPr>
            <w:t>Klicken Sie hier, um Text einzugeben.</w:t>
          </w:r>
        </w:p>
      </w:docPartBody>
    </w:docPart>
    <w:docPart>
      <w:docPartPr>
        <w:name w:val="DED1E4A641C6446688F5FAA1A4052755"/>
        <w:category>
          <w:name w:val="General"/>
          <w:gallery w:val="placeholder"/>
        </w:category>
        <w:types>
          <w:type w:val="bbPlcHdr"/>
        </w:types>
        <w:behaviors>
          <w:behavior w:val="content"/>
        </w:behaviors>
        <w:guid w:val="{418ED39D-3F71-4C99-BB8A-2F5F2C1F7813}"/>
      </w:docPartPr>
      <w:docPartBody>
        <w:p w:rsidR="00000000" w:rsidRDefault="0067523F" w:rsidP="0067523F">
          <w:pPr>
            <w:pStyle w:val="DED1E4A641C6446688F5FAA1A4052755"/>
          </w:pPr>
          <w:r w:rsidRPr="001B3E66">
            <w:rPr>
              <w:rStyle w:val="PlaceholderText"/>
            </w:rPr>
            <w:t>Choose an item.</w:t>
          </w:r>
        </w:p>
      </w:docPartBody>
    </w:docPart>
    <w:docPart>
      <w:docPartPr>
        <w:name w:val="D93157DC036E4E759D6F5202550CB10C"/>
        <w:category>
          <w:name w:val="General"/>
          <w:gallery w:val="placeholder"/>
        </w:category>
        <w:types>
          <w:type w:val="bbPlcHdr"/>
        </w:types>
        <w:behaviors>
          <w:behavior w:val="content"/>
        </w:behaviors>
        <w:guid w:val="{40BABE12-37FD-4E4C-9B3B-F591893FA394}"/>
      </w:docPartPr>
      <w:docPartBody>
        <w:p w:rsidR="00000000" w:rsidRDefault="0067523F" w:rsidP="0067523F">
          <w:pPr>
            <w:pStyle w:val="D93157DC036E4E759D6F5202550CB10C"/>
          </w:pPr>
          <w:r w:rsidRPr="00CE2F3F">
            <w:rPr>
              <w:rStyle w:val="PlaceholderText"/>
            </w:rPr>
            <w:t>Klicken Sie hier, um Text einzugeben.</w:t>
          </w:r>
        </w:p>
      </w:docPartBody>
    </w:docPart>
    <w:docPart>
      <w:docPartPr>
        <w:name w:val="A21E202F7C9546D18FFFFBB05BD74A07"/>
        <w:category>
          <w:name w:val="General"/>
          <w:gallery w:val="placeholder"/>
        </w:category>
        <w:types>
          <w:type w:val="bbPlcHdr"/>
        </w:types>
        <w:behaviors>
          <w:behavior w:val="content"/>
        </w:behaviors>
        <w:guid w:val="{82E2D1BA-A59C-431E-86C6-B47C7780E95B}"/>
      </w:docPartPr>
      <w:docPartBody>
        <w:p w:rsidR="00000000" w:rsidRDefault="0067523F" w:rsidP="0067523F">
          <w:pPr>
            <w:pStyle w:val="A21E202F7C9546D18FFFFBB05BD74A07"/>
          </w:pPr>
          <w:r w:rsidRPr="00CE2F3F">
            <w:rPr>
              <w:rStyle w:val="PlaceholderText"/>
            </w:rPr>
            <w:t>Klicken Sie hier, um Text einzugeben.</w:t>
          </w:r>
        </w:p>
      </w:docPartBody>
    </w:docPart>
    <w:docPart>
      <w:docPartPr>
        <w:name w:val="359003EAE20B43AEBE62F530F0662D6E"/>
        <w:category>
          <w:name w:val="General"/>
          <w:gallery w:val="placeholder"/>
        </w:category>
        <w:types>
          <w:type w:val="bbPlcHdr"/>
        </w:types>
        <w:behaviors>
          <w:behavior w:val="content"/>
        </w:behaviors>
        <w:guid w:val="{32AB8D8C-5F87-4222-9625-C78C9CFF5283}"/>
      </w:docPartPr>
      <w:docPartBody>
        <w:p w:rsidR="00000000" w:rsidRDefault="0067523F" w:rsidP="0067523F">
          <w:pPr>
            <w:pStyle w:val="359003EAE20B43AEBE62F530F0662D6E"/>
          </w:pPr>
          <w:r w:rsidRPr="0019515F">
            <w:rPr>
              <w:rStyle w:val="PlaceholderText"/>
            </w:rPr>
            <w:t>Klicken Sie hier, um Text einzugeben.</w:t>
          </w:r>
        </w:p>
      </w:docPartBody>
    </w:docPart>
    <w:docPart>
      <w:docPartPr>
        <w:name w:val="5C57B714CCA042418236F550CC921C90"/>
        <w:category>
          <w:name w:val="General"/>
          <w:gallery w:val="placeholder"/>
        </w:category>
        <w:types>
          <w:type w:val="bbPlcHdr"/>
        </w:types>
        <w:behaviors>
          <w:behavior w:val="content"/>
        </w:behaviors>
        <w:guid w:val="{CEF62FF8-3004-402F-BC28-3AFA32D296B3}"/>
      </w:docPartPr>
      <w:docPartBody>
        <w:p w:rsidR="00000000" w:rsidRDefault="0067523F" w:rsidP="0067523F">
          <w:pPr>
            <w:pStyle w:val="5C57B714CCA042418236F550CC921C90"/>
          </w:pPr>
          <w:r>
            <w:t>##.#</w:t>
          </w:r>
        </w:p>
      </w:docPartBody>
    </w:docPart>
    <w:docPart>
      <w:docPartPr>
        <w:name w:val="4ED8012558294810B7CBBDC6107701EA"/>
        <w:category>
          <w:name w:val="General"/>
          <w:gallery w:val="placeholder"/>
        </w:category>
        <w:types>
          <w:type w:val="bbPlcHdr"/>
        </w:types>
        <w:behaviors>
          <w:behavior w:val="content"/>
        </w:behaviors>
        <w:guid w:val="{195DA1E9-22F6-46A3-91E1-655A314FD329}"/>
      </w:docPartPr>
      <w:docPartBody>
        <w:p w:rsidR="00000000" w:rsidRDefault="0067523F" w:rsidP="0067523F">
          <w:pPr>
            <w:pStyle w:val="4ED8012558294810B7CBBDC6107701EA"/>
          </w:pPr>
          <w:r w:rsidRPr="00773362">
            <w:rPr>
              <w:rStyle w:val="PlaceholderText"/>
              <w:lang w:val="de-DE"/>
            </w:rPr>
            <w:t>Wählen Sie ein Element aus.</w:t>
          </w:r>
        </w:p>
      </w:docPartBody>
    </w:docPart>
    <w:docPart>
      <w:docPartPr>
        <w:name w:val="FE80DA1A50B44AABAC081BE71E843F2F"/>
        <w:category>
          <w:name w:val="General"/>
          <w:gallery w:val="placeholder"/>
        </w:category>
        <w:types>
          <w:type w:val="bbPlcHdr"/>
        </w:types>
        <w:behaviors>
          <w:behavior w:val="content"/>
        </w:behaviors>
        <w:guid w:val="{E7D5BA3C-9238-4251-8DB8-B2B2E62CF6AB}"/>
      </w:docPartPr>
      <w:docPartBody>
        <w:p w:rsidR="00000000" w:rsidRDefault="0067523F" w:rsidP="0067523F">
          <w:pPr>
            <w:pStyle w:val="FE80DA1A50B44AABAC081BE71E843F2F"/>
          </w:pPr>
          <w:r w:rsidRPr="0019515F">
            <w:rPr>
              <w:rStyle w:val="PlaceholderText"/>
            </w:rPr>
            <w:t>Klicken Sie hier, um Text einzugeben.</w:t>
          </w:r>
        </w:p>
      </w:docPartBody>
    </w:docPart>
    <w:docPart>
      <w:docPartPr>
        <w:name w:val="E099BD94A3374B65BBC035DF11F47A00"/>
        <w:category>
          <w:name w:val="General"/>
          <w:gallery w:val="placeholder"/>
        </w:category>
        <w:types>
          <w:type w:val="bbPlcHdr"/>
        </w:types>
        <w:behaviors>
          <w:behavior w:val="content"/>
        </w:behaviors>
        <w:guid w:val="{6B7AE9CF-2441-48DE-B3CB-B0842DA0C2F6}"/>
      </w:docPartPr>
      <w:docPartBody>
        <w:p w:rsidR="00000000" w:rsidRDefault="0067523F" w:rsidP="0067523F">
          <w:pPr>
            <w:pStyle w:val="E099BD94A3374B65BBC035DF11F47A00"/>
          </w:pPr>
          <w:r w:rsidRPr="001B3E66">
            <w:rPr>
              <w:rStyle w:val="PlaceholderText"/>
            </w:rPr>
            <w:t>Choose an item.</w:t>
          </w:r>
        </w:p>
      </w:docPartBody>
    </w:docPart>
    <w:docPart>
      <w:docPartPr>
        <w:name w:val="F2C6A6779A644431BB03B6E1E856E73B"/>
        <w:category>
          <w:name w:val="General"/>
          <w:gallery w:val="placeholder"/>
        </w:category>
        <w:types>
          <w:type w:val="bbPlcHdr"/>
        </w:types>
        <w:behaviors>
          <w:behavior w:val="content"/>
        </w:behaviors>
        <w:guid w:val="{DCB5AB5E-DE17-4CD4-9D02-D7A357A591C2}"/>
      </w:docPartPr>
      <w:docPartBody>
        <w:p w:rsidR="00000000" w:rsidRDefault="0067523F" w:rsidP="0067523F">
          <w:pPr>
            <w:pStyle w:val="F2C6A6779A644431BB03B6E1E856E73B"/>
          </w:pPr>
          <w:r w:rsidRPr="00CE2F3F">
            <w:rPr>
              <w:rStyle w:val="PlaceholderText"/>
            </w:rPr>
            <w:t>Klicken Sie hier, um Text einzugeben.</w:t>
          </w:r>
        </w:p>
      </w:docPartBody>
    </w:docPart>
    <w:docPart>
      <w:docPartPr>
        <w:name w:val="8CAFAB7B8B0146E29ED6FCA51267BA90"/>
        <w:category>
          <w:name w:val="General"/>
          <w:gallery w:val="placeholder"/>
        </w:category>
        <w:types>
          <w:type w:val="bbPlcHdr"/>
        </w:types>
        <w:behaviors>
          <w:behavior w:val="content"/>
        </w:behaviors>
        <w:guid w:val="{D1FA037B-E8DC-469F-9E42-0B2FDC71493C}"/>
      </w:docPartPr>
      <w:docPartBody>
        <w:p w:rsidR="00000000" w:rsidRDefault="0067523F" w:rsidP="0067523F">
          <w:pPr>
            <w:pStyle w:val="8CAFAB7B8B0146E29ED6FCA51267BA90"/>
          </w:pPr>
          <w:r w:rsidRPr="00CE2F3F">
            <w:rPr>
              <w:rStyle w:val="PlaceholderText"/>
            </w:rPr>
            <w:t>Klicken Sie hier, um Text einzugeben.</w:t>
          </w:r>
        </w:p>
      </w:docPartBody>
    </w:docPart>
    <w:docPart>
      <w:docPartPr>
        <w:name w:val="B2C5DF7BCBD344CCBF567E3D356F6811"/>
        <w:category>
          <w:name w:val="General"/>
          <w:gallery w:val="placeholder"/>
        </w:category>
        <w:types>
          <w:type w:val="bbPlcHdr"/>
        </w:types>
        <w:behaviors>
          <w:behavior w:val="content"/>
        </w:behaviors>
        <w:guid w:val="{F36E46DC-99A2-47A7-AAE2-CE6E0C421DA2}"/>
      </w:docPartPr>
      <w:docPartBody>
        <w:p w:rsidR="00000000" w:rsidRDefault="0067523F" w:rsidP="0067523F">
          <w:pPr>
            <w:pStyle w:val="B2C5DF7BCBD344CCBF567E3D356F6811"/>
          </w:pPr>
          <w:r w:rsidRPr="0019515F">
            <w:rPr>
              <w:rStyle w:val="PlaceholderText"/>
            </w:rPr>
            <w:t>Klicken Sie hier, um Text einzugeben.</w:t>
          </w:r>
        </w:p>
      </w:docPartBody>
    </w:docPart>
    <w:docPart>
      <w:docPartPr>
        <w:name w:val="6A8103AD95C348EF9B6706A0C84FF83E"/>
        <w:category>
          <w:name w:val="General"/>
          <w:gallery w:val="placeholder"/>
        </w:category>
        <w:types>
          <w:type w:val="bbPlcHdr"/>
        </w:types>
        <w:behaviors>
          <w:behavior w:val="content"/>
        </w:behaviors>
        <w:guid w:val="{6FF8899C-0F3F-4C87-8E8D-B8003C83658E}"/>
      </w:docPartPr>
      <w:docPartBody>
        <w:p w:rsidR="00000000" w:rsidRDefault="0067523F" w:rsidP="0067523F">
          <w:pPr>
            <w:pStyle w:val="6A8103AD95C348EF9B6706A0C84FF83E"/>
          </w:pP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FA3"/>
    <w:rsid w:val="00003D8D"/>
    <w:rsid w:val="00012F00"/>
    <w:rsid w:val="0001708D"/>
    <w:rsid w:val="00021D49"/>
    <w:rsid w:val="00022632"/>
    <w:rsid w:val="00025561"/>
    <w:rsid w:val="0005022C"/>
    <w:rsid w:val="000535E5"/>
    <w:rsid w:val="0005634B"/>
    <w:rsid w:val="00060432"/>
    <w:rsid w:val="00061550"/>
    <w:rsid w:val="00072440"/>
    <w:rsid w:val="000C0285"/>
    <w:rsid w:val="000C181C"/>
    <w:rsid w:val="000C2B35"/>
    <w:rsid w:val="000D2EAF"/>
    <w:rsid w:val="000D74C2"/>
    <w:rsid w:val="000D7AD8"/>
    <w:rsid w:val="000E3340"/>
    <w:rsid w:val="000F754F"/>
    <w:rsid w:val="00106FAA"/>
    <w:rsid w:val="00116214"/>
    <w:rsid w:val="00132A2E"/>
    <w:rsid w:val="001469AF"/>
    <w:rsid w:val="00157683"/>
    <w:rsid w:val="00161573"/>
    <w:rsid w:val="0016175B"/>
    <w:rsid w:val="001777F8"/>
    <w:rsid w:val="00184169"/>
    <w:rsid w:val="001D26F4"/>
    <w:rsid w:val="001E085F"/>
    <w:rsid w:val="001E1170"/>
    <w:rsid w:val="001E155B"/>
    <w:rsid w:val="001E2FAD"/>
    <w:rsid w:val="002034F6"/>
    <w:rsid w:val="00234A23"/>
    <w:rsid w:val="00244EC3"/>
    <w:rsid w:val="00252F08"/>
    <w:rsid w:val="002667DE"/>
    <w:rsid w:val="00277CAB"/>
    <w:rsid w:val="0028007E"/>
    <w:rsid w:val="002943CC"/>
    <w:rsid w:val="002B6B6F"/>
    <w:rsid w:val="002F05C5"/>
    <w:rsid w:val="002F24CA"/>
    <w:rsid w:val="002F77A9"/>
    <w:rsid w:val="00303364"/>
    <w:rsid w:val="00320066"/>
    <w:rsid w:val="00334460"/>
    <w:rsid w:val="003447DD"/>
    <w:rsid w:val="003475D5"/>
    <w:rsid w:val="00364901"/>
    <w:rsid w:val="00371E60"/>
    <w:rsid w:val="00376F44"/>
    <w:rsid w:val="003820A7"/>
    <w:rsid w:val="003A263E"/>
    <w:rsid w:val="003A6FF5"/>
    <w:rsid w:val="003A702B"/>
    <w:rsid w:val="003C1656"/>
    <w:rsid w:val="003C2BA3"/>
    <w:rsid w:val="003D6B4C"/>
    <w:rsid w:val="003E75EF"/>
    <w:rsid w:val="00423901"/>
    <w:rsid w:val="00427437"/>
    <w:rsid w:val="004322D8"/>
    <w:rsid w:val="0043410E"/>
    <w:rsid w:val="00436F06"/>
    <w:rsid w:val="00480D9D"/>
    <w:rsid w:val="0048174D"/>
    <w:rsid w:val="004863B9"/>
    <w:rsid w:val="00487C89"/>
    <w:rsid w:val="004970C4"/>
    <w:rsid w:val="004A4E7C"/>
    <w:rsid w:val="004B12D9"/>
    <w:rsid w:val="004B7C32"/>
    <w:rsid w:val="004E0E8B"/>
    <w:rsid w:val="004E2373"/>
    <w:rsid w:val="004E752D"/>
    <w:rsid w:val="004F650A"/>
    <w:rsid w:val="00524E59"/>
    <w:rsid w:val="0054148B"/>
    <w:rsid w:val="00544A1C"/>
    <w:rsid w:val="00552D8C"/>
    <w:rsid w:val="005715D4"/>
    <w:rsid w:val="005747E2"/>
    <w:rsid w:val="00590CCF"/>
    <w:rsid w:val="005A3B9C"/>
    <w:rsid w:val="005A730D"/>
    <w:rsid w:val="005D64FB"/>
    <w:rsid w:val="005E757E"/>
    <w:rsid w:val="005F258F"/>
    <w:rsid w:val="006044AA"/>
    <w:rsid w:val="00605F16"/>
    <w:rsid w:val="00622228"/>
    <w:rsid w:val="00624C58"/>
    <w:rsid w:val="00625363"/>
    <w:rsid w:val="00631B2B"/>
    <w:rsid w:val="00631CA7"/>
    <w:rsid w:val="006340F5"/>
    <w:rsid w:val="00634181"/>
    <w:rsid w:val="00642051"/>
    <w:rsid w:val="00646AEE"/>
    <w:rsid w:val="00651733"/>
    <w:rsid w:val="00652A14"/>
    <w:rsid w:val="006625B8"/>
    <w:rsid w:val="0066717A"/>
    <w:rsid w:val="0067523F"/>
    <w:rsid w:val="006A0687"/>
    <w:rsid w:val="006A4E6B"/>
    <w:rsid w:val="006B6215"/>
    <w:rsid w:val="006C0524"/>
    <w:rsid w:val="006C2602"/>
    <w:rsid w:val="006C5C57"/>
    <w:rsid w:val="006D1F36"/>
    <w:rsid w:val="006D532C"/>
    <w:rsid w:val="006E03A3"/>
    <w:rsid w:val="006E39B7"/>
    <w:rsid w:val="006F5221"/>
    <w:rsid w:val="00721295"/>
    <w:rsid w:val="00727105"/>
    <w:rsid w:val="00737A31"/>
    <w:rsid w:val="00755D10"/>
    <w:rsid w:val="0075738B"/>
    <w:rsid w:val="00762C92"/>
    <w:rsid w:val="00762FC2"/>
    <w:rsid w:val="00765E81"/>
    <w:rsid w:val="0077208C"/>
    <w:rsid w:val="00781CAA"/>
    <w:rsid w:val="00785D52"/>
    <w:rsid w:val="00786270"/>
    <w:rsid w:val="007864D8"/>
    <w:rsid w:val="0079676F"/>
    <w:rsid w:val="00796DE0"/>
    <w:rsid w:val="007A44C2"/>
    <w:rsid w:val="007B681B"/>
    <w:rsid w:val="007B7F9A"/>
    <w:rsid w:val="007C6258"/>
    <w:rsid w:val="007D25EE"/>
    <w:rsid w:val="007D2938"/>
    <w:rsid w:val="007D392F"/>
    <w:rsid w:val="007E71D1"/>
    <w:rsid w:val="007F665F"/>
    <w:rsid w:val="008222AD"/>
    <w:rsid w:val="00827EF2"/>
    <w:rsid w:val="008345DA"/>
    <w:rsid w:val="00836C9B"/>
    <w:rsid w:val="00843F92"/>
    <w:rsid w:val="008505E2"/>
    <w:rsid w:val="00851B62"/>
    <w:rsid w:val="00855508"/>
    <w:rsid w:val="00855C2A"/>
    <w:rsid w:val="0086188F"/>
    <w:rsid w:val="00866D06"/>
    <w:rsid w:val="00874F49"/>
    <w:rsid w:val="00883D0D"/>
    <w:rsid w:val="008A23FD"/>
    <w:rsid w:val="008A4FA3"/>
    <w:rsid w:val="008A7616"/>
    <w:rsid w:val="008B0474"/>
    <w:rsid w:val="008B1E64"/>
    <w:rsid w:val="008B6410"/>
    <w:rsid w:val="008B7F14"/>
    <w:rsid w:val="008C7589"/>
    <w:rsid w:val="008E135F"/>
    <w:rsid w:val="00900B26"/>
    <w:rsid w:val="00911AC4"/>
    <w:rsid w:val="00912269"/>
    <w:rsid w:val="0091790A"/>
    <w:rsid w:val="00920637"/>
    <w:rsid w:val="0093645C"/>
    <w:rsid w:val="009425D6"/>
    <w:rsid w:val="009435F0"/>
    <w:rsid w:val="00961CB6"/>
    <w:rsid w:val="00971B92"/>
    <w:rsid w:val="00973984"/>
    <w:rsid w:val="0097423D"/>
    <w:rsid w:val="009A69F1"/>
    <w:rsid w:val="009D2A5B"/>
    <w:rsid w:val="009D3FB2"/>
    <w:rsid w:val="009E038B"/>
    <w:rsid w:val="009E4B74"/>
    <w:rsid w:val="00A00409"/>
    <w:rsid w:val="00A025D1"/>
    <w:rsid w:val="00A1543D"/>
    <w:rsid w:val="00A278A0"/>
    <w:rsid w:val="00A370A2"/>
    <w:rsid w:val="00A41F12"/>
    <w:rsid w:val="00A72600"/>
    <w:rsid w:val="00AA4265"/>
    <w:rsid w:val="00AB1D85"/>
    <w:rsid w:val="00AB4684"/>
    <w:rsid w:val="00AE1FD8"/>
    <w:rsid w:val="00AF6B67"/>
    <w:rsid w:val="00B00C8A"/>
    <w:rsid w:val="00B07EEC"/>
    <w:rsid w:val="00B151D7"/>
    <w:rsid w:val="00B246A1"/>
    <w:rsid w:val="00B254CA"/>
    <w:rsid w:val="00B31378"/>
    <w:rsid w:val="00B41290"/>
    <w:rsid w:val="00B529DB"/>
    <w:rsid w:val="00B65FCE"/>
    <w:rsid w:val="00B9792C"/>
    <w:rsid w:val="00BB28B0"/>
    <w:rsid w:val="00BB72F8"/>
    <w:rsid w:val="00BC3596"/>
    <w:rsid w:val="00BE4ABB"/>
    <w:rsid w:val="00BF5BAD"/>
    <w:rsid w:val="00C13F0F"/>
    <w:rsid w:val="00C21A70"/>
    <w:rsid w:val="00C32BCB"/>
    <w:rsid w:val="00C3720A"/>
    <w:rsid w:val="00C44179"/>
    <w:rsid w:val="00C5035E"/>
    <w:rsid w:val="00C62445"/>
    <w:rsid w:val="00C8035C"/>
    <w:rsid w:val="00C835EC"/>
    <w:rsid w:val="00C85A67"/>
    <w:rsid w:val="00CB2CFA"/>
    <w:rsid w:val="00CC5679"/>
    <w:rsid w:val="00CD1D56"/>
    <w:rsid w:val="00CD321C"/>
    <w:rsid w:val="00CD38D1"/>
    <w:rsid w:val="00CD3A13"/>
    <w:rsid w:val="00CF0BD9"/>
    <w:rsid w:val="00CF1518"/>
    <w:rsid w:val="00D15B27"/>
    <w:rsid w:val="00D22826"/>
    <w:rsid w:val="00D43392"/>
    <w:rsid w:val="00D806E4"/>
    <w:rsid w:val="00D851B4"/>
    <w:rsid w:val="00DA0BD4"/>
    <w:rsid w:val="00DA123B"/>
    <w:rsid w:val="00DA247C"/>
    <w:rsid w:val="00DC530B"/>
    <w:rsid w:val="00DD1880"/>
    <w:rsid w:val="00DD5EF3"/>
    <w:rsid w:val="00DE12AF"/>
    <w:rsid w:val="00DF0834"/>
    <w:rsid w:val="00DF1336"/>
    <w:rsid w:val="00DF2325"/>
    <w:rsid w:val="00DF6CE5"/>
    <w:rsid w:val="00E00E92"/>
    <w:rsid w:val="00E1516D"/>
    <w:rsid w:val="00E172EF"/>
    <w:rsid w:val="00E22D98"/>
    <w:rsid w:val="00E2311C"/>
    <w:rsid w:val="00E42ED8"/>
    <w:rsid w:val="00E4360E"/>
    <w:rsid w:val="00E44EDF"/>
    <w:rsid w:val="00E47DCC"/>
    <w:rsid w:val="00E5607A"/>
    <w:rsid w:val="00E7651C"/>
    <w:rsid w:val="00E93063"/>
    <w:rsid w:val="00E93AFE"/>
    <w:rsid w:val="00E968B5"/>
    <w:rsid w:val="00EA20B6"/>
    <w:rsid w:val="00EA5CF4"/>
    <w:rsid w:val="00EC04BE"/>
    <w:rsid w:val="00EC4CC7"/>
    <w:rsid w:val="00ED12F4"/>
    <w:rsid w:val="00EE6AEB"/>
    <w:rsid w:val="00EE7520"/>
    <w:rsid w:val="00EF68F6"/>
    <w:rsid w:val="00F008A8"/>
    <w:rsid w:val="00F13EE5"/>
    <w:rsid w:val="00F14C5B"/>
    <w:rsid w:val="00F540AE"/>
    <w:rsid w:val="00F67D29"/>
    <w:rsid w:val="00F77277"/>
    <w:rsid w:val="00F84D4E"/>
    <w:rsid w:val="00FA1EA8"/>
    <w:rsid w:val="00FC028C"/>
    <w:rsid w:val="00FC1A9D"/>
    <w:rsid w:val="00FC54FB"/>
    <w:rsid w:val="00FE0266"/>
    <w:rsid w:val="00FF76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426178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7523F"/>
    <w:rPr>
      <w:color w:val="808080"/>
    </w:rPr>
  </w:style>
  <w:style w:type="paragraph" w:customStyle="1" w:styleId="624987881C1B4EB5945831160BC36DD2">
    <w:name w:val="624987881C1B4EB5945831160BC36DD2"/>
    <w:rsid w:val="0067523F"/>
    <w:pPr>
      <w:spacing w:line="278" w:lineRule="auto"/>
    </w:pPr>
    <w:rPr>
      <w:kern w:val="2"/>
      <w:sz w:val="24"/>
      <w:szCs w:val="24"/>
      <w14:ligatures w14:val="standardContextual"/>
    </w:rPr>
  </w:style>
  <w:style w:type="paragraph" w:customStyle="1" w:styleId="4D08D16AF5F140AAB73A0F79BF2C8F3E">
    <w:name w:val="4D08D16AF5F140AAB73A0F79BF2C8F3E"/>
  </w:style>
  <w:style w:type="paragraph" w:customStyle="1" w:styleId="5A3100E1B7214021BB4C4D0BE6428D77">
    <w:name w:val="5A3100E1B7214021BB4C4D0BE6428D77"/>
  </w:style>
  <w:style w:type="paragraph" w:customStyle="1" w:styleId="734F7489B6C645BE8C2B7D9415DD2522">
    <w:name w:val="734F7489B6C645BE8C2B7D9415DD2522"/>
  </w:style>
  <w:style w:type="paragraph" w:customStyle="1" w:styleId="C249ADBE03F04533AA34C8A8C9A0D93F">
    <w:name w:val="C249ADBE03F04533AA34C8A8C9A0D93F"/>
    <w:rsid w:val="00E1516D"/>
  </w:style>
  <w:style w:type="paragraph" w:customStyle="1" w:styleId="E4B7961FB81D4C16B97D6D21FF0D7795">
    <w:name w:val="E4B7961FB81D4C16B97D6D21FF0D7795"/>
  </w:style>
  <w:style w:type="paragraph" w:customStyle="1" w:styleId="4749300D354F4E5B89482C4B3694DD2E">
    <w:name w:val="4749300D354F4E5B89482C4B3694DD2E"/>
  </w:style>
  <w:style w:type="paragraph" w:customStyle="1" w:styleId="62597BBFFFC64953A66E570A71B93527">
    <w:name w:val="62597BBFFFC64953A66E570A71B93527"/>
  </w:style>
  <w:style w:type="paragraph" w:customStyle="1" w:styleId="317B7105C08742AB9C545C33D8AB4CC3">
    <w:name w:val="317B7105C08742AB9C545C33D8AB4CC3"/>
  </w:style>
  <w:style w:type="paragraph" w:customStyle="1" w:styleId="D744ED04CA524B09ADB50B039148C09A">
    <w:name w:val="D744ED04CA524B09ADB50B039148C09A"/>
    <w:rsid w:val="0067523F"/>
    <w:pPr>
      <w:spacing w:line="278" w:lineRule="auto"/>
    </w:pPr>
    <w:rPr>
      <w:kern w:val="2"/>
      <w:sz w:val="24"/>
      <w:szCs w:val="24"/>
      <w14:ligatures w14:val="standardContextual"/>
    </w:rPr>
  </w:style>
  <w:style w:type="paragraph" w:customStyle="1" w:styleId="AEE7D05D55004FE98C94F02828902EE9">
    <w:name w:val="AEE7D05D55004FE98C94F02828902EE9"/>
    <w:rsid w:val="0067523F"/>
    <w:pPr>
      <w:spacing w:line="278" w:lineRule="auto"/>
    </w:pPr>
    <w:rPr>
      <w:kern w:val="2"/>
      <w:sz w:val="24"/>
      <w:szCs w:val="24"/>
      <w14:ligatures w14:val="standardContextual"/>
    </w:rPr>
  </w:style>
  <w:style w:type="paragraph" w:customStyle="1" w:styleId="72A1D69C109749F2A162B61764C7D1A7">
    <w:name w:val="72A1D69C109749F2A162B61764C7D1A7"/>
    <w:rsid w:val="0067523F"/>
    <w:pPr>
      <w:spacing w:line="278" w:lineRule="auto"/>
    </w:pPr>
    <w:rPr>
      <w:kern w:val="2"/>
      <w:sz w:val="24"/>
      <w:szCs w:val="24"/>
      <w14:ligatures w14:val="standardContextual"/>
    </w:rPr>
  </w:style>
  <w:style w:type="paragraph" w:customStyle="1" w:styleId="AF406C90C15D431B9FC7653BB96D8862">
    <w:name w:val="AF406C90C15D431B9FC7653BB96D8862"/>
    <w:rsid w:val="0067523F"/>
    <w:pPr>
      <w:spacing w:line="278" w:lineRule="auto"/>
    </w:pPr>
    <w:rPr>
      <w:kern w:val="2"/>
      <w:sz w:val="24"/>
      <w:szCs w:val="24"/>
      <w14:ligatures w14:val="standardContextual"/>
    </w:rPr>
  </w:style>
  <w:style w:type="paragraph" w:customStyle="1" w:styleId="57DACF30BAF140CAA44038001240D051">
    <w:name w:val="57DACF30BAF140CAA44038001240D051"/>
    <w:rsid w:val="0067523F"/>
    <w:pPr>
      <w:spacing w:line="278" w:lineRule="auto"/>
    </w:pPr>
    <w:rPr>
      <w:kern w:val="2"/>
      <w:sz w:val="24"/>
      <w:szCs w:val="24"/>
      <w14:ligatures w14:val="standardContextual"/>
    </w:rPr>
  </w:style>
  <w:style w:type="paragraph" w:customStyle="1" w:styleId="E5F752E4661E4A9CBFB46958883D22F9">
    <w:name w:val="E5F752E4661E4A9CBFB46958883D22F9"/>
    <w:rsid w:val="0067523F"/>
    <w:pPr>
      <w:spacing w:line="278" w:lineRule="auto"/>
    </w:pPr>
    <w:rPr>
      <w:kern w:val="2"/>
      <w:sz w:val="24"/>
      <w:szCs w:val="24"/>
      <w14:ligatures w14:val="standardContextual"/>
    </w:rPr>
  </w:style>
  <w:style w:type="paragraph" w:customStyle="1" w:styleId="0F00C090044B40869841FC82524925DF">
    <w:name w:val="0F00C090044B40869841FC82524925DF"/>
    <w:rsid w:val="0067523F"/>
    <w:pPr>
      <w:spacing w:line="278" w:lineRule="auto"/>
    </w:pPr>
    <w:rPr>
      <w:kern w:val="2"/>
      <w:sz w:val="24"/>
      <w:szCs w:val="24"/>
      <w14:ligatures w14:val="standardContextual"/>
    </w:rPr>
  </w:style>
  <w:style w:type="paragraph" w:customStyle="1" w:styleId="4449919201ED4F8897A8AF08186249F6">
    <w:name w:val="4449919201ED4F8897A8AF08186249F6"/>
    <w:rsid w:val="0067523F"/>
    <w:pPr>
      <w:spacing w:line="278" w:lineRule="auto"/>
    </w:pPr>
    <w:rPr>
      <w:kern w:val="2"/>
      <w:sz w:val="24"/>
      <w:szCs w:val="24"/>
      <w14:ligatures w14:val="standardContextual"/>
    </w:rPr>
  </w:style>
  <w:style w:type="paragraph" w:customStyle="1" w:styleId="DED1E4A641C6446688F5FAA1A4052755">
    <w:name w:val="DED1E4A641C6446688F5FAA1A4052755"/>
    <w:rsid w:val="0067523F"/>
    <w:pPr>
      <w:spacing w:line="278" w:lineRule="auto"/>
    </w:pPr>
    <w:rPr>
      <w:kern w:val="2"/>
      <w:sz w:val="24"/>
      <w:szCs w:val="24"/>
      <w14:ligatures w14:val="standardContextual"/>
    </w:rPr>
  </w:style>
  <w:style w:type="paragraph" w:customStyle="1" w:styleId="D93157DC036E4E759D6F5202550CB10C">
    <w:name w:val="D93157DC036E4E759D6F5202550CB10C"/>
    <w:rsid w:val="0067523F"/>
    <w:pPr>
      <w:spacing w:line="278" w:lineRule="auto"/>
    </w:pPr>
    <w:rPr>
      <w:kern w:val="2"/>
      <w:sz w:val="24"/>
      <w:szCs w:val="24"/>
      <w14:ligatures w14:val="standardContextual"/>
    </w:rPr>
  </w:style>
  <w:style w:type="paragraph" w:customStyle="1" w:styleId="A21E202F7C9546D18FFFFBB05BD74A07">
    <w:name w:val="A21E202F7C9546D18FFFFBB05BD74A07"/>
    <w:rsid w:val="0067523F"/>
    <w:pPr>
      <w:spacing w:line="278" w:lineRule="auto"/>
    </w:pPr>
    <w:rPr>
      <w:kern w:val="2"/>
      <w:sz w:val="24"/>
      <w:szCs w:val="24"/>
      <w14:ligatures w14:val="standardContextual"/>
    </w:rPr>
  </w:style>
  <w:style w:type="paragraph" w:customStyle="1" w:styleId="359003EAE20B43AEBE62F530F0662D6E">
    <w:name w:val="359003EAE20B43AEBE62F530F0662D6E"/>
    <w:rsid w:val="0067523F"/>
    <w:pPr>
      <w:spacing w:line="278" w:lineRule="auto"/>
    </w:pPr>
    <w:rPr>
      <w:kern w:val="2"/>
      <w:sz w:val="24"/>
      <w:szCs w:val="24"/>
      <w14:ligatures w14:val="standardContextual"/>
    </w:rPr>
  </w:style>
  <w:style w:type="paragraph" w:customStyle="1" w:styleId="5C57B714CCA042418236F550CC921C90">
    <w:name w:val="5C57B714CCA042418236F550CC921C90"/>
    <w:rsid w:val="0067523F"/>
    <w:pPr>
      <w:spacing w:line="278" w:lineRule="auto"/>
    </w:pPr>
    <w:rPr>
      <w:kern w:val="2"/>
      <w:sz w:val="24"/>
      <w:szCs w:val="24"/>
      <w14:ligatures w14:val="standardContextual"/>
    </w:rPr>
  </w:style>
  <w:style w:type="paragraph" w:customStyle="1" w:styleId="4ED8012558294810B7CBBDC6107701EA">
    <w:name w:val="4ED8012558294810B7CBBDC6107701EA"/>
    <w:rsid w:val="0067523F"/>
    <w:pPr>
      <w:spacing w:line="278" w:lineRule="auto"/>
    </w:pPr>
    <w:rPr>
      <w:kern w:val="2"/>
      <w:sz w:val="24"/>
      <w:szCs w:val="24"/>
      <w14:ligatures w14:val="standardContextual"/>
    </w:rPr>
  </w:style>
  <w:style w:type="paragraph" w:customStyle="1" w:styleId="FE80DA1A50B44AABAC081BE71E843F2F">
    <w:name w:val="FE80DA1A50B44AABAC081BE71E843F2F"/>
    <w:rsid w:val="0067523F"/>
    <w:pPr>
      <w:spacing w:line="278" w:lineRule="auto"/>
    </w:pPr>
    <w:rPr>
      <w:kern w:val="2"/>
      <w:sz w:val="24"/>
      <w:szCs w:val="24"/>
      <w14:ligatures w14:val="standardContextual"/>
    </w:rPr>
  </w:style>
  <w:style w:type="paragraph" w:customStyle="1" w:styleId="E099BD94A3374B65BBC035DF11F47A00">
    <w:name w:val="E099BD94A3374B65BBC035DF11F47A00"/>
    <w:rsid w:val="0067523F"/>
    <w:pPr>
      <w:spacing w:line="278" w:lineRule="auto"/>
    </w:pPr>
    <w:rPr>
      <w:kern w:val="2"/>
      <w:sz w:val="24"/>
      <w:szCs w:val="24"/>
      <w14:ligatures w14:val="standardContextual"/>
    </w:rPr>
  </w:style>
  <w:style w:type="paragraph" w:customStyle="1" w:styleId="F2C6A6779A644431BB03B6E1E856E73B">
    <w:name w:val="F2C6A6779A644431BB03B6E1E856E73B"/>
    <w:rsid w:val="0067523F"/>
    <w:pPr>
      <w:spacing w:line="278" w:lineRule="auto"/>
    </w:pPr>
    <w:rPr>
      <w:kern w:val="2"/>
      <w:sz w:val="24"/>
      <w:szCs w:val="24"/>
      <w14:ligatures w14:val="standardContextual"/>
    </w:rPr>
  </w:style>
  <w:style w:type="paragraph" w:customStyle="1" w:styleId="8CAFAB7B8B0146E29ED6FCA51267BA90">
    <w:name w:val="8CAFAB7B8B0146E29ED6FCA51267BA90"/>
    <w:rsid w:val="0067523F"/>
    <w:pPr>
      <w:spacing w:line="278" w:lineRule="auto"/>
    </w:pPr>
    <w:rPr>
      <w:kern w:val="2"/>
      <w:sz w:val="24"/>
      <w:szCs w:val="24"/>
      <w14:ligatures w14:val="standardContextual"/>
    </w:rPr>
  </w:style>
  <w:style w:type="paragraph" w:customStyle="1" w:styleId="B2C5DF7BCBD344CCBF567E3D356F6811">
    <w:name w:val="B2C5DF7BCBD344CCBF567E3D356F6811"/>
    <w:rsid w:val="0067523F"/>
    <w:pPr>
      <w:spacing w:line="278" w:lineRule="auto"/>
    </w:pPr>
    <w:rPr>
      <w:kern w:val="2"/>
      <w:sz w:val="24"/>
      <w:szCs w:val="24"/>
      <w14:ligatures w14:val="standardContextual"/>
    </w:rPr>
  </w:style>
  <w:style w:type="paragraph" w:customStyle="1" w:styleId="6A8103AD95C348EF9B6706A0C84FF83E">
    <w:name w:val="6A8103AD95C348EF9B6706A0C84FF83E"/>
    <w:rsid w:val="0067523F"/>
    <w:pPr>
      <w:spacing w:line="278" w:lineRule="auto"/>
    </w:pPr>
    <w:rPr>
      <w:kern w:val="2"/>
      <w:sz w:val="24"/>
      <w:szCs w:val="24"/>
      <w14:ligatures w14:val="standardContextual"/>
    </w:rPr>
  </w:style>
  <w:style w:type="paragraph" w:customStyle="1" w:styleId="387495EDC45246B7AAFAB937F76BCDB2">
    <w:name w:val="387495EDC45246B7AAFAB937F76BCDB2"/>
    <w:rsid w:val="0086188F"/>
  </w:style>
  <w:style w:type="paragraph" w:customStyle="1" w:styleId="85690B87775F42B0AA79892499DF78C5">
    <w:name w:val="85690B87775F42B0AA79892499DF78C5"/>
    <w:rsid w:val="0086188F"/>
  </w:style>
  <w:style w:type="paragraph" w:customStyle="1" w:styleId="88B4A25B487F416388C6B9D18707789E">
    <w:name w:val="88B4A25B487F416388C6B9D18707789E"/>
    <w:rsid w:val="0086188F"/>
  </w:style>
  <w:style w:type="paragraph" w:customStyle="1" w:styleId="44E7256053DF4136846C9862EAF7C6D1">
    <w:name w:val="44E7256053DF4136846C9862EAF7C6D1"/>
    <w:rsid w:val="0086188F"/>
  </w:style>
  <w:style w:type="paragraph" w:customStyle="1" w:styleId="B9FB00A4C7D746DCA02E84B8459B592F">
    <w:name w:val="B9FB00A4C7D746DCA02E84B8459B592F"/>
    <w:rsid w:val="0086188F"/>
  </w:style>
  <w:style w:type="paragraph" w:customStyle="1" w:styleId="9B5720E2B1164F84AA8DDF95D407A44A">
    <w:name w:val="9B5720E2B1164F84AA8DDF95D407A44A"/>
    <w:rsid w:val="0086188F"/>
  </w:style>
  <w:style w:type="paragraph" w:customStyle="1" w:styleId="D478F0890AF54E6CB9D578D74B7AE2C6">
    <w:name w:val="D478F0890AF54E6CB9D578D74B7AE2C6"/>
    <w:rsid w:val="0086188F"/>
  </w:style>
  <w:style w:type="paragraph" w:customStyle="1" w:styleId="E2803D2A9416414EA60F45EF224B6461">
    <w:name w:val="E2803D2A9416414EA60F45EF224B6461"/>
    <w:rsid w:val="0086188F"/>
  </w:style>
  <w:style w:type="paragraph" w:customStyle="1" w:styleId="F27936571ED44C0395F394E92CFA769C">
    <w:name w:val="F27936571ED44C0395F394E92CFA769C"/>
    <w:rsid w:val="0086188F"/>
  </w:style>
  <w:style w:type="paragraph" w:customStyle="1" w:styleId="F05E32E025C6437C816AAA8A38E30BEA">
    <w:name w:val="F05E32E025C6437C816AAA8A38E30BEA"/>
    <w:rsid w:val="0086188F"/>
  </w:style>
  <w:style w:type="paragraph" w:customStyle="1" w:styleId="B5E8EE8F38174CD4ADBE7AC35E547C02">
    <w:name w:val="B5E8EE8F38174CD4ADBE7AC35E547C02"/>
    <w:rsid w:val="0086188F"/>
  </w:style>
  <w:style w:type="paragraph" w:customStyle="1" w:styleId="B6D009CC711746609A6FD11B73C0134B">
    <w:name w:val="B6D009CC711746609A6FD11B73C0134B"/>
    <w:rsid w:val="0086188F"/>
  </w:style>
  <w:style w:type="paragraph" w:customStyle="1" w:styleId="F3385BF7ED9E48B68166FD4746E55E75">
    <w:name w:val="F3385BF7ED9E48B68166FD4746E55E75"/>
    <w:rsid w:val="0086188F"/>
  </w:style>
  <w:style w:type="paragraph" w:customStyle="1" w:styleId="B9C6B01FA352488EAD2C943457DF9D7F">
    <w:name w:val="B9C6B01FA352488EAD2C943457DF9D7F"/>
    <w:rsid w:val="0086188F"/>
  </w:style>
  <w:style w:type="paragraph" w:customStyle="1" w:styleId="AA429E95F64A49FD94886CAFA7D43346">
    <w:name w:val="AA429E95F64A49FD94886CAFA7D43346"/>
    <w:rsid w:val="0086188F"/>
  </w:style>
  <w:style w:type="paragraph" w:customStyle="1" w:styleId="A6A1EA732201492BB4F6949EDCA10D46">
    <w:name w:val="A6A1EA732201492BB4F6949EDCA10D46"/>
    <w:rsid w:val="0086188F"/>
  </w:style>
  <w:style w:type="paragraph" w:customStyle="1" w:styleId="5D30FD4291844583A398484EFDBE6964">
    <w:name w:val="5D30FD4291844583A398484EFDBE6964"/>
    <w:rsid w:val="0086188F"/>
  </w:style>
  <w:style w:type="paragraph" w:customStyle="1" w:styleId="49DB95B02883407D81F4FFB87D5FBDE9">
    <w:name w:val="49DB95B02883407D81F4FFB87D5FBDE9"/>
    <w:rsid w:val="0086188F"/>
  </w:style>
  <w:style w:type="paragraph" w:customStyle="1" w:styleId="55DF8C28402F462FAA8B0380A53F03CC">
    <w:name w:val="55DF8C28402F462FAA8B0380A53F03CC"/>
    <w:rsid w:val="0086188F"/>
  </w:style>
  <w:style w:type="paragraph" w:customStyle="1" w:styleId="75E82E6334E5457B930B9801C555516C">
    <w:name w:val="75E82E6334E5457B930B9801C555516C"/>
    <w:rsid w:val="0086188F"/>
  </w:style>
  <w:style w:type="paragraph" w:customStyle="1" w:styleId="75CC61D2A9AE4F03B4FB01B3BCE3E73E">
    <w:name w:val="75CC61D2A9AE4F03B4FB01B3BCE3E73E"/>
    <w:rsid w:val="008618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shift_jis"/>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d8c265a-5436-43a7-80c1-713d2827ffde"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29" ma:contentTypeDescription="Create a new document." ma:contentTypeScope="" ma:versionID="f0e2d70dafa41b6ef69430ad12182e9a">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c8160be1ed514a7b5e37b70fef8dac54"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Ready" minOccurs="0"/>
                <xsd:element ref="ns2:_Flow_SignoffStatus" minOccurs="0"/>
                <xsd:element ref="ns2:Teamleademail" minOccurs="0"/>
                <xsd:element ref="ns2:Drafter_x0028_s_x0029_" minOccurs="0"/>
                <xsd:element ref="ns2:Formatter_x0028_s_x0029_" minOccurs="0"/>
                <xsd:element ref="ns2:Status" minOccurs="0"/>
                <xsd:element ref="ns2:Approvinghostpar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ady" ma:index="26" nillable="true" ma:displayName="Ready" ma:default="1" ma:format="Dropdown" ma:internalName="Ready">
      <xsd:simpleType>
        <xsd:restriction base="dms:Boolean"/>
      </xsd:simpleType>
    </xsd:element>
    <xsd:element name="_Flow_SignoffStatus" ma:index="27" nillable="true" ma:displayName="Sign-off status" ma:format="Dropdown" ma:internalName="_x0024_Resources_x003a_core_x002c_Signoff_Status">
      <xsd:simpleType>
        <xsd:restriction base="dms:Choice">
          <xsd:enumeration value="WIP"/>
          <xsd:enumeration value="Ready for clearance"/>
          <xsd:enumeration value="Cleared"/>
          <xsd:enumeration value="Returned"/>
        </xsd:restriction>
      </xsd:simpleType>
    </xsd:element>
    <xsd:element name="Teamleademail" ma:index="28" nillable="true" ma:displayName="Team lead(s)" ma:format="Dropdown" ma:list="UserInfo" ma:SharePointGroup="0" ma:internalName="Teamlea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after_x0028_s_x0029_" ma:index="29" nillable="true" ma:displayName="Drafter(s)" ma:format="Dropdown" ma:list="UserInfo" ma:SharePointGroup="0" ma:internalName="Drafter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rmatter_x0028_s_x0029_" ma:index="30" nillable="true" ma:displayName="Formatter(s)" ma:format="Dropdown" ma:list="UserInfo" ma:SharePointGroup="0" ma:internalName="Formatter_x0028_s_x002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31" nillable="true" ma:displayName="Status" ma:default="1" ma:format="Dropdown" ma:internalName="Status">
      <xsd:simpleType>
        <xsd:restriction base="dms:Boolean"/>
      </xsd:simpleType>
    </xsd:element>
    <xsd:element name="Approvinghostparty" ma:index="32" nillable="true" ma:displayName="Approving host party" ma:format="Dropdown" ma:internalName="Approvinghostpar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19ae873-75e1-413b-9d00-7af9258cf281">
      <Terms xmlns="http://schemas.microsoft.com/office/infopath/2007/PartnerControls"/>
    </lcf76f155ced4ddcb4097134ff3c332f>
    <TaxCatchAll xmlns="eb4559c4-8463-4985-927f-f0d558bff8f0" xsi:nil="true"/>
    <Formatter_x0028_s_x0029_ xmlns="819ae873-75e1-413b-9d00-7af9258cf281">
      <UserInfo>
        <DisplayName/>
        <AccountId xsi:nil="true"/>
        <AccountType/>
      </UserInfo>
    </Formatter_x0028_s_x0029_>
    <Ready xmlns="819ae873-75e1-413b-9d00-7af9258cf281">true</Ready>
    <Doc_x002e_SymbolNumber xmlns="819ae873-75e1-413b-9d00-7af9258cf281">A6.4-AMT-007-v01.0_public</Doc_x002e_SymbolNumber>
    <_Flow_SignoffStatus xmlns="819ae873-75e1-413b-9d00-7af9258cf281" xsi:nil="true"/>
    <Status xmlns="819ae873-75e1-413b-9d00-7af9258cf281">true</Status>
    <Teamleademail xmlns="819ae873-75e1-413b-9d00-7af9258cf281">
      <UserInfo>
        <DisplayName/>
        <AccountId xsi:nil="true"/>
        <AccountType/>
      </UserInfo>
    </Teamleademail>
    <Drafter_x0028_s_x0029_ xmlns="819ae873-75e1-413b-9d00-7af9258cf281">
      <UserInfo>
        <DisplayName/>
        <AccountId xsi:nil="true"/>
        <AccountType/>
      </UserInfo>
    </Drafter_x0028_s_x0029_>
    <Approvinghostparty xmlns="819ae873-75e1-413b-9d00-7af9258cf281" xsi:nil="true"/>
  </documentManagement>
</p:properties>
</file>

<file path=customXml/itemProps1.xml><?xml version="1.0" encoding="utf-8"?>
<ds:datastoreItem xmlns:ds="http://schemas.openxmlformats.org/officeDocument/2006/customXml" ds:itemID="{42D15F45-EF16-496B-B84F-D9A99EB68476}">
  <ds:schemaRefs>
    <ds:schemaRef ds:uri="Microsoft.SharePoint.Taxonomy.ContentTypeSync"/>
  </ds:schemaRefs>
</ds:datastoreItem>
</file>

<file path=customXml/itemProps2.xml><?xml version="1.0" encoding="utf-8"?>
<ds:datastoreItem xmlns:ds="http://schemas.openxmlformats.org/officeDocument/2006/customXml" ds:itemID="{CF50E155-C844-4CB5-8662-C87AD630C965}">
  <ds:schemaRefs>
    <ds:schemaRef ds:uri="http://schemas.openxmlformats.org/officeDocument/2006/bibliography"/>
  </ds:schemaRefs>
</ds:datastoreItem>
</file>

<file path=customXml/itemProps3.xml><?xml version="1.0" encoding="utf-8"?>
<ds:datastoreItem xmlns:ds="http://schemas.openxmlformats.org/officeDocument/2006/customXml" ds:itemID="{E4096D23-74DC-4A0E-9947-89A54F36B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ae873-75e1-413b-9d00-7af9258cf281"/>
    <ds:schemaRef ds:uri="eb4559c4-8463-4985-927f-f0d558bff8f0"/>
    <ds:schemaRef ds:uri="13d80b15-5f07-43ab-b435-85767a7da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F00FFD-8FC0-41C0-9981-FDA58E93A1F5}">
  <ds:schemaRefs>
    <ds:schemaRef ds:uri="http://schemas.microsoft.com/sharepoint/v3/contenttype/forms"/>
  </ds:schemaRefs>
</ds:datastoreItem>
</file>

<file path=customXml/itemProps5.xml><?xml version="1.0" encoding="utf-8"?>
<ds:datastoreItem xmlns:ds="http://schemas.openxmlformats.org/officeDocument/2006/customXml" ds:itemID="{7E0EC90E-593F-4AED-B2DA-82B28177882E}">
  <ds:schemaRefs>
    <ds:schemaRef ds:uri="http://schemas.microsoft.com/office/2006/metadata/properties"/>
    <ds:schemaRef ds:uri="http://schemas.microsoft.com/office/infopath/2007/PartnerControls"/>
    <ds:schemaRef ds:uri="819ae873-75e1-413b-9d00-7af9258cf281"/>
    <ds:schemaRef ds:uri="eb4559c4-8463-4985-927f-f0d558bff8f0"/>
  </ds:schemaRefs>
</ds:datastoreItem>
</file>

<file path=docProps/app.xml><?xml version="1.0" encoding="utf-8"?>
<Properties xmlns="http://schemas.openxmlformats.org/officeDocument/2006/extended-properties" xmlns:vt="http://schemas.openxmlformats.org/officeDocument/2006/docPropsVTypes">
  <Template>CDM_Tool.dotm</Template>
  <TotalTime>6</TotalTime>
  <Pages>3</Pages>
  <Words>19811</Words>
  <Characters>112927</Characters>
  <Application>Microsoft Office Word</Application>
  <DocSecurity>0</DocSecurity>
  <Lines>941</Lines>
  <Paragraphs>264</Paragraphs>
  <ScaleCrop>false</ScaleCrop>
  <HeadingPairs>
    <vt:vector size="2" baseType="variant">
      <vt:variant>
        <vt:lpstr>Title</vt:lpstr>
      </vt:variant>
      <vt:variant>
        <vt:i4>1</vt:i4>
      </vt:variant>
    </vt:vector>
  </HeadingPairs>
  <TitlesOfParts>
    <vt:vector size="1" baseType="lpstr">
      <vt:lpstr>In-meeting_SBM020_Draft Meth_Tool_Emissions from electricity generation&amp;consumption</vt:lpstr>
    </vt:vector>
  </TitlesOfParts>
  <Company/>
  <LinksUpToDate>false</LinksUpToDate>
  <CharactersWithSpaces>132474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A6.4-AMT-007-v01.0_public</dc:title>
  <dc:subject/>
  <dc:creator>UNFCCC</dc:creator>
  <cp:keywords/>
  <dc:description/>
  <cp:lastModifiedBy>Jane Stickdorn</cp:lastModifiedBy>
  <cp:revision>3</cp:revision>
  <cp:lastPrinted>2026-02-23T15:19:00Z</cp:lastPrinted>
  <dcterms:created xsi:type="dcterms:W3CDTF">2026-02-23T15:21:00Z</dcterms:created>
  <dcterms:modified xsi:type="dcterms:W3CDTF">2026-02-23T20:04:00Z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MediaServiceImageTags">
    <vt:lpwstr/>
  </property>
  <property fmtid="{D5CDD505-2E9C-101B-9397-08002B2CF9AE}" pid="4" name="_ModernAudienceTargetUserField">
    <vt:lpwstr/>
  </property>
  <property fmtid="{D5CDD505-2E9C-101B-9397-08002B2CF9AE}" pid="5" name="Document">
    <vt:lpwstr>Call for Input</vt:lpwstr>
  </property>
  <property fmtid="{D5CDD505-2E9C-101B-9397-08002B2CF9AE}" pid="6" name="Officer(s)">
    <vt:lpwstr>203;#i:0#.f|membership|ecardosofilho@unfccc.int;#244;#i:0#.f|membership|yabe@unfccc.int</vt:lpwstr>
  </property>
  <property fmtid="{D5CDD505-2E9C-101B-9397-08002B2CF9AE}" pid="7" name="AA para nr.">
    <vt:lpwstr>11 a</vt:lpwstr>
  </property>
  <property fmtid="{D5CDD505-2E9C-101B-9397-08002B2CF9AE}" pid="8" name="Team Lead">
    <vt:lpwstr>170;#Dhirendra Kumar</vt:lpwstr>
  </property>
  <property fmtid="{D5CDD505-2E9C-101B-9397-08002B2CF9AE}" pid="9" name="Category">
    <vt:lpwstr>Working document</vt:lpwstr>
  </property>
  <property fmtid="{D5CDD505-2E9C-101B-9397-08002B2CF9AE}" pid="10" name="Expert(s)">
    <vt:lpwstr>31;#i:0#.f|membership|jinyaning_sino-carbon.cn#ext#@unfccc365.onmicrosoft.com;#25;#i:0#.f|membership|l.schneider_oeko.de#ext#@unfccc365.onmicrosoft.com;#28;#i:0#.f|membership|kenyam_mri.co.jp#ext#@unfccc365.onmicrosoft.com;#210;#i:0#.f|membership|enam_acebuyers.org#ext#@unfccc365.onmicrosoft.com</vt:lpwstr>
  </property>
  <property fmtid="{D5CDD505-2E9C-101B-9397-08002B2CF9AE}" pid="11" name="Peer Reviewer">
    <vt:lpwstr>35;#Maximo Saenz</vt:lpwstr>
  </property>
  <property fmtid="{D5CDD505-2E9C-101B-9397-08002B2CF9AE}" pid="12" name="Meeting">
    <vt:lpwstr>MEP 010</vt:lpwstr>
  </property>
  <property fmtid="{D5CDD505-2E9C-101B-9397-08002B2CF9AE}" pid="13" name="Lead Officer">
    <vt:lpwstr>203;#Eduardo Cardoso Filho</vt:lpwstr>
  </property>
  <property fmtid="{D5CDD505-2E9C-101B-9397-08002B2CF9AE}" pid="14" name="xd_Signature">
    <vt:bool>false</vt:bool>
  </property>
  <property fmtid="{D5CDD505-2E9C-101B-9397-08002B2CF9AE}" pid="15" name="xd_ProgID">
    <vt:lpwstr/>
  </property>
  <property fmtid="{D5CDD505-2E9C-101B-9397-08002B2CF9AE}" pid="16" name="Clearance by">
    <vt:lpwstr>62;#Nicolas Muller</vt:lpwstr>
  </property>
  <property fmtid="{D5CDD505-2E9C-101B-9397-08002B2CF9AE}" pid="17" name="ComplianceAssetId">
    <vt:lpwstr/>
  </property>
  <property fmtid="{D5CDD505-2E9C-101B-9397-08002B2CF9AE}" pid="18" name="TemplateUrl">
    <vt:lpwstr/>
  </property>
  <property fmtid="{D5CDD505-2E9C-101B-9397-08002B2CF9AE}" pid="19" name="Annex Nr.">
    <vt:lpwstr>1</vt:lpwstr>
  </property>
  <property fmtid="{D5CDD505-2E9C-101B-9397-08002B2CF9AE}" pid="20" name="Document Status">
    <vt:lpwstr>4/5 - Formatted</vt:lpwstr>
  </property>
  <property fmtid="{D5CDD505-2E9C-101B-9397-08002B2CF9AE}" pid="21" name="_ExtendedDescription">
    <vt:lpwstr/>
  </property>
  <property fmtid="{D5CDD505-2E9C-101B-9397-08002B2CF9AE}" pid="22" name="TriggerFlowInfo">
    <vt:lpwstr/>
  </property>
  <property fmtid="{D5CDD505-2E9C-101B-9397-08002B2CF9AE}" pid="23" name="Formatter">
    <vt:lpwstr>176;#Addah Wissen</vt:lpwstr>
  </property>
  <property fmtid="{D5CDD505-2E9C-101B-9397-08002B2CF9AE}" pid="24" name="Order">
    <vt:r8>5497500</vt:r8>
  </property>
  <property fmtid="{D5CDD505-2E9C-101B-9397-08002B2CF9AE}" pid="25" name="Status">
    <vt:bool>true</vt:bool>
  </property>
  <property fmtid="{D5CDD505-2E9C-101B-9397-08002B2CF9AE}" pid="26" name="Ready">
    <vt:bool>true</vt:bool>
  </property>
</Properties>
</file>